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80" w:after="12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 w:val="0"/>
        </w:rPr>
        <w:t>TRANSIÇÃO DE COMPETÊNCIAS DO ENFERMEIRO NO BLOCO OPERATÓRIO MILITAR: RELATO DE EXPERIÊNCIA</w:t>
      </w:r>
    </w:p>
    <w:p w14:paraId="0000000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b/>
          <w:bCs/>
          <w:sz w:val="24"/>
          <w:szCs w:val="24"/>
          <w:vertAlign w:val="superscript"/>
        </w:rPr>
      </w:pPr>
    </w:p>
    <w:p w14:paraId="000000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rtl w:val="0"/>
        </w:rPr>
        <w:t>INTRODUÇÃO:</w:t>
      </w:r>
      <w:r>
        <w:rPr>
          <w:sz w:val="24"/>
          <w:szCs w:val="24"/>
          <w:rtl w:val="0"/>
        </w:rPr>
        <w:t xml:space="preserve"> O ingresso de enfermeiros civis na carreira militar demanda uma complexa adaptação de competências técnicas a um ambiente regido por hierarquia e disciplina (2). O cenário deste relato compreendeu o Bloco Operatório (BO) de organização militar de saúde na Amazônia, onde a transição de carreira ocorreu durante desafios críticos, como a pandemia de COVID-19 de 2020. </w:t>
      </w:r>
      <w:r>
        <w:rPr>
          <w:b/>
          <w:bCs/>
          <w:sz w:val="24"/>
          <w:szCs w:val="24"/>
          <w:rtl w:val="0"/>
        </w:rPr>
        <w:t>OBJETIVO:</w:t>
      </w:r>
      <w:r>
        <w:rPr>
          <w:sz w:val="24"/>
          <w:szCs w:val="24"/>
          <w:rtl w:val="0"/>
        </w:rPr>
        <w:t xml:space="preserve"> Descrever a transição de competências e a evolução profissional de enfermeiros em bloco operatório militar, analisando os marcos dessa trajetória.</w:t>
      </w:r>
      <w:r>
        <w:rPr>
          <w:b/>
          <w:bCs/>
          <w:sz w:val="24"/>
          <w:szCs w:val="24"/>
          <w:rtl w:val="0"/>
        </w:rPr>
        <w:t xml:space="preserve"> MÉTODO: </w:t>
      </w:r>
      <w:r>
        <w:rPr>
          <w:sz w:val="24"/>
          <w:szCs w:val="24"/>
          <w:rtl w:val="0"/>
        </w:rPr>
        <w:t xml:space="preserve">Trata-se de um relato de experiência descritivo e qualitativo, baseado na teoria "Do Novato ao Perito" de Patricia Benner (1). A análise foi construída por meio de um roteiro de autoentrevista reflexiva sobre a trajetória dos autores entre 2020 e 2024, focando em incidentes críticos e desenvolvimento de competências (4). </w:t>
      </w:r>
      <w:r>
        <w:rPr>
          <w:b/>
          <w:bCs/>
          <w:sz w:val="24"/>
          <w:szCs w:val="24"/>
          <w:rtl w:val="0"/>
        </w:rPr>
        <w:t>RESULTADOS:</w:t>
      </w:r>
      <w:r>
        <w:rPr>
          <w:sz w:val="24"/>
          <w:szCs w:val="24"/>
          <w:rtl w:val="0"/>
        </w:rPr>
        <w:t xml:space="preserve"> Identificou-se a evolução do estágio de "novato", marcado pela insegurança com protocolos militares e administrativos, ao nível "competente/proficiente" (3). Os impactos incluíram na adaptação militar, concomitante com a implementação da Sistematização da Assistência de Enfermagem Perioperatória (SAEP), a reestruturação de arsenais cirúrgicos e a organização de manuais técnicos no hospital militar, a fim de garantir a continuidade do cuidados em todas as fases perioperatórias. </w:t>
      </w:r>
      <w:r>
        <w:rPr>
          <w:b/>
          <w:bCs/>
          <w:sz w:val="24"/>
          <w:szCs w:val="24"/>
          <w:rtl w:val="0"/>
        </w:rPr>
        <w:t>CONCLUSÃO:</w:t>
      </w:r>
      <w:r>
        <w:rPr>
          <w:sz w:val="24"/>
          <w:szCs w:val="24"/>
          <w:rtl w:val="0"/>
        </w:rPr>
        <w:t xml:space="preserve"> A reflexão revelou que o rigor militar e o "espírito de corpo" potencializaram a resiliência (1). Confrontando a prática com a literatura, percebeu-se que a disciplina militar serviu de suporte à segurança do paciente, permitindo um agir focado mesmo em cenários de incerteza, onde a identidade de oficial e enfermeiro se funde para garantir a prontidão operacional (1). </w:t>
      </w:r>
      <w:r>
        <w:rPr>
          <w:b/>
          <w:bCs/>
          <w:sz w:val="24"/>
          <w:szCs w:val="24"/>
          <w:rtl w:val="0"/>
        </w:rPr>
        <w:t>IMPLICAÇÕES E CONTRIBUIÇÕES PARA A ENFERMAGEM:</w:t>
      </w:r>
      <w:r>
        <w:rPr>
          <w:sz w:val="24"/>
          <w:szCs w:val="24"/>
          <w:rtl w:val="0"/>
        </w:rPr>
        <w:t xml:space="preserve"> A experiência demonstrou que a integração entre a doutrina militar e a enfermagem perioperatória otimizou a liderança e a gestão de riscos em ambientes de alta complexidade, impulsionando a atitude de versatilidade profissional na aquisição de competências.</w:t>
      </w:r>
    </w:p>
    <w:p w14:paraId="000000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rtl w:val="0"/>
        </w:rPr>
        <w:t>Descritores (DeCS – ID):</w:t>
      </w:r>
      <w:r>
        <w:rPr>
          <w:sz w:val="24"/>
          <w:szCs w:val="24"/>
          <w:rtl w:val="0"/>
        </w:rPr>
        <w:t xml:space="preserve"> Enfermagem Militar – </w:t>
      </w:r>
      <w:r>
        <w:rPr>
          <w:sz w:val="24"/>
          <w:szCs w:val="24"/>
          <w:highlight w:val="white"/>
          <w:rtl w:val="0"/>
        </w:rPr>
        <w:t>D008888</w:t>
      </w:r>
      <w:r>
        <w:rPr>
          <w:sz w:val="24"/>
          <w:szCs w:val="24"/>
          <w:rtl w:val="0"/>
        </w:rPr>
        <w:t xml:space="preserve">; Enfermagem Perioperatória – </w:t>
      </w:r>
      <w:r>
        <w:rPr>
          <w:sz w:val="24"/>
          <w:szCs w:val="24"/>
          <w:highlight w:val="white"/>
          <w:rtl w:val="0"/>
        </w:rPr>
        <w:t>D013527</w:t>
      </w:r>
      <w:r>
        <w:rPr>
          <w:sz w:val="24"/>
          <w:szCs w:val="24"/>
          <w:rtl w:val="0"/>
        </w:rPr>
        <w:t xml:space="preserve">; Competência Profissional – </w:t>
      </w:r>
      <w:r>
        <w:rPr>
          <w:sz w:val="24"/>
          <w:szCs w:val="24"/>
          <w:highlight w:val="white"/>
          <w:rtl w:val="0"/>
        </w:rPr>
        <w:t>D011361</w:t>
      </w:r>
      <w:r>
        <w:rPr>
          <w:sz w:val="24"/>
          <w:szCs w:val="24"/>
          <w:rtl w:val="0"/>
        </w:rPr>
        <w:t>.</w:t>
      </w:r>
    </w:p>
    <w:p w14:paraId="000000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sz w:val="24"/>
          <w:szCs w:val="24"/>
        </w:rPr>
      </w:pPr>
    </w:p>
    <w:p w14:paraId="0000000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rtl w:val="0"/>
        </w:rPr>
        <w:t>Modalidade:</w:t>
      </w:r>
      <w:r>
        <w:rPr>
          <w:sz w:val="24"/>
          <w:szCs w:val="24"/>
          <w:rtl w:val="0"/>
        </w:rPr>
        <w:t xml:space="preserve"> estudo original ( ) relato de experiência (x) revisão da literatura ( )</w:t>
      </w:r>
    </w:p>
    <w:p w14:paraId="000000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sz w:val="24"/>
          <w:szCs w:val="24"/>
        </w:rPr>
      </w:pPr>
    </w:p>
    <w:p w14:paraId="00000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rtl w:val="0"/>
        </w:rPr>
        <w:t>Eixo Temático:</w:t>
      </w:r>
      <w:r>
        <w:rPr>
          <w:sz w:val="24"/>
          <w:szCs w:val="24"/>
          <w:rtl w:val="0"/>
        </w:rPr>
        <w:t xml:space="preserve"> Eixo 10 – Temas livres</w:t>
      </w:r>
    </w:p>
    <w:p w14:paraId="000000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360" w:after="8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REFERÊNCIAS:</w:t>
      </w:r>
    </w:p>
    <w:p w14:paraId="0000000E">
      <w:pPr>
        <w:jc w:val="both"/>
        <w:rPr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  <w:rtl w:val="0"/>
        </w:rPr>
        <w:t xml:space="preserve">1. Day L. </w:t>
      </w:r>
      <w:r>
        <w:rPr>
          <w:sz w:val="24"/>
          <w:szCs w:val="24"/>
          <w:highlight w:val="white"/>
          <w:rtl w:val="0"/>
        </w:rPr>
        <w:t xml:space="preserve">Prática baseada em evidências, seguimento de regras e expertise em enfermagem. </w:t>
      </w:r>
      <w:r>
        <w:rPr>
          <w:b/>
          <w:bCs/>
          <w:sz w:val="24"/>
          <w:szCs w:val="24"/>
          <w:highlight w:val="white"/>
          <w:rtl w:val="0"/>
        </w:rPr>
        <w:t xml:space="preserve">Am J Crit Care </w:t>
      </w:r>
      <w:r>
        <w:rPr>
          <w:sz w:val="24"/>
          <w:szCs w:val="24"/>
          <w:highlight w:val="white"/>
          <w:rtl w:val="0"/>
        </w:rPr>
        <w:t>. 2009;18(5):479-82. doi: 10.4037/ajcc2009147.</w:t>
      </w:r>
    </w:p>
    <w:p w14:paraId="0000000F">
      <w:pPr>
        <w:jc w:val="both"/>
        <w:rPr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  <w:rtl w:val="0"/>
        </w:rPr>
        <w:t>2. Carvalho, F.C.; Padilha, M.I.; Santos, F.B.O.; Queirós, P.J.P.; Neves, V.R.</w:t>
      </w:r>
      <w:r>
        <w:rPr>
          <w:sz w:val="24"/>
          <w:szCs w:val="24"/>
          <w:highlight w:val="white"/>
          <w:rtl w:val="0"/>
        </w:rPr>
        <w:t xml:space="preserve">. A identidade profissional da enfermagem militar: uma revisão integrativa. </w:t>
      </w:r>
      <w:r>
        <w:rPr>
          <w:b/>
          <w:bCs/>
          <w:sz w:val="24"/>
          <w:szCs w:val="24"/>
          <w:highlight w:val="white"/>
          <w:rtl w:val="0"/>
        </w:rPr>
        <w:t>Cienc Cuid Saude</w:t>
      </w:r>
      <w:r>
        <w:rPr>
          <w:sz w:val="24"/>
          <w:szCs w:val="24"/>
          <w:highlight w:val="white"/>
          <w:rtl w:val="0"/>
        </w:rPr>
        <w:t>. 2022;21:e64779. doi: 10.4025/ciencuidsaude.v21i0.64779.</w:t>
      </w:r>
    </w:p>
    <w:p w14:paraId="00000010">
      <w:pPr>
        <w:jc w:val="both"/>
        <w:rPr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  <w:rtl w:val="0"/>
        </w:rPr>
        <w:t xml:space="preserve">3. Tilden VP </w:t>
      </w:r>
      <w:r>
        <w:rPr>
          <w:sz w:val="24"/>
          <w:szCs w:val="24"/>
          <w:highlight w:val="white"/>
          <w:rtl w:val="0"/>
        </w:rPr>
        <w:t xml:space="preserve">. De novato a especialista: excelência e poder na prática clínica de enfermagem [resenha de: Benner P. De novato a especialista: excelência e poder na prática clínica de enfermagem. Menlo Park (CA): Addison-Wesley; 1984]. </w:t>
      </w:r>
      <w:r>
        <w:rPr>
          <w:b/>
          <w:bCs/>
          <w:sz w:val="24"/>
          <w:szCs w:val="24"/>
          <w:highlight w:val="white"/>
          <w:rtl w:val="0"/>
        </w:rPr>
        <w:t xml:space="preserve">Res Nurs Health </w:t>
      </w:r>
      <w:r>
        <w:rPr>
          <w:sz w:val="24"/>
          <w:szCs w:val="24"/>
          <w:highlight w:val="white"/>
          <w:rtl w:val="0"/>
        </w:rPr>
        <w:t>. 1985;8(1):95-7. doi: 10.1002/nur.4770080119.</w:t>
      </w:r>
    </w:p>
    <w:p w14:paraId="00000011">
      <w:pPr>
        <w:jc w:val="both"/>
        <w:rPr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  <w:rtl w:val="0"/>
        </w:rPr>
        <w:t>4. Netto L, Silva KL, Rua MS</w:t>
      </w:r>
      <w:r>
        <w:rPr>
          <w:sz w:val="24"/>
          <w:szCs w:val="24"/>
          <w:highlight w:val="white"/>
          <w:rtl w:val="0"/>
        </w:rPr>
        <w:t xml:space="preserve">. Prática reflexiva e formação profissional: aproximações teóricas no campo da Saúde e da Enfermagem. </w:t>
      </w:r>
      <w:r>
        <w:rPr>
          <w:b/>
          <w:bCs/>
          <w:sz w:val="24"/>
          <w:szCs w:val="24"/>
          <w:highlight w:val="white"/>
          <w:rtl w:val="0"/>
        </w:rPr>
        <w:t>Esc Anna Nery</w:t>
      </w:r>
      <w:r>
        <w:rPr>
          <w:sz w:val="24"/>
          <w:szCs w:val="24"/>
          <w:highlight w:val="white"/>
          <w:rtl w:val="0"/>
        </w:rPr>
        <w:t xml:space="preserve">. 2018;22(1):e20170309. doi: 10.1590/2177-9465-EAN-2017-0309. </w:t>
      </w:r>
    </w:p>
    <w:p w14:paraId="000000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C0504D"/>
          <w:sz w:val="24"/>
          <w:szCs w:val="24"/>
        </w:rPr>
      </w:pPr>
      <w:bookmarkStart w:id="0" w:name="_GoBack"/>
      <w:bookmarkEnd w:id="0"/>
    </w:p>
    <w:p w14:paraId="000000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jc w:val="both"/>
      </w:pPr>
    </w:p>
    <w:sectPr>
      <w:pgSz w:w="12240" w:h="15840"/>
      <w:pgMar w:top="1440" w:right="1440" w:bottom="1440" w:left="1440" w:header="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1A8A8D3E-3505-439D-91E1-65F475B35D45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9F7A687C-134A-4F72-9D6C-C00F671FF4E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DDCA0821-E67E-4C1D-BB84-7BA9B34D70EC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9BD0AF12-43B6-4B93-AB44-86C980CCA737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5" w:fontKey="{5198C3F7-85DD-4DE6-A800-F93E0D594D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6F9677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24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25" w:after="225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40" w:after="24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55" w:after="255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255" w:after="255"/>
    </w:pPr>
    <w:rPr>
      <w:b/>
      <w:bCs/>
      <w:sz w:val="18"/>
      <w:szCs w:val="18"/>
    </w:rPr>
  </w:style>
  <w:style w:type="paragraph" w:styleId="7">
    <w:name w:val="heading 6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360"/>
    </w:pPr>
    <w:rPr>
      <w:b/>
      <w:bCs/>
      <w:sz w:val="16"/>
      <w:szCs w:val="16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517</Words>
  <Characters>3200</Characters>
  <TotalTime>0</TotalTime>
  <ScaleCrop>false</ScaleCrop>
  <LinksUpToDate>false</LinksUpToDate>
  <CharactersWithSpaces>3708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2026-05-05T23:35:51Z</dcterms:created>
  <dc:creator>Josivan</dc:creator>
  <cp:lastModifiedBy>Josivan</cp:lastModifiedBy>
  <dcterms:modified xsi:type="dcterms:W3CDTF">2026-05-05T23:36:13Z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eyJoZGlkIjoiNzI1MzljODBiNDliMzEyMzFlZWNlN2EzYjU0N2YzMWEifQ==</vt:lpwstr>
  </property>
  <property fmtid="{D5CDD505-2E9C-101B-9397-08002B2CF9AE}" pid="3" name="KSOProductBuildVer">
    <vt:lpwstr>1046-12.1.0.25862</vt:lpwstr>
  </property>
  <property fmtid="{D5CDD505-2E9C-101B-9397-08002B2CF9AE}" pid="4" name="ICV">
    <vt:lpwstr>D7F4B414182D4ADC9EA6E62F9F4C0543_12</vt:lpwstr>
  </property>
</Properties>
</file>