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ind w:left="0"/>
        <w:rPr/>
      </w:pPr>
      <w:bookmarkStart w:colFirst="0" w:colLast="0" w:name="_y5ywo61op122" w:id="0"/>
      <w:bookmarkEnd w:id="0"/>
      <w:r w:rsidDel="00000000" w:rsidR="00000000" w:rsidRPr="00000000">
        <w:rPr>
          <w:rtl w:val="0"/>
        </w:rPr>
        <w:t xml:space="preserve">Recuperação de manganês de pilhas exauridas por lixiviação com ácido cítrico: uma estratégia sustentável para redução dos impactos ambientais e conservação da biodiversidade</w:t>
      </w:r>
      <w:r w:rsidDel="00000000" w:rsidR="00000000" w:rsidRPr="00000000">
        <w:rPr>
          <w:rtl w:val="0"/>
        </w:rPr>
      </w:r>
    </w:p>
    <w:bookmarkStart w:colFirst="0" w:colLast="0" w:name="kix.gpd2gfqp81p" w:id="1"/>
    <w:bookmarkEnd w:id="1"/>
    <w:p w:rsidR="00000000" w:rsidDel="00000000" w:rsidP="00000000" w:rsidRDefault="00000000" w:rsidRPr="00000000" w14:paraId="00000002">
      <w:pPr>
        <w:pStyle w:val="Heading1"/>
        <w:spacing w:before="251" w:line="242" w:lineRule="auto"/>
        <w:ind w:left="75" w:right="214" w:firstLine="0"/>
        <w:jc w:val="center"/>
        <w:rPr>
          <w:sz w:val="24"/>
          <w:szCs w:val="24"/>
        </w:rPr>
      </w:pPr>
      <w:bookmarkStart w:colFirst="0" w:colLast="0" w:name="_jofn9xgqxa82" w:id="2"/>
      <w:bookmarkEnd w:id="2"/>
      <w:r w:rsidDel="00000000" w:rsidR="00000000" w:rsidRPr="00000000">
        <w:rPr>
          <w:sz w:val="24"/>
          <w:szCs w:val="24"/>
          <w:vertAlign w:val="superscript"/>
          <w:rtl w:val="0"/>
        </w:rPr>
        <w:t xml:space="preserve">1</w:t>
      </w:r>
      <w:r w:rsidDel="00000000" w:rsidR="00000000" w:rsidRPr="00000000">
        <w:rPr>
          <w:sz w:val="24"/>
          <w:szCs w:val="24"/>
          <w:rtl w:val="0"/>
        </w:rPr>
        <w:t xml:space="preserve">Julia Baroni dos Santos, </w:t>
      </w:r>
      <w:r w:rsidDel="00000000" w:rsidR="00000000" w:rsidRPr="00000000">
        <w:rPr>
          <w:sz w:val="24"/>
          <w:szCs w:val="24"/>
          <w:vertAlign w:val="superscript"/>
          <w:rtl w:val="0"/>
        </w:rPr>
        <w:t xml:space="preserve">2</w:t>
      </w:r>
      <w:r w:rsidDel="00000000" w:rsidR="00000000" w:rsidRPr="00000000">
        <w:rPr>
          <w:sz w:val="24"/>
          <w:szCs w:val="24"/>
          <w:rtl w:val="0"/>
        </w:rPr>
        <w:t xml:space="preserve">Jorge Mauler Junior, </w:t>
      </w:r>
      <w:r w:rsidDel="00000000" w:rsidR="00000000" w:rsidRPr="00000000">
        <w:rPr>
          <w:sz w:val="24"/>
          <w:szCs w:val="24"/>
          <w:vertAlign w:val="superscript"/>
          <w:rtl w:val="0"/>
        </w:rPr>
        <w:t xml:space="preserve">3</w:t>
      </w:r>
      <w:r w:rsidDel="00000000" w:rsidR="00000000" w:rsidRPr="00000000">
        <w:rPr>
          <w:sz w:val="24"/>
          <w:szCs w:val="24"/>
          <w:rtl w:val="0"/>
        </w:rPr>
        <w:t xml:space="preserve">Judith Liliana Solórzano Lemos,</w:t>
      </w:r>
      <w:r w:rsidDel="00000000" w:rsidR="00000000" w:rsidRPr="00000000">
        <w:rPr>
          <w:sz w:val="24"/>
          <w:szCs w:val="24"/>
          <w:vertAlign w:val="superscript"/>
          <w:rtl w:val="0"/>
        </w:rPr>
        <w:t xml:space="preserve">4</w:t>
      </w:r>
      <w:r w:rsidDel="00000000" w:rsidR="00000000" w:rsidRPr="00000000">
        <w:rPr>
          <w:sz w:val="24"/>
          <w:szCs w:val="24"/>
          <w:rtl w:val="0"/>
        </w:rPr>
        <w:t xml:space="preserve">Flávio de Almeida Lemos</w:t>
      </w:r>
    </w:p>
    <w:p w:rsidR="00000000" w:rsidDel="00000000" w:rsidP="00000000" w:rsidRDefault="00000000" w:rsidRPr="00000000" w14:paraId="00000003">
      <w:pPr>
        <w:spacing w:line="228" w:lineRule="auto"/>
        <w:ind w:left="77" w:right="209" w:firstLine="0"/>
        <w:jc w:val="center"/>
        <w:rPr>
          <w:i w:val="1"/>
          <w:iCs w:val="1"/>
          <w:sz w:val="24"/>
          <w:szCs w:val="24"/>
        </w:rPr>
      </w:pPr>
      <w:r w:rsidDel="00000000" w:rsidR="00000000" w:rsidRPr="00000000">
        <w:rPr>
          <w:i w:val="1"/>
          <w:iCs w:val="1"/>
          <w:sz w:val="24"/>
          <w:szCs w:val="24"/>
          <w:vertAlign w:val="superscript"/>
          <w:rtl w:val="0"/>
        </w:rPr>
        <w:t xml:space="preserve">1</w:t>
      </w:r>
      <w:r w:rsidDel="00000000" w:rsidR="00000000" w:rsidRPr="00000000">
        <w:rPr>
          <w:i w:val="1"/>
          <w:iCs w:val="1"/>
          <w:sz w:val="24"/>
          <w:szCs w:val="24"/>
          <w:rtl w:val="0"/>
        </w:rPr>
        <w:t xml:space="preserve">Centro de Tecnologia Mineral</w:t>
      </w:r>
      <w:r w:rsidDel="00000000" w:rsidR="00000000" w:rsidRPr="00000000">
        <w:rPr>
          <w:i w:val="1"/>
          <w:iCs w:val="1"/>
          <w:sz w:val="24"/>
          <w:szCs w:val="24"/>
          <w:rtl w:val="0"/>
        </w:rPr>
        <w:t xml:space="preserve">, e-mail:baronijulia.bj@gmail.com; </w:t>
      </w:r>
      <w:r w:rsidDel="00000000" w:rsidR="00000000" w:rsidRPr="00000000">
        <w:rPr>
          <w:i w:val="1"/>
          <w:iCs w:val="1"/>
          <w:sz w:val="24"/>
          <w:szCs w:val="24"/>
          <w:vertAlign w:val="superscript"/>
          <w:rtl w:val="0"/>
        </w:rPr>
        <w:t xml:space="preserve">2</w:t>
      </w:r>
      <w:r w:rsidDel="00000000" w:rsidR="00000000" w:rsidRPr="00000000">
        <w:rPr>
          <w:i w:val="1"/>
          <w:iCs w:val="1"/>
          <w:sz w:val="24"/>
          <w:szCs w:val="24"/>
          <w:rtl w:val="0"/>
        </w:rPr>
        <w:t xml:space="preserve">Centro de Tecnologia Mineral</w:t>
      </w:r>
      <w:r w:rsidDel="00000000" w:rsidR="00000000" w:rsidRPr="00000000">
        <w:rPr>
          <w:i w:val="1"/>
          <w:iCs w:val="1"/>
          <w:sz w:val="24"/>
          <w:szCs w:val="24"/>
          <w:rtl w:val="0"/>
        </w:rPr>
        <w:t xml:space="preserve">, e-mail: maulerrj@gmail.com; </w:t>
      </w:r>
      <w:r w:rsidDel="00000000" w:rsidR="00000000" w:rsidRPr="00000000">
        <w:rPr>
          <w:i w:val="1"/>
          <w:iCs w:val="1"/>
          <w:sz w:val="24"/>
          <w:szCs w:val="24"/>
          <w:vertAlign w:val="superscript"/>
          <w:rtl w:val="0"/>
        </w:rPr>
        <w:t xml:space="preserve">3</w:t>
      </w:r>
      <w:r w:rsidDel="00000000" w:rsidR="00000000" w:rsidRPr="00000000">
        <w:rPr>
          <w:i w:val="1"/>
          <w:iCs w:val="1"/>
          <w:sz w:val="24"/>
          <w:szCs w:val="24"/>
          <w:rtl w:val="0"/>
        </w:rPr>
        <w:t xml:space="preserve">Universidade do Estado do Rio de Janeiro</w:t>
      </w:r>
      <w:r w:rsidDel="00000000" w:rsidR="00000000" w:rsidRPr="00000000">
        <w:rPr>
          <w:i w:val="1"/>
          <w:iCs w:val="1"/>
          <w:sz w:val="24"/>
          <w:szCs w:val="24"/>
          <w:rtl w:val="0"/>
        </w:rPr>
        <w:t xml:space="preserve">, e-mail: liliana.lemos@gmail.com,</w:t>
      </w:r>
      <w:r w:rsidDel="00000000" w:rsidR="00000000" w:rsidRPr="00000000">
        <w:rPr>
          <w:i w:val="1"/>
          <w:iCs w:val="1"/>
          <w:sz w:val="24"/>
          <w:szCs w:val="24"/>
          <w:vertAlign w:val="superscript"/>
          <w:rtl w:val="0"/>
        </w:rPr>
        <w:t xml:space="preserve"> 4</w:t>
      </w:r>
      <w:r w:rsidDel="00000000" w:rsidR="00000000" w:rsidRPr="00000000">
        <w:rPr>
          <w:i w:val="1"/>
          <w:iCs w:val="1"/>
          <w:sz w:val="24"/>
          <w:szCs w:val="24"/>
          <w:rtl w:val="0"/>
        </w:rPr>
        <w:t xml:space="preserve">Centro de Tecnologia Mineral, email:flemos@cetem.gov.br</w:t>
      </w:r>
      <w:r w:rsidDel="00000000" w:rsidR="00000000" w:rsidRPr="00000000">
        <w:rPr>
          <w:rtl w:val="0"/>
        </w:rPr>
      </w:r>
    </w:p>
    <w:p w:rsidR="00000000" w:rsidDel="00000000" w:rsidP="00000000" w:rsidRDefault="00000000" w:rsidRPr="00000000" w14:paraId="00000004">
      <w:pPr>
        <w:spacing w:line="228" w:lineRule="auto"/>
        <w:ind w:left="77" w:right="209" w:firstLine="0"/>
        <w:jc w:val="center"/>
        <w:rPr>
          <w:i w:val="1"/>
          <w:iCs w:val="1"/>
          <w:sz w:val="24"/>
          <w:szCs w:val="24"/>
        </w:rPr>
      </w:pPr>
      <w:r w:rsidDel="00000000" w:rsidR="00000000" w:rsidRPr="00000000">
        <w:rPr>
          <w:rtl w:val="0"/>
        </w:rPr>
      </w:r>
    </w:p>
    <w:p w:rsidR="00000000" w:rsidDel="00000000" w:rsidP="00000000" w:rsidRDefault="00000000" w:rsidRPr="00000000" w14:paraId="00000005">
      <w:pPr>
        <w:spacing w:line="228" w:lineRule="auto"/>
        <w:ind w:left="77" w:right="209" w:firstLine="0"/>
        <w:jc w:val="right"/>
        <w:rPr>
          <w:b w:val="1"/>
          <w:bCs w:val="1"/>
          <w:i w:val="1"/>
          <w:iCs w:val="1"/>
          <w:sz w:val="24"/>
          <w:szCs w:val="24"/>
        </w:rPr>
      </w:pPr>
      <w:r w:rsidDel="00000000" w:rsidR="00000000" w:rsidRPr="00000000">
        <w:rPr>
          <w:b w:val="1"/>
          <w:bCs w:val="1"/>
          <w:i w:val="1"/>
          <w:iCs w:val="1"/>
          <w:sz w:val="24"/>
          <w:szCs w:val="24"/>
          <w:rtl w:val="0"/>
        </w:rPr>
        <w:t xml:space="preserve">Gestão Ambiental e Políticas Ambientais</w:t>
      </w:r>
    </w:p>
    <w:p w:rsidR="00000000" w:rsidDel="00000000" w:rsidP="00000000" w:rsidRDefault="00000000" w:rsidRPr="00000000" w14:paraId="00000006">
      <w:pPr>
        <w:spacing w:line="228" w:lineRule="auto"/>
        <w:ind w:left="77" w:right="209" w:firstLine="0"/>
        <w:jc w:val="right"/>
        <w:rPr>
          <w:b w:val="1"/>
          <w:bCs w:val="1"/>
          <w:i w:val="1"/>
          <w:iCs w:val="1"/>
          <w:sz w:val="24"/>
          <w:szCs w:val="24"/>
        </w:rPr>
      </w:pPr>
      <w:r w:rsidDel="00000000" w:rsidR="00000000" w:rsidRPr="00000000">
        <w:rPr>
          <w:b w:val="1"/>
          <w:bCs w:val="1"/>
          <w:i w:val="1"/>
          <w:iCs w:val="1"/>
          <w:sz w:val="24"/>
          <w:szCs w:val="24"/>
          <w:rtl w:val="0"/>
        </w:rPr>
        <w:t xml:space="preserve">Inovação Tecnológica para Sustentabilidade</w:t>
      </w:r>
    </w:p>
    <w:p w:rsidR="00000000" w:rsidDel="00000000" w:rsidP="00000000" w:rsidRDefault="00000000" w:rsidRPr="00000000" w14:paraId="00000007">
      <w:pPr>
        <w:spacing w:line="228" w:lineRule="auto"/>
        <w:ind w:left="77" w:right="209" w:firstLine="0"/>
        <w:jc w:val="center"/>
        <w:rPr>
          <w:i w:val="1"/>
          <w:iCs w:val="1"/>
          <w:sz w:val="24"/>
          <w:szCs w:val="24"/>
        </w:rPr>
      </w:pPr>
      <w:r w:rsidDel="00000000" w:rsidR="00000000" w:rsidRPr="00000000">
        <w:rPr>
          <w:rtl w:val="0"/>
        </w:rPr>
      </w:r>
    </w:p>
    <w:p w:rsidR="00000000" w:rsidDel="00000000" w:rsidP="00000000" w:rsidRDefault="00000000" w:rsidRPr="00000000" w14:paraId="00000008">
      <w:pPr>
        <w:spacing w:line="228" w:lineRule="auto"/>
        <w:ind w:left="77" w:right="209" w:firstLine="0"/>
        <w:jc w:val="center"/>
        <w:rPr>
          <w:b w:val="1"/>
          <w:bCs w:val="1"/>
          <w:sz w:val="28"/>
          <w:szCs w:val="28"/>
        </w:rPr>
      </w:pPr>
      <w:r w:rsidDel="00000000" w:rsidR="00000000" w:rsidRPr="00000000">
        <w:rPr>
          <w:b w:val="1"/>
          <w:bCs w:val="1"/>
          <w:sz w:val="28"/>
          <w:szCs w:val="28"/>
          <w:rtl w:val="0"/>
        </w:rPr>
        <w:t xml:space="preserve">Resumo</w:t>
      </w:r>
    </w:p>
    <w:p w:rsidR="00000000" w:rsidDel="00000000" w:rsidP="00000000" w:rsidRDefault="00000000" w:rsidRPr="00000000" w14:paraId="00000009">
      <w:pPr>
        <w:spacing w:line="228" w:lineRule="auto"/>
        <w:ind w:left="77" w:right="209" w:firstLine="0"/>
        <w:jc w:val="both"/>
        <w:rPr>
          <w:sz w:val="24"/>
          <w:szCs w:val="24"/>
        </w:rPr>
      </w:pPr>
      <w:r w:rsidDel="00000000" w:rsidR="00000000" w:rsidRPr="00000000">
        <w:rPr>
          <w:rtl w:val="0"/>
        </w:rPr>
      </w:r>
    </w:p>
    <w:p w:rsidR="00000000" w:rsidDel="00000000" w:rsidP="00000000" w:rsidRDefault="00000000" w:rsidRPr="00000000" w14:paraId="0000000A">
      <w:pPr>
        <w:spacing w:after="240" w:before="240" w:lineRule="auto"/>
        <w:jc w:val="both"/>
        <w:rPr>
          <w:sz w:val="24"/>
          <w:szCs w:val="24"/>
        </w:rPr>
      </w:pPr>
      <w:r w:rsidDel="00000000" w:rsidR="00000000" w:rsidRPr="00000000">
        <w:rPr>
          <w:sz w:val="24"/>
          <w:szCs w:val="24"/>
          <w:rtl w:val="0"/>
        </w:rPr>
        <w:t xml:space="preserve">O aumento da geração de pilhas exauridas tem intensificado a necessidade de tecnologias sustentáveis para recuperação de metais estratégicos, reduzindo os impactos ambientais associados ao descarte inadequado desses resíduos e à exploração de recursos minerais. Nesse contexto, este trabalho teve como objetivo avaliar a recuperação de manganês de pilhas alcalinas e baterias por meio de lixiviação utilizando ácido cítrico como agente lixiviante. A massa ativa das pilhas foi submetida à lixiviação com solução de ácido cítrico 1,0 mol L⁻¹, a 80 °C durante 4 horas, seguida da determinação das concentrações de manganês, zinco e ferro por espectrometria de absorção atômica. Os resultados mostraram concentrações de 13,50 g L⁻¹ de manganês, 3,34 g L⁻¹ de zinco e 0,21 g L⁻¹ de ferro no licor de lixiviação, sendo obtida recuperação de manganês de 52,23%. A predominância de manganês em solução evidencia o potencial do ácido cítrico para a solubilização seletiva desse metal. Conclui-se que a lixiviação com ácido cítrico constitui uma alternativa tecnicamente viável e ambientalmente mais sustentável para a recuperação de manganês de pilhas exauridas, contribuindo para a valorização de resíduos, a economia circular e a redução da demanda por matérias-primas primárias.</w:t>
      </w:r>
    </w:p>
    <w:p w:rsidR="00000000" w:rsidDel="00000000" w:rsidP="00000000" w:rsidRDefault="00000000" w:rsidRPr="00000000" w14:paraId="0000000B">
      <w:pPr>
        <w:spacing w:after="240" w:before="240" w:lineRule="auto"/>
        <w:jc w:val="both"/>
        <w:rPr>
          <w:sz w:val="24"/>
          <w:szCs w:val="24"/>
        </w:rPr>
      </w:pPr>
      <w:r w:rsidDel="00000000" w:rsidR="00000000" w:rsidRPr="00000000">
        <w:rPr>
          <w:b w:val="1"/>
          <w:bCs w:val="1"/>
          <w:sz w:val="24"/>
          <w:szCs w:val="24"/>
          <w:rtl w:val="0"/>
        </w:rPr>
        <w:t xml:space="preserve">Palavras-chave:</w:t>
      </w:r>
      <w:r w:rsidDel="00000000" w:rsidR="00000000" w:rsidRPr="00000000">
        <w:rPr>
          <w:sz w:val="24"/>
          <w:szCs w:val="24"/>
          <w:rtl w:val="0"/>
        </w:rPr>
        <w:t xml:space="preserve"> ácido cítrico; economia circular; hidrometalurgia; manganês; pilhas exauridas.</w:t>
      </w:r>
    </w:p>
    <w:p w:rsidR="00000000" w:rsidDel="00000000" w:rsidP="00000000" w:rsidRDefault="00000000" w:rsidRPr="00000000" w14:paraId="0000000C">
      <w:pPr>
        <w:ind w:right="209"/>
        <w:jc w:val="both"/>
        <w:rPr>
          <w:sz w:val="24"/>
          <w:szCs w:val="24"/>
        </w:rPr>
      </w:pPr>
      <w:r w:rsidDel="00000000" w:rsidR="00000000" w:rsidRPr="00000000">
        <w:rPr>
          <w:rtl w:val="0"/>
        </w:rPr>
      </w:r>
    </w:p>
    <w:p w:rsidR="00000000" w:rsidDel="00000000" w:rsidP="00000000" w:rsidRDefault="00000000" w:rsidRPr="00000000" w14:paraId="0000000D">
      <w:pPr>
        <w:ind w:right="209"/>
        <w:jc w:val="both"/>
        <w:rPr>
          <w:b w:val="1"/>
          <w:bCs w:val="1"/>
          <w:sz w:val="28"/>
          <w:szCs w:val="28"/>
        </w:rPr>
      </w:pPr>
      <w:r w:rsidDel="00000000" w:rsidR="00000000" w:rsidRPr="00000000">
        <w:rPr>
          <w:b w:val="1"/>
          <w:bCs w:val="1"/>
          <w:sz w:val="28"/>
          <w:szCs w:val="28"/>
          <w:rtl w:val="0"/>
        </w:rPr>
        <w:t xml:space="preserve">Introdução</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spacing w:before="1" w:line="360" w:lineRule="auto"/>
        <w:ind w:firstLine="720"/>
        <w:jc w:val="both"/>
        <w:rPr>
          <w:sz w:val="24"/>
          <w:szCs w:val="24"/>
        </w:rPr>
      </w:pPr>
      <w:r w:rsidDel="00000000" w:rsidR="00000000" w:rsidRPr="00000000">
        <w:rPr>
          <w:sz w:val="24"/>
          <w:szCs w:val="24"/>
          <w:rtl w:val="0"/>
        </w:rPr>
        <w:t xml:space="preserve">O crescimento acelerado da produção e do consumo de equipamentos eletroeletrônicos tem resultado no aumento expressivo da geração de resíduos sólidos contendo metais de elevado valor econômico, como manganês, zinco e ferro. De acordo com o Global E-waste Monitor 2024, foram geradas aproximadamente 62 milhões de toneladas de resíduos eletrônicos em 2022, com projeção de crescimento contínuo nas próximas décadas, enquanto menos de um quarto desse volume é destinado à reciclagem formal (BALDÉ et al., 2024). Entre esses resíduos destacam-se as pilhas alcalinas e zinco-carbono, cuja disposição inadequada pode favorecer a liberação de metais para o solo e os corpos hídricos, comprometendo a qualidade ambiental, representando riscos aos ecossistemas e consequentemente reduzindo a biodiversidade.</w:t>
      </w:r>
    </w:p>
    <w:p w:rsidR="00000000" w:rsidDel="00000000" w:rsidP="00000000" w:rsidRDefault="00000000" w:rsidRPr="00000000" w14:paraId="00000010">
      <w:pPr>
        <w:spacing w:before="1" w:line="360" w:lineRule="auto"/>
        <w:ind w:firstLine="720"/>
        <w:jc w:val="both"/>
        <w:rPr>
          <w:sz w:val="24"/>
          <w:szCs w:val="24"/>
        </w:rPr>
      </w:pPr>
      <w:r w:rsidDel="00000000" w:rsidR="00000000" w:rsidRPr="00000000">
        <w:rPr>
          <w:sz w:val="24"/>
          <w:szCs w:val="24"/>
          <w:rtl w:val="0"/>
        </w:rPr>
        <w:t xml:space="preserve">Além dos impactos decorrentes do descarte inadequado dos resíduos de pilhas e baterias, a crescente demanda por metais estratégicos intensifica a exploração mineral, atividade frequentemente associada à supressão da vegetação nativa, fragmentação de habitats, alteração dos recursos hídricos e degradação dos ecossistemas. Segundo a Plataforma Intergovernamental sobre Biodiversidade e Serviços Ecossistêmicos (IPBES), a exploração insustentável dos recursos naturais figura entre os principais vetores da perda global da biodiversidade, contribuindo para que aproximadamente um milhão de espécies estejam ameaçadas de extinção (IPBES, 2019). Nesse contexto, estratégias que reduzam simultaneamente o descarte de resíduos perigosos e a necessidade de exploração de recursos minerais tornam-se essenciais para a conservação ambiental.</w:t>
      </w:r>
    </w:p>
    <w:p w:rsidR="00000000" w:rsidDel="00000000" w:rsidP="00000000" w:rsidRDefault="00000000" w:rsidRPr="00000000" w14:paraId="00000011">
      <w:pPr>
        <w:spacing w:before="1" w:line="360" w:lineRule="auto"/>
        <w:ind w:firstLine="720"/>
        <w:jc w:val="both"/>
        <w:rPr>
          <w:sz w:val="24"/>
          <w:szCs w:val="24"/>
        </w:rPr>
      </w:pPr>
      <w:r w:rsidDel="00000000" w:rsidR="00000000" w:rsidRPr="00000000">
        <w:rPr>
          <w:sz w:val="24"/>
          <w:szCs w:val="24"/>
          <w:rtl w:val="0"/>
        </w:rPr>
        <w:t xml:space="preserve">A economia circular tem sido apontada como uma alternativa para minimizar esses impactos ao promover a recuperação e reinserção de materiais na cadeia produtiva, reduzindo a dependência de matérias-primas primárias. No caso das pilhas exauridas, a recuperação de manganês e zinco apresenta importância ambiental e econômica, uma vez que esses metais podem retornar aos processos industriais, diminuindo a pressão sobre a mineração e contribuindo para um gerenciamento mais sustentável dos resíduos (SADEGHI; AFONSO; VEIT, 2020).</w:t>
      </w:r>
    </w:p>
    <w:p w:rsidR="00000000" w:rsidDel="00000000" w:rsidP="00000000" w:rsidRDefault="00000000" w:rsidRPr="00000000" w14:paraId="00000012">
      <w:pPr>
        <w:spacing w:before="1" w:line="360" w:lineRule="auto"/>
        <w:ind w:firstLine="720"/>
        <w:jc w:val="both"/>
        <w:rPr>
          <w:sz w:val="24"/>
          <w:szCs w:val="24"/>
        </w:rPr>
      </w:pPr>
      <w:r w:rsidDel="00000000" w:rsidR="00000000" w:rsidRPr="00000000">
        <w:rPr>
          <w:sz w:val="24"/>
          <w:szCs w:val="24"/>
          <w:rtl w:val="0"/>
        </w:rPr>
        <w:t xml:space="preserve">Entre as tecnologias empregadas para recuperação desses metais, os processos hidrometalúrgicos destacam-se pela elevada eficiência de extração e pelo menor consumo energético quando comparados às rotas pirometalúrgicas. Nos últimos anos, a lixiviação utilizando ácidos orgânicos têm recebido crescente atenção por empregar reagentes biodegradáveis e de baixa toxicidade, alinhando-se aos princípios da química verde e da economia circular (GHASEMI et al., 2023). O ácido cítrico destaca-se entre esses reagentes devido à sua elevada capacidade de complexação de íons metálicos, permitindo a recuperação eficiente de manganês, zinco e ferro presentes em pilhas exauridas com menor impacto ambiental quando comparado aos processos convencionais baseados em ácidos minerais (MARTINS et al., 2023).</w:t>
      </w:r>
    </w:p>
    <w:p w:rsidR="00000000" w:rsidDel="00000000" w:rsidP="00000000" w:rsidRDefault="00000000" w:rsidRPr="00000000" w14:paraId="00000013">
      <w:pPr>
        <w:spacing w:before="1" w:line="360" w:lineRule="auto"/>
        <w:ind w:firstLine="720"/>
        <w:jc w:val="both"/>
        <w:rPr>
          <w:sz w:val="24"/>
          <w:szCs w:val="24"/>
        </w:rPr>
      </w:pPr>
      <w:r w:rsidDel="00000000" w:rsidR="00000000" w:rsidRPr="00000000">
        <w:rPr>
          <w:sz w:val="24"/>
          <w:szCs w:val="24"/>
          <w:rtl w:val="0"/>
        </w:rPr>
        <w:t xml:space="preserve">Dessa forma, a utilização de ácidos orgânicos representa uma alternativa promissora para o desenvolvimento de rotas hidrometalúrgicas mais sustentáveis.</w:t>
      </w:r>
    </w:p>
    <w:p w:rsidR="00000000" w:rsidDel="00000000" w:rsidP="00000000" w:rsidRDefault="00000000" w:rsidRPr="00000000" w14:paraId="00000014">
      <w:pPr>
        <w:spacing w:before="1" w:line="360" w:lineRule="auto"/>
        <w:ind w:firstLine="720"/>
        <w:jc w:val="both"/>
        <w:rPr>
          <w:sz w:val="24"/>
          <w:szCs w:val="24"/>
        </w:rPr>
      </w:pPr>
      <w:r w:rsidDel="00000000" w:rsidR="00000000" w:rsidRPr="00000000">
        <w:rPr>
          <w:sz w:val="24"/>
          <w:szCs w:val="24"/>
          <w:rtl w:val="0"/>
        </w:rPr>
        <w:t xml:space="preserve">Diante desse cenário, o presente trabalho teve como objetivo avaliar a recuperação de manganês proveniente de pilhas exauridas por meio da lixiviação utilizando ácido cítrico, evidenciando o potencial dessa rota hidrometalúrgica como estratégia de economia circular para valorização de resíduos, recuperação de metais de interesse econômico e mitigação dos impactos ambientais associados à exploração mineral.</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Metodologia</w:t>
      </w:r>
    </w:p>
    <w:p w:rsidR="00000000" w:rsidDel="00000000" w:rsidP="00000000" w:rsidRDefault="00000000" w:rsidRPr="00000000" w14:paraId="00000017">
      <w:pPr>
        <w:spacing w:before="1" w:line="360" w:lineRule="auto"/>
        <w:ind w:firstLine="720"/>
        <w:jc w:val="both"/>
        <w:rPr>
          <w:sz w:val="24"/>
          <w:szCs w:val="24"/>
        </w:rPr>
      </w:pPr>
      <w:r w:rsidDel="00000000" w:rsidR="00000000" w:rsidRPr="00000000">
        <w:rPr>
          <w:sz w:val="24"/>
          <w:szCs w:val="24"/>
          <w:rtl w:val="0"/>
        </w:rPr>
        <w:t xml:space="preserve">A pesquisa caracteriza-se como quantitativa, experimental e aplicada, uma vez que envolveu a obtenção de dados analíticos para avaliação da recuperação de metais presentes em resíduos de pilhas e baterias exauridas por meio de uma rota hidrometalúrgica baseada em lixiviação com ácido orgânico.</w:t>
      </w:r>
    </w:p>
    <w:p w:rsidR="00000000" w:rsidDel="00000000" w:rsidP="00000000" w:rsidRDefault="00000000" w:rsidRPr="00000000" w14:paraId="00000018">
      <w:pPr>
        <w:spacing w:before="1" w:line="360" w:lineRule="auto"/>
        <w:ind w:firstLine="720"/>
        <w:jc w:val="both"/>
        <w:rPr>
          <w:sz w:val="24"/>
          <w:szCs w:val="24"/>
        </w:rPr>
      </w:pPr>
      <w:r w:rsidDel="00000000" w:rsidR="00000000" w:rsidRPr="00000000">
        <w:rPr>
          <w:sz w:val="24"/>
          <w:szCs w:val="24"/>
          <w:rtl w:val="0"/>
        </w:rPr>
        <w:t xml:space="preserve">Foram utilizadas amostras de pilhas alcalinas, pilhas zinco-carbono e baterias exauridas, processadas separadamente. Inicialmente, os dispositivos foram submetidos à abertura mecânica e à separação da massa ativa interna (black mass), que posteriormente foi triturada e utilizada nos ensaios de lixiviação.</w:t>
      </w:r>
    </w:p>
    <w:p w:rsidR="00000000" w:rsidDel="00000000" w:rsidP="00000000" w:rsidRDefault="00000000" w:rsidRPr="00000000" w14:paraId="00000019">
      <w:pPr>
        <w:spacing w:before="1" w:line="360" w:lineRule="auto"/>
        <w:ind w:firstLine="720"/>
        <w:jc w:val="both"/>
        <w:rPr>
          <w:sz w:val="24"/>
          <w:szCs w:val="24"/>
        </w:rPr>
      </w:pPr>
      <w:r w:rsidDel="00000000" w:rsidR="00000000" w:rsidRPr="00000000">
        <w:rPr>
          <w:sz w:val="24"/>
          <w:szCs w:val="24"/>
          <w:rtl w:val="0"/>
        </w:rPr>
        <w:t xml:space="preserve">Os experimentos foram conduzidos em reator do tipo chaleira equipado com agitador mecânico. Para cada ensaio, foram utilizados 50 g de massa ativa e 200 mL de solução de ácido cítrico 1,0 mol L⁻¹, correspondendo a uma concentração de sólidos de 20%. As lixiviações foram realizadas a 80 °C durante 4 horas, sob agitação constante. Após o término dos ensaios, as suspensões foram filtradas para separação do licor lixiviado e do resíduo sólido.</w:t>
      </w:r>
    </w:p>
    <w:p w:rsidR="00000000" w:rsidDel="00000000" w:rsidP="00000000" w:rsidRDefault="00000000" w:rsidRPr="00000000" w14:paraId="0000001A">
      <w:pPr>
        <w:spacing w:before="1" w:line="360" w:lineRule="auto"/>
        <w:ind w:firstLine="720"/>
        <w:jc w:val="both"/>
        <w:rPr>
          <w:sz w:val="24"/>
          <w:szCs w:val="24"/>
        </w:rPr>
      </w:pPr>
      <w:r w:rsidDel="00000000" w:rsidR="00000000" w:rsidRPr="00000000">
        <w:rPr>
          <w:sz w:val="24"/>
          <w:szCs w:val="24"/>
          <w:rtl w:val="0"/>
        </w:rPr>
        <w:t xml:space="preserve">As concentrações de manganês, zinco e ferro presentes nos licores foram determinadas por espectrometria de absorção atômica (AAS), enquanto os resíduos sólidos foram caracterizados por fluorescência de raios X (FRX), permitindo avaliar a composição química remanescente após a etapa de lixiviação. </w:t>
      </w:r>
    </w:p>
    <w:p w:rsidR="00000000" w:rsidDel="00000000" w:rsidP="00000000" w:rsidRDefault="00000000" w:rsidRPr="00000000" w14:paraId="0000001B">
      <w:pPr>
        <w:spacing w:before="1" w:line="360" w:lineRule="auto"/>
        <w:ind w:firstLine="720"/>
        <w:jc w:val="both"/>
        <w:rPr>
          <w:sz w:val="24"/>
          <w:szCs w:val="24"/>
        </w:rPr>
      </w:pPr>
      <w:r w:rsidDel="00000000" w:rsidR="00000000" w:rsidRPr="00000000">
        <w:rPr>
          <w:sz w:val="24"/>
          <w:szCs w:val="24"/>
          <w:rtl w:val="0"/>
        </w:rPr>
        <w:t xml:space="preserve">Todos os experimentos foram realizados em duplicata. Os resultados foram avaliados por meio das concentrações metálicas obtidas nos licores e dos cálculos de recuperação dos metais de interesse, sendo os valores expressos como média das determinações experimentais.</w:t>
      </w: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Resultados e Discussão</w:t>
      </w:r>
    </w:p>
    <w:p w:rsidR="00000000" w:rsidDel="00000000" w:rsidP="00000000" w:rsidRDefault="00000000" w:rsidRPr="00000000" w14:paraId="0000001E">
      <w:pPr>
        <w:spacing w:before="1" w:line="360" w:lineRule="auto"/>
        <w:ind w:firstLine="720"/>
        <w:jc w:val="both"/>
        <w:rPr>
          <w:sz w:val="24"/>
          <w:szCs w:val="24"/>
        </w:rPr>
      </w:pPr>
      <w:r w:rsidDel="00000000" w:rsidR="00000000" w:rsidRPr="00000000">
        <w:rPr>
          <w:sz w:val="24"/>
          <w:szCs w:val="24"/>
          <w:rtl w:val="0"/>
        </w:rPr>
        <w:t xml:space="preserve">Os resultados obtidos após a lixiviação com ácido cítrico demonstraram que o processo promoveu a solubilização de manganês, zinco e ferro presentes nas pilhas alcalinas e zinco-carbono, conforme observado na Tabela 1. Em ambas as amostras, o manganês foi o metal predominante no licor de lixiviação, atingindo concentrações de 13,50 g L⁻¹ para as pilhas alcalinas e 11,98 g L⁻¹ para as pilhas zinco-carbono. Esses resultados estão relacionados à elevada fração de dióxido de manganês (MnO₂), principal componente do material catódico dessas pilhas, evidenciando a eficiência do ácido cítrico na solubilização desse metal.</w:t>
      </w:r>
    </w:p>
    <w:p w:rsidR="00000000" w:rsidDel="00000000" w:rsidP="00000000" w:rsidRDefault="00000000" w:rsidRPr="00000000" w14:paraId="0000001F">
      <w:pPr>
        <w:spacing w:after="200" w:lineRule="auto"/>
        <w:jc w:val="center"/>
        <w:rPr>
          <w:b w:val="1"/>
          <w:bCs w:val="1"/>
          <w:sz w:val="20"/>
          <w:szCs w:val="20"/>
        </w:rPr>
      </w:pPr>
      <w:r w:rsidDel="00000000" w:rsidR="00000000" w:rsidRPr="00000000">
        <w:rPr>
          <w:b w:val="1"/>
          <w:bCs w:val="1"/>
          <w:sz w:val="20"/>
          <w:szCs w:val="20"/>
          <w:rtl w:val="0"/>
        </w:rPr>
        <w:t xml:space="preserve">Tabela 1. Comparação das concentrações de manganês, zinco e ferro nos lixiviados obtidos por lixiviação com ácido cítrico de pilhas alcalinas e zinco-carbono. </w:t>
      </w:r>
    </w:p>
    <w:tbl>
      <w:tblPr>
        <w:tblStyle w:val="Table1"/>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20"/>
        <w:gridCol w:w="2205"/>
        <w:gridCol w:w="2190"/>
        <w:gridCol w:w="2190"/>
        <w:tblGridChange w:id="0">
          <w:tblGrid>
            <w:gridCol w:w="2220"/>
            <w:gridCol w:w="2205"/>
            <w:gridCol w:w="2190"/>
            <w:gridCol w:w="2190"/>
          </w:tblGrid>
        </w:tblGridChange>
      </w:tblGrid>
      <w:tr>
        <w:trPr>
          <w:cantSplit w:val="0"/>
          <w:trHeight w:val="720" w:hRule="atLeast"/>
          <w:tblHeader w:val="0"/>
        </w:trPr>
        <w:tc>
          <w:tcPr>
            <w:tcBorders>
              <w:top w:color="000000" w:space="0" w:sz="8" w:val="single"/>
              <w:left w:color="000000" w:space="0" w:sz="0" w:val="nil"/>
              <w:bottom w:color="000000" w:space="0" w:sz="8"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0">
            <w:pPr>
              <w:spacing w:after="200" w:lineRule="auto"/>
              <w:jc w:val="both"/>
              <w:rPr>
                <w:sz w:val="24"/>
                <w:szCs w:val="24"/>
              </w:rPr>
            </w:pPr>
            <w:r w:rsidDel="00000000" w:rsidR="00000000" w:rsidRPr="00000000">
              <w:rPr>
                <w:sz w:val="24"/>
                <w:szCs w:val="24"/>
                <w:rtl w:val="0"/>
              </w:rPr>
              <w:t xml:space="preserve">Bateria</w:t>
            </w:r>
          </w:p>
        </w:tc>
        <w:tc>
          <w:tcPr>
            <w:tcBorders>
              <w:top w:color="000000" w:space="0" w:sz="8" w:val="single"/>
              <w:left w:color="000000" w:space="0" w:sz="0" w:val="nil"/>
              <w:bottom w:color="000000" w:space="0" w:sz="8"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1">
            <w:pPr>
              <w:spacing w:after="200" w:lineRule="auto"/>
              <w:jc w:val="center"/>
              <w:rPr>
                <w:sz w:val="24"/>
                <w:szCs w:val="24"/>
              </w:rPr>
            </w:pPr>
            <w:r w:rsidDel="00000000" w:rsidR="00000000" w:rsidRPr="00000000">
              <w:rPr>
                <w:sz w:val="24"/>
                <w:szCs w:val="24"/>
                <w:rtl w:val="0"/>
              </w:rPr>
              <w:t xml:space="preserve">Mn</w:t>
              <w:br w:type="textWrapping"/>
              <w:t xml:space="preserve"> (g L⁻¹)</w:t>
            </w:r>
          </w:p>
        </w:tc>
        <w:tc>
          <w:tcPr>
            <w:tcBorders>
              <w:top w:color="000000" w:space="0" w:sz="8" w:val="single"/>
              <w:left w:color="000000" w:space="0" w:sz="0" w:val="nil"/>
              <w:bottom w:color="000000" w:space="0" w:sz="8"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2">
            <w:pPr>
              <w:spacing w:after="200" w:lineRule="auto"/>
              <w:jc w:val="center"/>
              <w:rPr>
                <w:sz w:val="24"/>
                <w:szCs w:val="24"/>
              </w:rPr>
            </w:pPr>
            <w:r w:rsidDel="00000000" w:rsidR="00000000" w:rsidRPr="00000000">
              <w:rPr>
                <w:sz w:val="24"/>
                <w:szCs w:val="24"/>
                <w:rtl w:val="0"/>
              </w:rPr>
              <w:t xml:space="preserve">Zn</w:t>
              <w:br w:type="textWrapping"/>
              <w:t xml:space="preserve"> (g L⁻¹)</w:t>
            </w:r>
          </w:p>
        </w:tc>
        <w:tc>
          <w:tcPr>
            <w:tcBorders>
              <w:top w:color="000000" w:space="0" w:sz="8" w:val="single"/>
              <w:left w:color="000000" w:space="0" w:sz="0" w:val="nil"/>
              <w:bottom w:color="000000" w:space="0" w:sz="8"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3">
            <w:pPr>
              <w:spacing w:after="200" w:lineRule="auto"/>
              <w:jc w:val="center"/>
              <w:rPr>
                <w:sz w:val="24"/>
                <w:szCs w:val="24"/>
              </w:rPr>
            </w:pPr>
            <w:r w:rsidDel="00000000" w:rsidR="00000000" w:rsidRPr="00000000">
              <w:rPr>
                <w:sz w:val="24"/>
                <w:szCs w:val="24"/>
                <w:rtl w:val="0"/>
              </w:rPr>
              <w:t xml:space="preserve">Fe</w:t>
              <w:br w:type="textWrapping"/>
              <w:t xml:space="preserve"> (g L⁻¹)</w:t>
            </w:r>
          </w:p>
        </w:tc>
      </w:tr>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4">
            <w:pPr>
              <w:spacing w:after="200" w:lineRule="auto"/>
              <w:jc w:val="both"/>
              <w:rPr>
                <w:sz w:val="24"/>
                <w:szCs w:val="24"/>
              </w:rPr>
            </w:pPr>
            <w:r w:rsidDel="00000000" w:rsidR="00000000" w:rsidRPr="00000000">
              <w:rPr>
                <w:sz w:val="24"/>
                <w:szCs w:val="24"/>
                <w:rtl w:val="0"/>
              </w:rPr>
              <w:t xml:space="preserve">Bateria Alcalina</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5">
            <w:pPr>
              <w:spacing w:after="200" w:lineRule="auto"/>
              <w:jc w:val="center"/>
              <w:rPr>
                <w:sz w:val="24"/>
                <w:szCs w:val="24"/>
              </w:rPr>
            </w:pPr>
            <w:r w:rsidDel="00000000" w:rsidR="00000000" w:rsidRPr="00000000">
              <w:rPr>
                <w:sz w:val="24"/>
                <w:szCs w:val="24"/>
                <w:rtl w:val="0"/>
              </w:rPr>
              <w:t xml:space="preserve">13.50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6">
            <w:pPr>
              <w:spacing w:after="200" w:lineRule="auto"/>
              <w:jc w:val="center"/>
              <w:rPr>
                <w:sz w:val="24"/>
                <w:szCs w:val="24"/>
              </w:rPr>
            </w:pPr>
            <w:r w:rsidDel="00000000" w:rsidR="00000000" w:rsidRPr="00000000">
              <w:rPr>
                <w:sz w:val="24"/>
                <w:szCs w:val="24"/>
                <w:rtl w:val="0"/>
              </w:rPr>
              <w:t xml:space="preserve">3.34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7">
            <w:pPr>
              <w:spacing w:after="200" w:lineRule="auto"/>
              <w:jc w:val="center"/>
              <w:rPr>
                <w:sz w:val="24"/>
                <w:szCs w:val="24"/>
              </w:rPr>
            </w:pPr>
            <w:r w:rsidDel="00000000" w:rsidR="00000000" w:rsidRPr="00000000">
              <w:rPr>
                <w:sz w:val="24"/>
                <w:szCs w:val="24"/>
                <w:rtl w:val="0"/>
              </w:rPr>
              <w:t xml:space="preserve">0.21</w:t>
            </w:r>
          </w:p>
        </w:tc>
      </w:tr>
      <w:tr>
        <w:trPr>
          <w:cantSplit w:val="0"/>
          <w:trHeight w:val="465" w:hRule="atLeast"/>
          <w:tblHeader w:val="0"/>
        </w:trPr>
        <w:tc>
          <w:tcPr>
            <w:tcBorders>
              <w:top w:color="000000" w:space="0" w:sz="0" w:val="nil"/>
              <w:left w:color="000000" w:space="0" w:sz="0" w:val="nil"/>
              <w:bottom w:color="000000" w:space="0" w:sz="8"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8">
            <w:pPr>
              <w:spacing w:after="200" w:lineRule="auto"/>
              <w:jc w:val="both"/>
              <w:rPr>
                <w:sz w:val="24"/>
                <w:szCs w:val="24"/>
              </w:rPr>
            </w:pPr>
            <w:r w:rsidDel="00000000" w:rsidR="00000000" w:rsidRPr="00000000">
              <w:rPr>
                <w:sz w:val="24"/>
                <w:szCs w:val="24"/>
                <w:rtl w:val="0"/>
              </w:rPr>
              <w:t xml:space="preserve">Bateria Zinco-Carbono</w:t>
            </w:r>
          </w:p>
        </w:tc>
        <w:tc>
          <w:tcPr>
            <w:tcBorders>
              <w:top w:color="000000" w:space="0" w:sz="0" w:val="nil"/>
              <w:left w:color="000000" w:space="0" w:sz="0" w:val="nil"/>
              <w:bottom w:color="000000" w:space="0" w:sz="8"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9">
            <w:pPr>
              <w:spacing w:after="200" w:lineRule="auto"/>
              <w:jc w:val="center"/>
              <w:rPr>
                <w:sz w:val="24"/>
                <w:szCs w:val="24"/>
              </w:rPr>
            </w:pPr>
            <w:r w:rsidDel="00000000" w:rsidR="00000000" w:rsidRPr="00000000">
              <w:rPr>
                <w:sz w:val="24"/>
                <w:szCs w:val="24"/>
                <w:rtl w:val="0"/>
              </w:rPr>
              <w:t xml:space="preserve">11.98</w:t>
            </w:r>
          </w:p>
        </w:tc>
        <w:tc>
          <w:tcPr>
            <w:tcBorders>
              <w:top w:color="000000" w:space="0" w:sz="0" w:val="nil"/>
              <w:left w:color="000000" w:space="0" w:sz="0" w:val="nil"/>
              <w:bottom w:color="000000" w:space="0" w:sz="8"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A">
            <w:pPr>
              <w:spacing w:after="200" w:lineRule="auto"/>
              <w:jc w:val="center"/>
              <w:rPr>
                <w:sz w:val="24"/>
                <w:szCs w:val="24"/>
              </w:rPr>
            </w:pPr>
            <w:r w:rsidDel="00000000" w:rsidR="00000000" w:rsidRPr="00000000">
              <w:rPr>
                <w:sz w:val="24"/>
                <w:szCs w:val="24"/>
                <w:rtl w:val="0"/>
              </w:rPr>
              <w:t xml:space="preserve">6.25</w:t>
            </w:r>
          </w:p>
        </w:tc>
        <w:tc>
          <w:tcPr>
            <w:tcBorders>
              <w:top w:color="000000" w:space="0" w:sz="0" w:val="nil"/>
              <w:left w:color="000000" w:space="0" w:sz="0" w:val="nil"/>
              <w:bottom w:color="000000" w:space="0" w:sz="8"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B">
            <w:pPr>
              <w:spacing w:after="200" w:lineRule="auto"/>
              <w:jc w:val="center"/>
              <w:rPr>
                <w:sz w:val="24"/>
                <w:szCs w:val="24"/>
              </w:rPr>
            </w:pPr>
            <w:r w:rsidDel="00000000" w:rsidR="00000000" w:rsidRPr="00000000">
              <w:rPr>
                <w:sz w:val="24"/>
                <w:szCs w:val="24"/>
                <w:rtl w:val="0"/>
              </w:rPr>
              <w:t xml:space="preserve">0.01</w:t>
            </w:r>
          </w:p>
        </w:tc>
      </w:tr>
    </w:tbl>
    <w:p w:rsidR="00000000" w:rsidDel="00000000" w:rsidP="00000000" w:rsidRDefault="00000000" w:rsidRPr="00000000" w14:paraId="0000002C">
      <w:pPr>
        <w:spacing w:after="200" w:lineRule="auto"/>
        <w:jc w:val="both"/>
        <w:rPr>
          <w:sz w:val="20"/>
          <w:szCs w:val="20"/>
        </w:rPr>
      </w:pPr>
      <w:r w:rsidDel="00000000" w:rsidR="00000000" w:rsidRPr="00000000">
        <w:rPr>
          <w:sz w:val="20"/>
          <w:szCs w:val="20"/>
          <w:rtl w:val="0"/>
        </w:rPr>
        <w:t xml:space="preserve">Fonte: Elaborado pelos autores.</w:t>
      </w:r>
    </w:p>
    <w:p w:rsidR="00000000" w:rsidDel="00000000" w:rsidP="00000000" w:rsidRDefault="00000000" w:rsidRPr="00000000" w14:paraId="0000002D">
      <w:pPr>
        <w:spacing w:before="1" w:line="360" w:lineRule="auto"/>
        <w:ind w:firstLine="720"/>
        <w:jc w:val="both"/>
        <w:rPr>
          <w:sz w:val="24"/>
          <w:szCs w:val="24"/>
        </w:rPr>
      </w:pPr>
      <w:r w:rsidDel="00000000" w:rsidR="00000000" w:rsidRPr="00000000">
        <w:rPr>
          <w:sz w:val="24"/>
          <w:szCs w:val="24"/>
          <w:rtl w:val="0"/>
        </w:rPr>
        <w:t xml:space="preserve">Em relação ao zinco, observaram-se concentrações de 3,34 g L⁻¹ para as pilhas alcalinas e 6,25 g L⁻¹ para as pilhas zinco-carbono. A maior concentração obtida para as pilhas zinco-carbono pode ser atribuída à sua composição, uma vez que essas apresentam maior proporção de zinco metálico quando comparadas às pilhas alcalinas, comportamento já descrito na literatura para resíduos desse tipo (SADEGHI; AFONSO; VEIT, 2020). As concentrações de ferro permaneceram inferiores às dos demais metais, indicando baixa dissolução desse elemento durante a lixiviação.</w:t>
      </w:r>
    </w:p>
    <w:p w:rsidR="00000000" w:rsidDel="00000000" w:rsidP="00000000" w:rsidRDefault="00000000" w:rsidRPr="00000000" w14:paraId="0000002E">
      <w:pPr>
        <w:spacing w:after="200" w:lineRule="auto"/>
        <w:jc w:val="center"/>
        <w:rPr>
          <w:b w:val="1"/>
          <w:bCs w:val="1"/>
          <w:sz w:val="20"/>
          <w:szCs w:val="20"/>
        </w:rPr>
      </w:pPr>
      <w:r w:rsidDel="00000000" w:rsidR="00000000" w:rsidRPr="00000000">
        <w:rPr>
          <w:b w:val="1"/>
          <w:bCs w:val="1"/>
          <w:sz w:val="20"/>
          <w:szCs w:val="20"/>
          <w:rtl w:val="0"/>
        </w:rPr>
        <w:t xml:space="preserve">Tabela 2. Eficiência estimada de remoção de Mn, Zn e Fe dos lixiviados de pilhas alcalinas obtidos por lixiviação com ácido cítrico. </w:t>
      </w:r>
    </w:p>
    <w:tbl>
      <w:tblPr>
        <w:tblStyle w:val="Table2"/>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20"/>
        <w:gridCol w:w="2205"/>
        <w:gridCol w:w="2190"/>
        <w:gridCol w:w="2190"/>
        <w:tblGridChange w:id="0">
          <w:tblGrid>
            <w:gridCol w:w="2220"/>
            <w:gridCol w:w="2205"/>
            <w:gridCol w:w="2190"/>
            <w:gridCol w:w="2190"/>
          </w:tblGrid>
        </w:tblGridChange>
      </w:tblGrid>
      <w:tr>
        <w:trPr>
          <w:cantSplit w:val="0"/>
          <w:trHeight w:val="720" w:hRule="atLeast"/>
          <w:tblHeader w:val="0"/>
        </w:trPr>
        <w:tc>
          <w:tcPr>
            <w:tcBorders>
              <w:top w:color="000000" w:space="0" w:sz="8" w:val="single"/>
              <w:left w:color="000000" w:space="0" w:sz="0" w:val="nil"/>
              <w:bottom w:color="000000" w:space="0" w:sz="8"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F">
            <w:pPr>
              <w:spacing w:after="200" w:lineRule="auto"/>
              <w:jc w:val="both"/>
              <w:rPr>
                <w:sz w:val="24"/>
                <w:szCs w:val="24"/>
              </w:rPr>
            </w:pPr>
            <w:r w:rsidDel="00000000" w:rsidR="00000000" w:rsidRPr="00000000">
              <w:rPr>
                <w:sz w:val="24"/>
                <w:szCs w:val="24"/>
                <w:rtl w:val="0"/>
              </w:rPr>
              <w:t xml:space="preserve">Bateria </w:t>
            </w:r>
          </w:p>
        </w:tc>
        <w:tc>
          <w:tcPr>
            <w:tcBorders>
              <w:top w:color="000000" w:space="0" w:sz="8" w:val="single"/>
              <w:left w:color="000000" w:space="0" w:sz="0" w:val="nil"/>
              <w:bottom w:color="000000" w:space="0" w:sz="8"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0">
            <w:pPr>
              <w:spacing w:after="200" w:lineRule="auto"/>
              <w:jc w:val="center"/>
              <w:rPr>
                <w:sz w:val="24"/>
                <w:szCs w:val="24"/>
              </w:rPr>
            </w:pPr>
            <w:r w:rsidDel="00000000" w:rsidR="00000000" w:rsidRPr="00000000">
              <w:rPr>
                <w:sz w:val="24"/>
                <w:szCs w:val="24"/>
                <w:rtl w:val="0"/>
              </w:rPr>
              <w:t xml:space="preserve">Mn</w:t>
              <w:br w:type="textWrapping"/>
              <w:t xml:space="preserve"> (%)</w:t>
            </w:r>
          </w:p>
        </w:tc>
        <w:tc>
          <w:tcPr>
            <w:tcBorders>
              <w:top w:color="000000" w:space="0" w:sz="8" w:val="single"/>
              <w:left w:color="000000" w:space="0" w:sz="0" w:val="nil"/>
              <w:bottom w:color="000000" w:space="0" w:sz="8"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1">
            <w:pPr>
              <w:spacing w:after="200" w:lineRule="auto"/>
              <w:jc w:val="center"/>
              <w:rPr>
                <w:sz w:val="24"/>
                <w:szCs w:val="24"/>
              </w:rPr>
            </w:pPr>
            <w:r w:rsidDel="00000000" w:rsidR="00000000" w:rsidRPr="00000000">
              <w:rPr>
                <w:sz w:val="24"/>
                <w:szCs w:val="24"/>
                <w:rtl w:val="0"/>
              </w:rPr>
              <w:t xml:space="preserve">Zn</w:t>
              <w:br w:type="textWrapping"/>
              <w:t xml:space="preserve"> (%)</w:t>
            </w:r>
          </w:p>
        </w:tc>
        <w:tc>
          <w:tcPr>
            <w:tcBorders>
              <w:top w:color="000000" w:space="0" w:sz="8" w:val="single"/>
              <w:left w:color="000000" w:space="0" w:sz="0" w:val="nil"/>
              <w:bottom w:color="000000" w:space="0" w:sz="8"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2">
            <w:pPr>
              <w:spacing w:after="200" w:lineRule="auto"/>
              <w:jc w:val="center"/>
              <w:rPr>
                <w:sz w:val="24"/>
                <w:szCs w:val="24"/>
              </w:rPr>
            </w:pPr>
            <w:r w:rsidDel="00000000" w:rsidR="00000000" w:rsidRPr="00000000">
              <w:rPr>
                <w:sz w:val="24"/>
                <w:szCs w:val="24"/>
                <w:rtl w:val="0"/>
              </w:rPr>
              <w:t xml:space="preserve">Fe</w:t>
              <w:br w:type="textWrapping"/>
              <w:t xml:space="preserve"> (%)</w:t>
            </w:r>
          </w:p>
        </w:tc>
      </w:tr>
      <w:tr>
        <w:trPr>
          <w:cantSplit w:val="0"/>
          <w:trHeight w:val="465" w:hRule="atLeast"/>
          <w:tblHeader w:val="0"/>
        </w:trPr>
        <w:tc>
          <w:tcPr>
            <w:tcBorders>
              <w:top w:color="000000" w:space="0" w:sz="0" w:val="nil"/>
              <w:left w:color="000000" w:space="0" w:sz="0" w:val="nil"/>
              <w:bottom w:color="000000" w:space="0" w:sz="8"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3">
            <w:pPr>
              <w:spacing w:after="200" w:lineRule="auto"/>
              <w:jc w:val="both"/>
              <w:rPr>
                <w:sz w:val="24"/>
                <w:szCs w:val="24"/>
              </w:rPr>
            </w:pPr>
            <w:r w:rsidDel="00000000" w:rsidR="00000000" w:rsidRPr="00000000">
              <w:rPr>
                <w:sz w:val="24"/>
                <w:szCs w:val="24"/>
                <w:rtl w:val="0"/>
              </w:rPr>
              <w:t xml:space="preserve">Bateria Alcalina</w:t>
            </w:r>
          </w:p>
        </w:tc>
        <w:tc>
          <w:tcPr>
            <w:tcBorders>
              <w:top w:color="000000" w:space="0" w:sz="0" w:val="nil"/>
              <w:left w:color="000000" w:space="0" w:sz="0" w:val="nil"/>
              <w:bottom w:color="000000" w:space="0" w:sz="8"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4">
            <w:pPr>
              <w:spacing w:after="200" w:lineRule="auto"/>
              <w:jc w:val="center"/>
              <w:rPr>
                <w:sz w:val="24"/>
                <w:szCs w:val="24"/>
              </w:rPr>
            </w:pPr>
            <w:r w:rsidDel="00000000" w:rsidR="00000000" w:rsidRPr="00000000">
              <w:rPr>
                <w:sz w:val="24"/>
                <w:szCs w:val="24"/>
                <w:rtl w:val="0"/>
              </w:rPr>
              <w:t xml:space="preserve">52.23</w:t>
            </w:r>
          </w:p>
        </w:tc>
        <w:tc>
          <w:tcPr>
            <w:tcBorders>
              <w:top w:color="000000" w:space="0" w:sz="0" w:val="nil"/>
              <w:left w:color="000000" w:space="0" w:sz="0" w:val="nil"/>
              <w:bottom w:color="000000" w:space="0" w:sz="8"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5">
            <w:pPr>
              <w:spacing w:after="200" w:lineRule="auto"/>
              <w:jc w:val="center"/>
              <w:rPr>
                <w:sz w:val="24"/>
                <w:szCs w:val="24"/>
              </w:rPr>
            </w:pPr>
            <w:r w:rsidDel="00000000" w:rsidR="00000000" w:rsidRPr="00000000">
              <w:rPr>
                <w:sz w:val="24"/>
                <w:szCs w:val="24"/>
                <w:rtl w:val="0"/>
              </w:rPr>
              <w:t xml:space="preserve">100</w:t>
            </w:r>
          </w:p>
        </w:tc>
        <w:tc>
          <w:tcPr>
            <w:tcBorders>
              <w:top w:color="000000" w:space="0" w:sz="0" w:val="nil"/>
              <w:left w:color="000000" w:space="0" w:sz="0" w:val="nil"/>
              <w:bottom w:color="000000" w:space="0" w:sz="8"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6">
            <w:pPr>
              <w:spacing w:after="200" w:lineRule="auto"/>
              <w:jc w:val="center"/>
              <w:rPr>
                <w:sz w:val="24"/>
                <w:szCs w:val="24"/>
              </w:rPr>
            </w:pPr>
            <w:r w:rsidDel="00000000" w:rsidR="00000000" w:rsidRPr="00000000">
              <w:rPr>
                <w:sz w:val="24"/>
                <w:szCs w:val="24"/>
                <w:rtl w:val="0"/>
              </w:rPr>
              <w:t xml:space="preserve">2.0</w:t>
            </w:r>
          </w:p>
        </w:tc>
      </w:tr>
    </w:tbl>
    <w:p w:rsidR="00000000" w:rsidDel="00000000" w:rsidP="00000000" w:rsidRDefault="00000000" w:rsidRPr="00000000" w14:paraId="00000037">
      <w:pPr>
        <w:ind w:left="0" w:firstLine="0"/>
        <w:jc w:val="both"/>
        <w:rPr>
          <w:sz w:val="20"/>
          <w:szCs w:val="20"/>
        </w:rPr>
      </w:pPr>
      <w:r w:rsidDel="00000000" w:rsidR="00000000" w:rsidRPr="00000000">
        <w:rPr>
          <w:sz w:val="20"/>
          <w:szCs w:val="20"/>
          <w:rtl w:val="0"/>
        </w:rPr>
        <w:t xml:space="preserve">Fonte: Elaborado pelos autores.</w:t>
      </w:r>
    </w:p>
    <w:p w:rsidR="00000000" w:rsidDel="00000000" w:rsidP="00000000" w:rsidRDefault="00000000" w:rsidRPr="00000000" w14:paraId="00000038">
      <w:pPr>
        <w:ind w:left="0" w:firstLine="0"/>
        <w:jc w:val="both"/>
        <w:rPr>
          <w:sz w:val="24"/>
          <w:szCs w:val="24"/>
        </w:rPr>
      </w:pPr>
      <w:r w:rsidDel="00000000" w:rsidR="00000000" w:rsidRPr="00000000">
        <w:rPr>
          <w:rtl w:val="0"/>
        </w:rPr>
      </w:r>
    </w:p>
    <w:p w:rsidR="00000000" w:rsidDel="00000000" w:rsidP="00000000" w:rsidRDefault="00000000" w:rsidRPr="00000000" w14:paraId="00000039">
      <w:pPr>
        <w:spacing w:before="1" w:line="360" w:lineRule="auto"/>
        <w:ind w:firstLine="720"/>
        <w:jc w:val="both"/>
        <w:rPr>
          <w:sz w:val="24"/>
          <w:szCs w:val="24"/>
        </w:rPr>
      </w:pPr>
      <w:r w:rsidDel="00000000" w:rsidR="00000000" w:rsidRPr="00000000">
        <w:rPr>
          <w:sz w:val="24"/>
          <w:szCs w:val="24"/>
          <w:rtl w:val="0"/>
        </w:rPr>
        <w:t xml:space="preserve">Os resultados apresentados na Tabela 2 demonstram que a recuperação de manganês atingiu 52,23%, enquanto o ferro apresentou recuperação de 2.0%, mantendo,baixa concentração no licor de lixiviação. A recuperação limitada do manganês sugere que parte desse metal permaneceu retida na fase sólida, possivelmente devido à presença de óxidos de manganês com maior estabilidade química e menor suscetibilidade à dissolução nas condições empregadas. </w:t>
      </w:r>
    </w:p>
    <w:p w:rsidR="00000000" w:rsidDel="00000000" w:rsidP="00000000" w:rsidRDefault="00000000" w:rsidRPr="00000000" w14:paraId="0000003A">
      <w:pPr>
        <w:spacing w:before="1" w:line="360" w:lineRule="auto"/>
        <w:ind w:firstLine="720"/>
        <w:jc w:val="both"/>
        <w:rPr>
          <w:sz w:val="24"/>
          <w:szCs w:val="24"/>
        </w:rPr>
      </w:pPr>
      <w:r w:rsidDel="00000000" w:rsidR="00000000" w:rsidRPr="00000000">
        <w:rPr>
          <w:sz w:val="24"/>
          <w:szCs w:val="24"/>
          <w:rtl w:val="0"/>
        </w:rPr>
        <w:t xml:space="preserve">Embora a  recuperação de zinco foi 100%, esse comportamento pode representar uma vantagem para etapas subsequentes de separação hidrometalúrgica. A predominância de manganês em solução favorece a obtenção de um licor enriquecido nesse metal, reduzindo interferências durante as etapas de purificação e possibilitando sua recuperação com maior seletividade.</w:t>
      </w:r>
    </w:p>
    <w:p w:rsidR="00000000" w:rsidDel="00000000" w:rsidP="00000000" w:rsidRDefault="00000000" w:rsidRPr="00000000" w14:paraId="0000003B">
      <w:pPr>
        <w:spacing w:before="1" w:line="360" w:lineRule="auto"/>
        <w:ind w:firstLine="720"/>
        <w:jc w:val="both"/>
        <w:rPr>
          <w:sz w:val="24"/>
          <w:szCs w:val="24"/>
        </w:rPr>
      </w:pPr>
      <w:r w:rsidDel="00000000" w:rsidR="00000000" w:rsidRPr="00000000">
        <w:rPr>
          <w:sz w:val="24"/>
          <w:szCs w:val="24"/>
          <w:rtl w:val="0"/>
        </w:rPr>
        <w:t xml:space="preserve">De modo geral, os resultados demonstram que a lixiviação utilizando ácido cítrico constitui uma alternativa tecnicamente viável para a recuperação de manganês proveniente de pilhas exauridas. Além de empregar um reagente biodegradável e de menor impacto ambiental em comparação aos ácidos minerais tradicionalmente utilizados, o processo contribui para a valorização de resíduos e para a reinserção de metais estratégicos na cadeia produtiva. Sob a perspectiva da economia circular, essa abordagem reduz a necessidade de exploração de recursos minerais primários e, consequentemente, contribui para minimizar os impactos ambientais associados à mineração, favorecendo a conservação da biodiversidade.</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b w:val="1"/>
          <w:bCs w:val="1"/>
          <w:sz w:val="28"/>
          <w:szCs w:val="28"/>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Conclusão</w:t>
      </w:r>
      <w:r w:rsidDel="00000000" w:rsidR="00000000" w:rsidRPr="00000000">
        <w:rPr>
          <w:rtl w:val="0"/>
        </w:rPr>
      </w:r>
    </w:p>
    <w:p w:rsidR="00000000" w:rsidDel="00000000" w:rsidP="00000000" w:rsidRDefault="00000000" w:rsidRPr="00000000" w14:paraId="0000003E">
      <w:pPr>
        <w:spacing w:line="360" w:lineRule="auto"/>
        <w:jc w:val="both"/>
        <w:rPr>
          <w:sz w:val="24"/>
          <w:szCs w:val="24"/>
        </w:rPr>
      </w:pPr>
      <w:r w:rsidDel="00000000" w:rsidR="00000000" w:rsidRPr="00000000">
        <w:rPr>
          <w:sz w:val="24"/>
          <w:szCs w:val="24"/>
          <w:rtl w:val="0"/>
        </w:rPr>
        <w:t xml:space="preserve">Os resultados obtidos demonstraram que a lixiviação com ácido cítrico constitui uma alternativa viável para a recuperação de manganês proveniente de pilhas exauridas, promovendo a solubilização desse metal e evidenciando o potencial de aplicação de ácidos orgânicos em processos hidrometalúrgicos mais sustentáveis. A predominância de manganês nos licores de lixiviação e a recuperação de 52,23% confirmam a eficiência do processo nas condições experimentais empregadas, além de indicarem a possibilidade de otimização da rota para aumentar o rendimento de extração.</w:t>
      </w:r>
    </w:p>
    <w:p w:rsidR="00000000" w:rsidDel="00000000" w:rsidP="00000000" w:rsidRDefault="00000000" w:rsidRPr="00000000" w14:paraId="0000003F">
      <w:pPr>
        <w:spacing w:line="360" w:lineRule="auto"/>
        <w:jc w:val="both"/>
        <w:rPr>
          <w:sz w:val="24"/>
          <w:szCs w:val="24"/>
        </w:rPr>
      </w:pPr>
      <w:r w:rsidDel="00000000" w:rsidR="00000000" w:rsidRPr="00000000">
        <w:rPr>
          <w:sz w:val="24"/>
          <w:szCs w:val="24"/>
          <w:rtl w:val="0"/>
        </w:rPr>
        <w:t xml:space="preserve">A utilização de ácido cítrico, por se tratar de um reagente biodegradável e de menor impacto ambiental em comparação aos ácidos minerais convencionais, reforça o potencial dessa tecnologia para a valorização de resíduos de pilhas e a recuperação de matérias-primas secundárias. Dessa forma, a rota proposta contribui para os princípios da economia circular ao favorecer a reinserção de metais estratégicos na cadeia produtiva e reduzir a demanda por recursos minerais primários.</w:t>
      </w:r>
    </w:p>
    <w:p w:rsidR="00000000" w:rsidDel="00000000" w:rsidP="00000000" w:rsidRDefault="00000000" w:rsidRPr="00000000" w14:paraId="00000040">
      <w:pPr>
        <w:spacing w:line="360" w:lineRule="auto"/>
        <w:jc w:val="both"/>
        <w:rPr>
          <w:sz w:val="24"/>
          <w:szCs w:val="24"/>
        </w:rPr>
      </w:pPr>
      <w:r w:rsidDel="00000000" w:rsidR="00000000" w:rsidRPr="00000000">
        <w:rPr>
          <w:sz w:val="24"/>
          <w:szCs w:val="24"/>
          <w:rtl w:val="0"/>
        </w:rPr>
        <w:t xml:space="preserve">Conclui-se, portanto, que a recuperação de manganês por lixiviação com ácido cítrico representa uma alternativa promissora para o gerenciamento sustentável de resíduos eletroquímicos, contribuindo para a redução dos impactos ambientais associados ao descarte inadequado de pilhas e à exploração mineral. Ainda que de forma indireta, essa abordagem favorece a conservação dos ecossistemas ao diminuir a pressão sobre a extração de recursos naturais, estando alinhada às estratégias de preservação da biodiversidade e aos princípios do desenvolvimento sustentável.</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b w:val="1"/>
          <w:bCs w:val="1"/>
          <w:sz w:val="28"/>
          <w:szCs w:val="28"/>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Agradecimentos</w:t>
      </w: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Gostaria de agradecer ao Centro de Tecnologia Mineral (CETEM) pela concessão da bolsa de iniciação científica. Esse apoio foi fundamental para o avanço deste estudo.</w:t>
      </w: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Referências</w:t>
      </w:r>
    </w:p>
    <w:p w:rsidR="00000000" w:rsidDel="00000000" w:rsidP="00000000" w:rsidRDefault="00000000" w:rsidRPr="00000000" w14:paraId="00000046">
      <w:pPr>
        <w:numPr>
          <w:ilvl w:val="0"/>
          <w:numId w:val="1"/>
        </w:numPr>
        <w:spacing w:line="240" w:lineRule="auto"/>
        <w:ind w:left="720" w:hanging="360"/>
        <w:rPr>
          <w:sz w:val="24"/>
          <w:szCs w:val="24"/>
          <w:u w:val="none"/>
        </w:rPr>
      </w:pPr>
      <w:r w:rsidDel="00000000" w:rsidR="00000000" w:rsidRPr="00000000">
        <w:rPr>
          <w:sz w:val="24"/>
          <w:szCs w:val="24"/>
          <w:rtl w:val="0"/>
        </w:rPr>
        <w:t xml:space="preserve">BALDÉ, C. P. et al. Global E-waste Monitor 2024. Geneva: ITU; UNITAR, 2024.</w:t>
      </w:r>
    </w:p>
    <w:p w:rsidR="00000000" w:rsidDel="00000000" w:rsidP="00000000" w:rsidRDefault="00000000" w:rsidRPr="00000000" w14:paraId="00000047">
      <w:pPr>
        <w:numPr>
          <w:ilvl w:val="0"/>
          <w:numId w:val="1"/>
        </w:numPr>
        <w:spacing w:line="240" w:lineRule="auto"/>
        <w:ind w:left="720" w:hanging="360"/>
        <w:rPr>
          <w:sz w:val="24"/>
          <w:szCs w:val="24"/>
          <w:u w:val="none"/>
        </w:rPr>
      </w:pPr>
      <w:r w:rsidDel="00000000" w:rsidR="00000000" w:rsidRPr="00000000">
        <w:rPr>
          <w:sz w:val="24"/>
          <w:szCs w:val="24"/>
          <w:rtl w:val="0"/>
        </w:rPr>
        <w:t xml:space="preserve">GHASEMI, M. et al. Bioleaching metal-bearing wastes and by-products for resource recovery: a review. Environmental Chemistry Letters, v. 21, p. 3329-3350, 2023.</w:t>
      </w:r>
    </w:p>
    <w:p w:rsidR="00000000" w:rsidDel="00000000" w:rsidP="00000000" w:rsidRDefault="00000000" w:rsidRPr="00000000" w14:paraId="00000048">
      <w:pPr>
        <w:numPr>
          <w:ilvl w:val="0"/>
          <w:numId w:val="1"/>
        </w:numPr>
        <w:spacing w:line="240" w:lineRule="auto"/>
        <w:ind w:left="720" w:hanging="360"/>
        <w:rPr>
          <w:sz w:val="24"/>
          <w:szCs w:val="24"/>
          <w:u w:val="none"/>
        </w:rPr>
      </w:pPr>
      <w:r w:rsidDel="00000000" w:rsidR="00000000" w:rsidRPr="00000000">
        <w:rPr>
          <w:sz w:val="24"/>
          <w:szCs w:val="24"/>
          <w:rtl w:val="0"/>
        </w:rPr>
        <w:t xml:space="preserve">INTERGOVERNMENTAL SCIENCE-POLICY PLATFORM ON BIODIVERSITY AND ECOSYSTEM SERVICES (IPBES). Global assessment report on biodiversity and ecosystem services. Bonn: IPBES Secretariat, 2019.</w:t>
      </w:r>
    </w:p>
    <w:p w:rsidR="00000000" w:rsidDel="00000000" w:rsidP="00000000" w:rsidRDefault="00000000" w:rsidRPr="00000000" w14:paraId="00000049">
      <w:pPr>
        <w:numPr>
          <w:ilvl w:val="0"/>
          <w:numId w:val="1"/>
        </w:numPr>
        <w:spacing w:line="240" w:lineRule="auto"/>
        <w:ind w:left="720" w:hanging="360"/>
        <w:rPr>
          <w:sz w:val="24"/>
          <w:szCs w:val="24"/>
          <w:u w:val="none"/>
        </w:rPr>
      </w:pPr>
      <w:r w:rsidDel="00000000" w:rsidR="00000000" w:rsidRPr="00000000">
        <w:rPr>
          <w:sz w:val="24"/>
          <w:szCs w:val="24"/>
          <w:rtl w:val="0"/>
        </w:rPr>
        <w:t xml:space="preserve">MARTINS, L. S.; ROVANI, S.; BOTELHO JUNIOR, A. B.; ESPINOSA, D. C. R. Sustainable approach for critical metals recovery through hydrometallurgical processing of spent batteries using organic acids. Industrial &amp; Engineering Chemistry Research, v. 62, n. 44, p. 18672-18682, 2023.</w:t>
      </w:r>
    </w:p>
    <w:p w:rsidR="00000000" w:rsidDel="00000000" w:rsidP="00000000" w:rsidRDefault="00000000" w:rsidRPr="00000000" w14:paraId="0000004A">
      <w:pPr>
        <w:numPr>
          <w:ilvl w:val="0"/>
          <w:numId w:val="1"/>
        </w:numPr>
        <w:spacing w:line="240" w:lineRule="auto"/>
        <w:ind w:left="720" w:hanging="360"/>
        <w:rPr>
          <w:sz w:val="24"/>
          <w:szCs w:val="24"/>
          <w:u w:val="none"/>
        </w:rPr>
      </w:pPr>
      <w:r w:rsidDel="00000000" w:rsidR="00000000" w:rsidRPr="00000000">
        <w:rPr>
          <w:sz w:val="24"/>
          <w:szCs w:val="24"/>
          <w:rtl w:val="0"/>
        </w:rPr>
        <w:t xml:space="preserve">SADEGHI, S. M.; AFONSO, J. C.; VEIT, H. M. A critical updated review of the hydrometallurgical routes for recycling zinc and manganese from spent zinc-based batteries. Waste Management, v. 113, p. 342-350, 2020.</w:t>
      </w:r>
      <w:r w:rsidDel="00000000" w:rsidR="00000000" w:rsidRPr="00000000">
        <w:rPr>
          <w:rtl w:val="0"/>
        </w:rPr>
      </w:r>
    </w:p>
    <w:sectPr>
      <w:headerReference r:id="rId6" w:type="default"/>
      <w:footerReference r:id="rId7" w:type="default"/>
      <w:pgSz w:h="16840" w:w="11910" w:orient="portrait"/>
      <w:pgMar w:bottom="1134" w:top="1701" w:left="1701" w:right="1134" w:header="0" w:footer="141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0" distR="0" hidden="0" layoutInCell="1" locked="0" relativeHeight="0" simplePos="0">
          <wp:simplePos x="0" y="0"/>
          <wp:positionH relativeFrom="page">
            <wp:posOffset>6350</wp:posOffset>
          </wp:positionH>
          <wp:positionV relativeFrom="page">
            <wp:posOffset>0</wp:posOffset>
          </wp:positionV>
          <wp:extent cx="7557072" cy="1060530"/>
          <wp:effectExtent b="0" l="0" r="0" t="0"/>
          <wp:wrapNone/>
          <wp:docPr id="1"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7557072" cy="1060530"/>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5753100" cy="996950"/>
          <wp:effectExtent b="0" l="0" r="0" t="0"/>
          <wp:docPr id="2"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5753100" cy="9969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367" w:lineRule="auto"/>
      <w:ind w:left="75" w:right="209"/>
      <w:jc w:val="center"/>
    </w:pPr>
    <w:rPr>
      <w:b w:val="1"/>
      <w:bCs w:val="1"/>
      <w:sz w:val="32"/>
      <w:szCs w:val="3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2026-01-27T00:00:00Z</vt:lpwstr>
  </property>
  <property fmtid="{D5CDD505-2E9C-101B-9397-08002B2CF9AE}" pid="3" name="Creator">
    <vt:lpwstr>Microsoft Word</vt:lpwstr>
  </property>
  <property fmtid="{D5CDD505-2E9C-101B-9397-08002B2CF9AE}" pid="4" name="LastSaved">
    <vt:lpwstr>2026-01-27T00:00:00Z</vt:lpwstr>
  </property>
</Properties>
</file>