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A648E6" w:rsidRDefault="008056F0">
      <w:r w:rsidRPr="00A648E6">
        <w:rPr>
          <w:noProof/>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A648E6">
        <w:t xml:space="preserve"> </w:t>
      </w:r>
    </w:p>
    <w:p w14:paraId="30E4083F" w14:textId="29AA7D96" w:rsidR="00F61559" w:rsidRDefault="00F61559" w:rsidP="00F61559">
      <w:pPr>
        <w:spacing w:after="120"/>
        <w:ind w:right="-427"/>
        <w:jc w:val="center"/>
        <w:rPr>
          <w:rFonts w:ascii="Arial" w:hAnsi="Arial" w:cs="Arial"/>
          <w:b/>
          <w:bCs/>
          <w:sz w:val="28"/>
          <w:szCs w:val="28"/>
        </w:rPr>
      </w:pPr>
      <w:bookmarkStart w:id="0" w:name="_Hlk180626776"/>
      <w:r w:rsidRPr="00F61559">
        <w:rPr>
          <w:rFonts w:ascii="Arial" w:hAnsi="Arial" w:cs="Arial"/>
          <w:b/>
          <w:bCs/>
          <w:i/>
          <w:iCs/>
          <w:sz w:val="28"/>
          <w:szCs w:val="28"/>
        </w:rPr>
        <w:t>IN VITRO</w:t>
      </w:r>
      <w:r w:rsidRPr="00F61559">
        <w:rPr>
          <w:rFonts w:ascii="Arial" w:hAnsi="Arial" w:cs="Arial"/>
          <w:b/>
          <w:bCs/>
          <w:sz w:val="28"/>
          <w:szCs w:val="28"/>
        </w:rPr>
        <w:t xml:space="preserve"> EFFECTS OF SB-44 AGAINST </w:t>
      </w:r>
      <w:r w:rsidRPr="00F61559">
        <w:rPr>
          <w:rFonts w:ascii="Arial" w:hAnsi="Arial" w:cs="Arial"/>
          <w:b/>
          <w:bCs/>
          <w:i/>
          <w:iCs/>
          <w:sz w:val="28"/>
          <w:szCs w:val="28"/>
        </w:rPr>
        <w:t>Leishmania (Leishmania) infantum</w:t>
      </w:r>
      <w:r w:rsidRPr="00F61559">
        <w:rPr>
          <w:rFonts w:ascii="Arial" w:hAnsi="Arial" w:cs="Arial"/>
          <w:b/>
          <w:bCs/>
          <w:sz w:val="28"/>
          <w:szCs w:val="28"/>
        </w:rPr>
        <w:t xml:space="preserve"> AMASTIGOTES AND IMMUNE </w:t>
      </w:r>
      <w:r w:rsidR="003439AE">
        <w:rPr>
          <w:rFonts w:ascii="Arial" w:hAnsi="Arial" w:cs="Arial"/>
          <w:b/>
          <w:bCs/>
          <w:sz w:val="28"/>
          <w:szCs w:val="28"/>
        </w:rPr>
        <w:t xml:space="preserve">RESPONSE </w:t>
      </w:r>
      <w:r w:rsidRPr="00F61559">
        <w:rPr>
          <w:rFonts w:ascii="Arial" w:hAnsi="Arial" w:cs="Arial"/>
          <w:b/>
          <w:bCs/>
          <w:sz w:val="28"/>
          <w:szCs w:val="28"/>
        </w:rPr>
        <w:t>MODULATION</w:t>
      </w:r>
    </w:p>
    <w:p w14:paraId="070B07DC" w14:textId="160406C6" w:rsidR="00EB797F" w:rsidRPr="00F61559" w:rsidRDefault="00EB797F" w:rsidP="00EB797F">
      <w:pPr>
        <w:spacing w:after="120"/>
        <w:ind w:right="-427"/>
        <w:jc w:val="both"/>
        <w:rPr>
          <w:rFonts w:ascii="Arial" w:eastAsia="Arial" w:hAnsi="Arial" w:cs="Arial"/>
          <w:b/>
          <w:color w:val="000000"/>
          <w:sz w:val="20"/>
          <w:szCs w:val="20"/>
          <w:lang w:val="pt-BR"/>
        </w:rPr>
      </w:pPr>
      <w:r w:rsidRPr="00F61559">
        <w:rPr>
          <w:rFonts w:ascii="Arial" w:eastAsia="Arial" w:hAnsi="Arial" w:cs="Arial"/>
          <w:b/>
          <w:color w:val="000000"/>
          <w:sz w:val="20"/>
          <w:szCs w:val="20"/>
          <w:u w:val="single"/>
          <w:lang w:val="pt-BR"/>
        </w:rPr>
        <w:t>Yasmim A. A. Machado</w:t>
      </w:r>
      <w:r w:rsidRPr="00F61559">
        <w:rPr>
          <w:rFonts w:ascii="Arial" w:eastAsia="Arial" w:hAnsi="Arial" w:cs="Arial"/>
          <w:b/>
          <w:color w:val="000000"/>
          <w:sz w:val="20"/>
          <w:szCs w:val="20"/>
          <w:lang w:val="pt-BR"/>
        </w:rPr>
        <w:t xml:space="preserve"> (PG),</w:t>
      </w:r>
      <w:r w:rsidRPr="00F61559">
        <w:rPr>
          <w:rFonts w:ascii="Arial" w:eastAsia="Arial" w:hAnsi="Arial" w:cs="Arial"/>
          <w:b/>
          <w:color w:val="000000"/>
          <w:sz w:val="20"/>
          <w:szCs w:val="20"/>
          <w:vertAlign w:val="superscript"/>
          <w:lang w:val="pt-BR"/>
        </w:rPr>
        <w:t>1</w:t>
      </w:r>
      <w:r w:rsidR="007370BB">
        <w:rPr>
          <w:rFonts w:ascii="Arial" w:eastAsia="Arial" w:hAnsi="Arial" w:cs="Arial"/>
          <w:b/>
          <w:color w:val="000000"/>
          <w:sz w:val="20"/>
          <w:szCs w:val="20"/>
          <w:vertAlign w:val="superscript"/>
          <w:lang w:val="pt-BR"/>
        </w:rPr>
        <w:t>*</w:t>
      </w:r>
      <w:r w:rsidRPr="00F61559">
        <w:rPr>
          <w:rFonts w:ascii="Arial" w:eastAsia="Arial" w:hAnsi="Arial" w:cs="Arial"/>
          <w:b/>
          <w:color w:val="000000"/>
          <w:sz w:val="20"/>
          <w:szCs w:val="20"/>
          <w:vertAlign w:val="superscript"/>
          <w:lang w:val="pt-BR"/>
        </w:rPr>
        <w:t xml:space="preserve"> </w:t>
      </w:r>
      <w:r w:rsidRPr="00F61559">
        <w:rPr>
          <w:rFonts w:ascii="Arial" w:eastAsia="Arial" w:hAnsi="Arial" w:cs="Arial"/>
          <w:b/>
          <w:color w:val="000000"/>
          <w:sz w:val="20"/>
          <w:szCs w:val="20"/>
          <w:lang w:val="pt-BR"/>
        </w:rPr>
        <w:t>Julyanne M. S. Sousa (PG),</w:t>
      </w:r>
      <w:r w:rsidRPr="00F61559">
        <w:rPr>
          <w:rFonts w:ascii="Arial" w:eastAsia="Arial" w:hAnsi="Arial" w:cs="Arial"/>
          <w:b/>
          <w:color w:val="000000"/>
          <w:sz w:val="20"/>
          <w:szCs w:val="20"/>
          <w:vertAlign w:val="superscript"/>
          <w:lang w:val="pt-BR"/>
        </w:rPr>
        <w:t xml:space="preserve">1 </w:t>
      </w:r>
      <w:r w:rsidR="003B5859">
        <w:rPr>
          <w:rFonts w:ascii="Arial" w:eastAsia="Arial" w:hAnsi="Arial" w:cs="Arial"/>
          <w:b/>
          <w:color w:val="000000"/>
          <w:sz w:val="20"/>
          <w:szCs w:val="20"/>
          <w:lang w:val="pt-BR"/>
        </w:rPr>
        <w:t>Raiza R. L. Rodrigues (PG),</w:t>
      </w:r>
      <w:r w:rsidR="003B5859">
        <w:rPr>
          <w:rFonts w:ascii="Arial" w:eastAsia="Arial" w:hAnsi="Arial" w:cs="Arial"/>
          <w:b/>
          <w:color w:val="000000"/>
          <w:sz w:val="20"/>
          <w:szCs w:val="20"/>
          <w:vertAlign w:val="superscript"/>
          <w:lang w:val="pt-BR"/>
        </w:rPr>
        <w:t>1</w:t>
      </w:r>
      <w:r w:rsidR="00792EB1">
        <w:rPr>
          <w:rFonts w:ascii="Arial" w:eastAsia="Arial" w:hAnsi="Arial" w:cs="Arial"/>
          <w:b/>
          <w:color w:val="000000"/>
          <w:sz w:val="20"/>
          <w:szCs w:val="20"/>
          <w:lang w:val="pt-BR"/>
        </w:rPr>
        <w:t xml:space="preserve"> Franciregina</w:t>
      </w:r>
      <w:r w:rsidR="003B5859">
        <w:rPr>
          <w:rFonts w:ascii="Arial" w:eastAsia="Arial" w:hAnsi="Arial" w:cs="Arial"/>
          <w:b/>
          <w:color w:val="000000"/>
          <w:sz w:val="20"/>
          <w:szCs w:val="20"/>
          <w:lang w:val="pt-BR"/>
        </w:rPr>
        <w:t xml:space="preserve"> </w:t>
      </w:r>
      <w:r w:rsidR="007370BB">
        <w:rPr>
          <w:rFonts w:ascii="Arial" w:eastAsia="Arial" w:hAnsi="Arial" w:cs="Arial"/>
          <w:b/>
          <w:color w:val="000000"/>
          <w:sz w:val="20"/>
          <w:szCs w:val="20"/>
          <w:lang w:val="pt-BR"/>
        </w:rPr>
        <w:t>S. Araújo (G),</w:t>
      </w:r>
      <w:r w:rsidR="007370BB">
        <w:rPr>
          <w:rFonts w:ascii="Arial" w:eastAsia="Arial" w:hAnsi="Arial" w:cs="Arial"/>
          <w:b/>
          <w:color w:val="000000"/>
          <w:sz w:val="20"/>
          <w:szCs w:val="20"/>
          <w:vertAlign w:val="superscript"/>
          <w:lang w:val="pt-BR"/>
        </w:rPr>
        <w:t>1</w:t>
      </w:r>
      <w:r w:rsidR="007370BB">
        <w:rPr>
          <w:rFonts w:ascii="Arial" w:eastAsia="Arial" w:hAnsi="Arial" w:cs="Arial"/>
          <w:b/>
          <w:color w:val="000000"/>
          <w:sz w:val="20"/>
          <w:szCs w:val="20"/>
          <w:lang w:val="pt-BR"/>
        </w:rPr>
        <w:t xml:space="preserve"> </w:t>
      </w:r>
      <w:r w:rsidRPr="00F61559">
        <w:rPr>
          <w:rFonts w:ascii="Arial" w:eastAsia="Arial" w:hAnsi="Arial" w:cs="Arial"/>
          <w:b/>
          <w:color w:val="000000"/>
          <w:sz w:val="20"/>
          <w:szCs w:val="20"/>
          <w:lang w:val="pt-BR"/>
        </w:rPr>
        <w:t>Francisco J. B. M. Junior (Prof),</w:t>
      </w:r>
      <w:r w:rsidRPr="00F61559">
        <w:rPr>
          <w:rFonts w:ascii="Arial" w:eastAsia="Arial" w:hAnsi="Arial" w:cs="Arial"/>
          <w:b/>
          <w:color w:val="000000"/>
          <w:sz w:val="20"/>
          <w:szCs w:val="20"/>
          <w:vertAlign w:val="superscript"/>
          <w:lang w:val="pt-BR"/>
        </w:rPr>
        <w:t xml:space="preserve">2 </w:t>
      </w:r>
      <w:r w:rsidRPr="00F61559">
        <w:rPr>
          <w:rFonts w:ascii="Arial" w:eastAsia="Arial" w:hAnsi="Arial" w:cs="Arial"/>
          <w:b/>
          <w:color w:val="000000"/>
          <w:sz w:val="20"/>
          <w:szCs w:val="20"/>
          <w:lang w:val="pt-BR"/>
        </w:rPr>
        <w:t>Klinger A. F. Rodrigues (Prof),</w:t>
      </w:r>
      <w:r w:rsidRPr="00F61559">
        <w:rPr>
          <w:rFonts w:ascii="Arial" w:eastAsia="Arial" w:hAnsi="Arial" w:cs="Arial"/>
          <w:b/>
          <w:color w:val="000000"/>
          <w:sz w:val="20"/>
          <w:szCs w:val="20"/>
          <w:vertAlign w:val="superscript"/>
          <w:lang w:val="pt-BR"/>
        </w:rPr>
        <w:t>1</w:t>
      </w:r>
      <w:r w:rsidRPr="00F61559">
        <w:rPr>
          <w:rFonts w:ascii="Arial" w:eastAsia="Arial" w:hAnsi="Arial" w:cs="Arial"/>
          <w:b/>
          <w:color w:val="000000"/>
          <w:sz w:val="20"/>
          <w:szCs w:val="20"/>
          <w:lang w:val="pt-BR"/>
        </w:rPr>
        <w:t>.</w:t>
      </w:r>
    </w:p>
    <w:p w14:paraId="4D3931FA" w14:textId="615057B2" w:rsidR="00EB797F" w:rsidRPr="00D54820" w:rsidRDefault="00EB797F" w:rsidP="00EB797F">
      <w:pPr>
        <w:spacing w:after="120"/>
        <w:ind w:right="-427"/>
        <w:jc w:val="both"/>
        <w:rPr>
          <w:rFonts w:ascii="Arial" w:eastAsia="Arial" w:hAnsi="Arial" w:cs="Arial"/>
          <w:bCs/>
          <w:color w:val="000000"/>
          <w:sz w:val="20"/>
          <w:szCs w:val="20"/>
        </w:rPr>
      </w:pPr>
      <w:hyperlink r:id="rId7" w:history="1">
        <w:r w:rsidRPr="00D54820">
          <w:rPr>
            <w:rStyle w:val="Hyperlink"/>
            <w:rFonts w:ascii="Arial" w:eastAsia="Arial" w:hAnsi="Arial" w:cs="Arial"/>
            <w:b/>
            <w:sz w:val="20"/>
            <w:szCs w:val="20"/>
          </w:rPr>
          <w:t>yasmimairesmachado@gmail.com</w:t>
        </w:r>
      </w:hyperlink>
    </w:p>
    <w:p w14:paraId="263F205C" w14:textId="28CD894E" w:rsidR="00EB797F" w:rsidRPr="00D54820" w:rsidRDefault="00EB797F" w:rsidP="00EB797F">
      <w:pPr>
        <w:spacing w:after="120"/>
        <w:ind w:right="-427"/>
        <w:jc w:val="both"/>
        <w:rPr>
          <w:rFonts w:ascii="Arial" w:eastAsia="Arial" w:hAnsi="Arial" w:cs="Arial"/>
          <w:bCs/>
          <w:i/>
          <w:iCs/>
          <w:color w:val="000000"/>
          <w:sz w:val="18"/>
          <w:szCs w:val="18"/>
        </w:rPr>
      </w:pPr>
      <w:r w:rsidRPr="00D54820">
        <w:rPr>
          <w:rFonts w:ascii="Arial" w:eastAsia="Arial" w:hAnsi="Arial" w:cs="Arial"/>
          <w:bCs/>
          <w:i/>
          <w:iCs/>
          <w:color w:val="000000"/>
          <w:sz w:val="18"/>
          <w:szCs w:val="18"/>
          <w:vertAlign w:val="superscript"/>
        </w:rPr>
        <w:t>1</w:t>
      </w:r>
      <w:r w:rsidRPr="00D54820">
        <w:rPr>
          <w:rFonts w:ascii="Arial" w:eastAsia="Arial" w:hAnsi="Arial" w:cs="Arial"/>
          <w:bCs/>
          <w:i/>
          <w:iCs/>
          <w:color w:val="000000"/>
          <w:sz w:val="18"/>
          <w:szCs w:val="18"/>
        </w:rPr>
        <w:t xml:space="preserve"> </w:t>
      </w:r>
      <w:r w:rsidRPr="00EB797F">
        <w:rPr>
          <w:rFonts w:ascii="Arial" w:eastAsia="Arial" w:hAnsi="Arial" w:cs="Arial"/>
          <w:bCs/>
          <w:i/>
          <w:iCs/>
          <w:color w:val="000000"/>
          <w:sz w:val="18"/>
          <w:szCs w:val="18"/>
        </w:rPr>
        <w:t xml:space="preserve">Infectious Disease Laboratory, Campus Ministro Reis Velloso, Federal University of </w:t>
      </w:r>
      <w:r w:rsidR="00062E4D" w:rsidRPr="00EB797F">
        <w:rPr>
          <w:rFonts w:ascii="Arial" w:eastAsia="Arial" w:hAnsi="Arial" w:cs="Arial"/>
          <w:bCs/>
          <w:i/>
          <w:iCs/>
          <w:color w:val="000000"/>
          <w:sz w:val="18"/>
          <w:szCs w:val="18"/>
        </w:rPr>
        <w:t>Parnaiba</w:t>
      </w:r>
      <w:r w:rsidRPr="00EB797F">
        <w:rPr>
          <w:rFonts w:ascii="Arial" w:eastAsia="Arial" w:hAnsi="Arial" w:cs="Arial"/>
          <w:bCs/>
          <w:i/>
          <w:iCs/>
          <w:color w:val="000000"/>
          <w:sz w:val="18"/>
          <w:szCs w:val="18"/>
        </w:rPr>
        <w:t xml:space="preserve"> Delta, 64202-020 </w:t>
      </w:r>
      <w:r w:rsidR="00062E4D" w:rsidRPr="00EB797F">
        <w:rPr>
          <w:rFonts w:ascii="Arial" w:eastAsia="Arial" w:hAnsi="Arial" w:cs="Arial"/>
          <w:bCs/>
          <w:i/>
          <w:iCs/>
          <w:color w:val="000000"/>
          <w:sz w:val="18"/>
          <w:szCs w:val="18"/>
        </w:rPr>
        <w:t>Parnaiba</w:t>
      </w:r>
      <w:r w:rsidRPr="00EB797F">
        <w:rPr>
          <w:rFonts w:ascii="Arial" w:eastAsia="Arial" w:hAnsi="Arial" w:cs="Arial"/>
          <w:bCs/>
          <w:i/>
          <w:iCs/>
          <w:color w:val="000000"/>
          <w:sz w:val="18"/>
          <w:szCs w:val="18"/>
        </w:rPr>
        <w:t>, PI, Bra</w:t>
      </w:r>
      <w:r w:rsidR="00062E4D">
        <w:rPr>
          <w:rFonts w:ascii="Arial" w:eastAsia="Arial" w:hAnsi="Arial" w:cs="Arial"/>
          <w:bCs/>
          <w:i/>
          <w:iCs/>
          <w:color w:val="000000"/>
          <w:sz w:val="18"/>
          <w:szCs w:val="18"/>
        </w:rPr>
        <w:t>z</w:t>
      </w:r>
      <w:r w:rsidRPr="00EB797F">
        <w:rPr>
          <w:rFonts w:ascii="Arial" w:eastAsia="Arial" w:hAnsi="Arial" w:cs="Arial"/>
          <w:bCs/>
          <w:i/>
          <w:iCs/>
          <w:color w:val="000000"/>
          <w:sz w:val="18"/>
          <w:szCs w:val="18"/>
        </w:rPr>
        <w:t>il</w:t>
      </w:r>
      <w:r>
        <w:rPr>
          <w:rFonts w:ascii="Arial" w:eastAsia="Arial" w:hAnsi="Arial" w:cs="Arial"/>
          <w:bCs/>
          <w:i/>
          <w:iCs/>
          <w:color w:val="000000"/>
          <w:sz w:val="18"/>
          <w:szCs w:val="18"/>
        </w:rPr>
        <w:t xml:space="preserve">; </w:t>
      </w:r>
      <w:r>
        <w:rPr>
          <w:rFonts w:ascii="Arial" w:eastAsia="Arial" w:hAnsi="Arial" w:cs="Arial"/>
          <w:bCs/>
          <w:i/>
          <w:iCs/>
          <w:color w:val="000000"/>
          <w:sz w:val="18"/>
          <w:szCs w:val="18"/>
          <w:vertAlign w:val="superscript"/>
        </w:rPr>
        <w:t>2</w:t>
      </w:r>
      <w:r w:rsidRPr="00EB797F">
        <w:rPr>
          <w:rFonts w:ascii="Arial" w:eastAsia="Arial" w:hAnsi="Arial" w:cs="Arial"/>
          <w:bCs/>
          <w:i/>
          <w:iCs/>
          <w:color w:val="000000"/>
          <w:sz w:val="18"/>
          <w:szCs w:val="18"/>
        </w:rPr>
        <w:t>Molecular Synthesis and Vectorization Laboratory, Department of Biological Sciences, State University of Paraíba, 58071-160 João Pessoa, PB, Brazil</w:t>
      </w:r>
      <w:r w:rsidR="007370BB">
        <w:rPr>
          <w:rFonts w:ascii="Arial" w:eastAsia="Arial" w:hAnsi="Arial" w:cs="Arial"/>
          <w:bCs/>
          <w:i/>
          <w:iCs/>
          <w:color w:val="000000"/>
          <w:sz w:val="18"/>
          <w:szCs w:val="18"/>
        </w:rPr>
        <w:t>.</w:t>
      </w:r>
    </w:p>
    <w:p w14:paraId="2298CD48" w14:textId="12C0A766" w:rsidR="00936C7A" w:rsidRPr="007370BB" w:rsidRDefault="00EB797F" w:rsidP="00EB797F">
      <w:pPr>
        <w:ind w:right="-427"/>
        <w:rPr>
          <w:rFonts w:ascii="Arial" w:hAnsi="Arial" w:cs="Arial"/>
          <w:i/>
          <w:iCs/>
          <w:sz w:val="18"/>
          <w:szCs w:val="18"/>
        </w:rPr>
      </w:pPr>
      <w:r w:rsidRPr="00711995">
        <w:rPr>
          <w:rFonts w:ascii="Arial" w:hAnsi="Arial" w:cs="Arial"/>
          <w:b/>
          <w:bCs/>
          <w:noProof/>
          <w:sz w:val="24"/>
          <w:szCs w:val="24"/>
          <w:lang w:val="pt-BR"/>
        </w:rPr>
        <mc:AlternateContent>
          <mc:Choice Requires="wps">
            <w:drawing>
              <wp:anchor distT="0" distB="0" distL="114300" distR="114300" simplePos="0" relativeHeight="251660288" behindDoc="1" locked="0" layoutInCell="1" allowOverlap="1" wp14:anchorId="399B1F34" wp14:editId="0F08CDF5">
                <wp:simplePos x="0" y="0"/>
                <wp:positionH relativeFrom="margin">
                  <wp:align>left</wp:align>
                </wp:positionH>
                <wp:positionV relativeFrom="paragraph">
                  <wp:posOffset>200660</wp:posOffset>
                </wp:positionV>
                <wp:extent cx="5646420" cy="259080"/>
                <wp:effectExtent l="0" t="0" r="11430" b="26670"/>
                <wp:wrapNone/>
                <wp:docPr id="866060278"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319C6" id="Retângulo 2" o:spid="_x0000_s1026" style="position:absolute;margin-left:0;margin-top:15.8pt;width:444.6pt;height:20.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Pr="007370BB">
        <w:rPr>
          <w:rFonts w:ascii="Arial" w:hAnsi="Arial" w:cs="Arial"/>
          <w:i/>
          <w:iCs/>
          <w:sz w:val="18"/>
          <w:szCs w:val="18"/>
        </w:rPr>
        <w:t>Keywords: (</w:t>
      </w:r>
      <w:r w:rsidRPr="004F1BB9">
        <w:rPr>
          <w:rFonts w:ascii="Arial" w:hAnsi="Arial" w:cs="Arial"/>
          <w:i/>
          <w:iCs/>
          <w:sz w:val="18"/>
          <w:szCs w:val="18"/>
        </w:rPr>
        <w:t>2-Amino-thiophene derivative</w:t>
      </w:r>
      <w:r>
        <w:rPr>
          <w:rFonts w:ascii="Arial" w:hAnsi="Arial" w:cs="Arial"/>
          <w:i/>
          <w:iCs/>
          <w:sz w:val="18"/>
          <w:szCs w:val="18"/>
        </w:rPr>
        <w:t xml:space="preserve">, Visceral leishmaniasis, </w:t>
      </w:r>
      <w:r w:rsidR="00F61559">
        <w:rPr>
          <w:rFonts w:ascii="Arial" w:hAnsi="Arial" w:cs="Arial"/>
          <w:i/>
          <w:iCs/>
          <w:sz w:val="18"/>
          <w:szCs w:val="18"/>
        </w:rPr>
        <w:t>L</w:t>
      </w:r>
      <w:r>
        <w:rPr>
          <w:rFonts w:ascii="Arial" w:hAnsi="Arial" w:cs="Arial"/>
          <w:i/>
          <w:iCs/>
          <w:sz w:val="18"/>
          <w:szCs w:val="18"/>
        </w:rPr>
        <w:t xml:space="preserve">. infantum, </w:t>
      </w:r>
      <w:r w:rsidRPr="004F1BB9">
        <w:rPr>
          <w:rFonts w:ascii="Arial" w:hAnsi="Arial" w:cs="Arial"/>
          <w:i/>
          <w:iCs/>
          <w:sz w:val="18"/>
          <w:szCs w:val="18"/>
        </w:rPr>
        <w:t>Immunomodulation</w:t>
      </w:r>
      <w:r w:rsidRPr="007370BB">
        <w:rPr>
          <w:rFonts w:ascii="Arial" w:hAnsi="Arial" w:cs="Arial"/>
          <w:i/>
          <w:iCs/>
          <w:sz w:val="18"/>
          <w:szCs w:val="18"/>
        </w:rPr>
        <w:t>)</w:t>
      </w:r>
      <w:r w:rsidR="00936C7A" w:rsidRPr="00A648E6">
        <w:rPr>
          <w:rFonts w:ascii="Arial" w:hAnsi="Arial" w:cs="Arial"/>
          <w:b/>
          <w:bCs/>
          <w:noProof/>
          <w:sz w:val="24"/>
          <w:szCs w:val="24"/>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p>
    <w:bookmarkEnd w:id="0"/>
    <w:p w14:paraId="3DF88A52" w14:textId="0B49431C" w:rsidR="00936C7A" w:rsidRPr="00A648E6" w:rsidRDefault="00936C7A" w:rsidP="00936C7A">
      <w:pPr>
        <w:jc w:val="center"/>
        <w:rPr>
          <w:rFonts w:ascii="Arial" w:hAnsi="Arial" w:cs="Arial"/>
          <w:b/>
          <w:bCs/>
          <w:color w:val="F8F8F8"/>
          <w:sz w:val="24"/>
          <w:szCs w:val="24"/>
        </w:rPr>
      </w:pPr>
      <w:r w:rsidRPr="00A648E6">
        <w:rPr>
          <w:rFonts w:ascii="Arial" w:hAnsi="Arial" w:cs="Arial"/>
          <w:b/>
          <w:bCs/>
          <w:color w:val="F8F8F8"/>
          <w:sz w:val="24"/>
          <w:szCs w:val="24"/>
        </w:rPr>
        <w:t>ABSTRACT</w:t>
      </w:r>
    </w:p>
    <w:p w14:paraId="00788109" w14:textId="77777777" w:rsidR="005F0F00" w:rsidRDefault="005F0F00" w:rsidP="00B600EB">
      <w:pPr>
        <w:ind w:right="-427"/>
        <w:jc w:val="both"/>
        <w:rPr>
          <w:rFonts w:ascii="Arial" w:eastAsia="Arial" w:hAnsi="Arial" w:cs="Arial"/>
          <w:b/>
          <w:bCs/>
          <w:sz w:val="20"/>
          <w:szCs w:val="20"/>
        </w:rPr>
        <w:sectPr w:rsidR="005F0F00" w:rsidSect="00770E41">
          <w:footerReference w:type="default" r:id="rId8"/>
          <w:pgSz w:w="11906" w:h="16838"/>
          <w:pgMar w:top="1134" w:right="1701" w:bottom="426" w:left="1701" w:header="708" w:footer="473" w:gutter="0"/>
          <w:cols w:space="708"/>
          <w:docGrid w:linePitch="360"/>
        </w:sectPr>
      </w:pPr>
    </w:p>
    <w:p w14:paraId="07F54239" w14:textId="39A5B747" w:rsidR="00F37FC9" w:rsidRDefault="00A648E6" w:rsidP="005E3342">
      <w:pPr>
        <w:ind w:right="-427"/>
        <w:jc w:val="both"/>
        <w:rPr>
          <w:rFonts w:ascii="Arial" w:eastAsia="Arial" w:hAnsi="Arial" w:cs="Arial"/>
          <w:sz w:val="20"/>
          <w:szCs w:val="20"/>
        </w:rPr>
      </w:pPr>
      <w:r w:rsidRPr="00A648E6">
        <w:rPr>
          <w:rFonts w:ascii="Arial" w:eastAsia="Arial" w:hAnsi="Arial" w:cs="Arial"/>
          <w:b/>
          <w:bCs/>
          <w:sz w:val="20"/>
          <w:szCs w:val="20"/>
        </w:rPr>
        <w:t>BACKGROUND</w:t>
      </w:r>
      <w:r w:rsidRPr="00A648E6">
        <w:rPr>
          <w:rFonts w:ascii="Arial" w:eastAsia="Arial" w:hAnsi="Arial" w:cs="Arial"/>
          <w:sz w:val="20"/>
          <w:szCs w:val="20"/>
        </w:rPr>
        <w:t>:</w:t>
      </w:r>
      <w:r w:rsidR="007370BB">
        <w:rPr>
          <w:rFonts w:ascii="Arial" w:eastAsia="Arial" w:hAnsi="Arial" w:cs="Arial"/>
          <w:sz w:val="20"/>
          <w:szCs w:val="20"/>
        </w:rPr>
        <w:t xml:space="preserve"> </w:t>
      </w:r>
      <w:r w:rsidR="007370BB" w:rsidRPr="007370BB">
        <w:rPr>
          <w:rFonts w:ascii="Arial" w:eastAsia="Arial" w:hAnsi="Arial" w:cs="Arial"/>
          <w:sz w:val="20"/>
          <w:szCs w:val="20"/>
        </w:rPr>
        <w:t>Leishmanias</w:t>
      </w:r>
      <w:r w:rsidR="007370BB">
        <w:rPr>
          <w:rFonts w:ascii="Arial" w:eastAsia="Arial" w:hAnsi="Arial" w:cs="Arial"/>
          <w:sz w:val="20"/>
          <w:szCs w:val="20"/>
        </w:rPr>
        <w:t>i</w:t>
      </w:r>
      <w:r w:rsidR="007370BB" w:rsidRPr="007370BB">
        <w:rPr>
          <w:rFonts w:ascii="Arial" w:eastAsia="Arial" w:hAnsi="Arial" w:cs="Arial"/>
          <w:sz w:val="20"/>
          <w:szCs w:val="20"/>
        </w:rPr>
        <w:t xml:space="preserve">s </w:t>
      </w:r>
      <w:r w:rsidR="00830E90">
        <w:rPr>
          <w:rFonts w:ascii="Arial" w:eastAsia="Arial" w:hAnsi="Arial" w:cs="Arial"/>
          <w:sz w:val="20"/>
          <w:szCs w:val="20"/>
        </w:rPr>
        <w:t>is</w:t>
      </w:r>
      <w:r w:rsidR="007370BB" w:rsidRPr="007370BB">
        <w:rPr>
          <w:rFonts w:ascii="Arial" w:eastAsia="Arial" w:hAnsi="Arial" w:cs="Arial"/>
          <w:sz w:val="20"/>
          <w:szCs w:val="20"/>
        </w:rPr>
        <w:t xml:space="preserve"> caused by protozoa of the genus </w:t>
      </w:r>
      <w:r w:rsidR="007370BB" w:rsidRPr="007370BB">
        <w:rPr>
          <w:rFonts w:ascii="Arial" w:eastAsia="Arial" w:hAnsi="Arial" w:cs="Arial"/>
          <w:i/>
          <w:iCs/>
          <w:sz w:val="20"/>
          <w:szCs w:val="20"/>
        </w:rPr>
        <w:t>Leishmania</w:t>
      </w:r>
      <w:r w:rsidR="007370BB" w:rsidRPr="007370BB">
        <w:rPr>
          <w:rFonts w:ascii="Arial" w:eastAsia="Arial" w:hAnsi="Arial" w:cs="Arial"/>
          <w:sz w:val="20"/>
          <w:szCs w:val="20"/>
        </w:rPr>
        <w:t>. The visceral form of the disease, commonly known as kala-azar, primarily damages the liver, spleen, and bone marrow and can be fatal in 95% of untreated cases. Treatment relies on pentavalent antimonials, which are not only toxic but also generate increasingly resistant strains. Given these therapeutic limitations, there is an urgent need for safer and more effective treatment alternatives. Synthetic 2-amino</w:t>
      </w:r>
      <w:r w:rsidR="006A798F">
        <w:rPr>
          <w:rFonts w:ascii="Arial" w:eastAsia="Arial" w:hAnsi="Arial" w:cs="Arial"/>
          <w:sz w:val="20"/>
          <w:szCs w:val="20"/>
        </w:rPr>
        <w:t>-</w:t>
      </w:r>
      <w:r w:rsidR="007370BB" w:rsidRPr="007370BB">
        <w:rPr>
          <w:rFonts w:ascii="Arial" w:eastAsia="Arial" w:hAnsi="Arial" w:cs="Arial"/>
          <w:sz w:val="20"/>
          <w:szCs w:val="20"/>
        </w:rPr>
        <w:t xml:space="preserve">thiophene derivatives, compounds containing a thiophene ring, have shown various biological activities, including antileishmanial properties. Among them, compound SB-44 has shown promising activity against </w:t>
      </w:r>
      <w:r w:rsidR="007370BB" w:rsidRPr="007370BB">
        <w:rPr>
          <w:rFonts w:ascii="Arial" w:eastAsia="Arial" w:hAnsi="Arial" w:cs="Arial"/>
          <w:i/>
          <w:iCs/>
          <w:sz w:val="20"/>
          <w:szCs w:val="20"/>
        </w:rPr>
        <w:t>L. amazonensis</w:t>
      </w:r>
      <w:r w:rsidR="007370BB" w:rsidRPr="007370BB">
        <w:rPr>
          <w:rFonts w:ascii="Arial" w:eastAsia="Arial" w:hAnsi="Arial" w:cs="Arial"/>
          <w:sz w:val="20"/>
          <w:szCs w:val="20"/>
        </w:rPr>
        <w:t>, with an IC</w:t>
      </w:r>
      <w:r w:rsidR="007370BB" w:rsidRPr="007370BB">
        <w:rPr>
          <w:rFonts w:ascii="Arial" w:eastAsia="Arial" w:hAnsi="Arial" w:cs="Arial"/>
          <w:sz w:val="20"/>
          <w:szCs w:val="20"/>
          <w:vertAlign w:val="subscript"/>
        </w:rPr>
        <w:t>50</w:t>
      </w:r>
      <w:r w:rsidR="007370BB" w:rsidRPr="007370BB">
        <w:rPr>
          <w:rFonts w:ascii="Arial" w:eastAsia="Arial" w:hAnsi="Arial" w:cs="Arial"/>
          <w:sz w:val="20"/>
          <w:szCs w:val="20"/>
        </w:rPr>
        <w:t xml:space="preserve"> of 7.37 µM in promastigotes and an EC</w:t>
      </w:r>
      <w:r w:rsidR="007370BB" w:rsidRPr="007370BB">
        <w:rPr>
          <w:rFonts w:ascii="Arial" w:eastAsia="Arial" w:hAnsi="Arial" w:cs="Arial"/>
          <w:sz w:val="20"/>
          <w:szCs w:val="20"/>
          <w:vertAlign w:val="subscript"/>
        </w:rPr>
        <w:t>50</w:t>
      </w:r>
      <w:r w:rsidR="007370BB" w:rsidRPr="007370BB">
        <w:rPr>
          <w:rFonts w:ascii="Arial" w:eastAsia="Arial" w:hAnsi="Arial" w:cs="Arial"/>
          <w:sz w:val="20"/>
          <w:szCs w:val="20"/>
        </w:rPr>
        <w:t xml:space="preserve"> of 15.82 µM in amastigotes (Rodrigues et al., 2015).</w:t>
      </w:r>
      <w:r w:rsidRPr="00A648E6">
        <w:rPr>
          <w:rFonts w:ascii="Arial" w:eastAsia="Arial" w:hAnsi="Arial" w:cs="Arial"/>
          <w:sz w:val="20"/>
          <w:szCs w:val="20"/>
        </w:rPr>
        <w:t xml:space="preserve"> </w:t>
      </w:r>
      <w:r w:rsidRPr="00A648E6">
        <w:rPr>
          <w:rFonts w:ascii="Arial" w:eastAsia="Arial" w:hAnsi="Arial" w:cs="Arial"/>
          <w:b/>
          <w:bCs/>
          <w:sz w:val="20"/>
          <w:szCs w:val="20"/>
        </w:rPr>
        <w:t>OBJECTIVES</w:t>
      </w:r>
      <w:r>
        <w:rPr>
          <w:rFonts w:ascii="Arial" w:eastAsia="Arial" w:hAnsi="Arial" w:cs="Arial"/>
          <w:sz w:val="20"/>
          <w:szCs w:val="20"/>
        </w:rPr>
        <w:t xml:space="preserve">: </w:t>
      </w:r>
      <w:r w:rsidR="007370BB" w:rsidRPr="007370BB">
        <w:rPr>
          <w:rFonts w:ascii="Arial" w:eastAsia="Arial" w:hAnsi="Arial" w:cs="Arial"/>
          <w:sz w:val="20"/>
          <w:szCs w:val="20"/>
        </w:rPr>
        <w:t xml:space="preserve">The objectives of this study are to evaluate the efficacy of SB-44 against </w:t>
      </w:r>
      <w:r w:rsidR="007370BB" w:rsidRPr="007370BB">
        <w:rPr>
          <w:rFonts w:ascii="Arial" w:eastAsia="Arial" w:hAnsi="Arial" w:cs="Arial"/>
          <w:i/>
          <w:iCs/>
          <w:sz w:val="20"/>
          <w:szCs w:val="20"/>
        </w:rPr>
        <w:t>L. infantum</w:t>
      </w:r>
      <w:r w:rsidR="007370BB" w:rsidRPr="007370BB">
        <w:rPr>
          <w:rFonts w:ascii="Arial" w:eastAsia="Arial" w:hAnsi="Arial" w:cs="Arial"/>
          <w:sz w:val="20"/>
          <w:szCs w:val="20"/>
        </w:rPr>
        <w:t xml:space="preserve"> infection </w:t>
      </w:r>
      <w:r w:rsidR="007370BB" w:rsidRPr="007370BB">
        <w:rPr>
          <w:rFonts w:ascii="Arial" w:eastAsia="Arial" w:hAnsi="Arial" w:cs="Arial"/>
          <w:i/>
          <w:iCs/>
          <w:sz w:val="20"/>
          <w:szCs w:val="20"/>
        </w:rPr>
        <w:t>in vitro</w:t>
      </w:r>
      <w:r w:rsidR="007370BB" w:rsidRPr="007370BB">
        <w:rPr>
          <w:rFonts w:ascii="Arial" w:eastAsia="Arial" w:hAnsi="Arial" w:cs="Arial"/>
          <w:sz w:val="20"/>
          <w:szCs w:val="20"/>
        </w:rPr>
        <w:t>, the primary causative agent of visceral leishmaniasis. Additionally, it aims to analyze the indirect mechanisms of SB-44 action, including nitric oxide (NO) levels, reactive oxygen species (ROS), and cytokine production by infected macrophages treated with the compound</w:t>
      </w:r>
      <w:r w:rsidRPr="00A648E6">
        <w:rPr>
          <w:rFonts w:ascii="Arial" w:eastAsia="Arial" w:hAnsi="Arial" w:cs="Arial"/>
          <w:sz w:val="20"/>
          <w:szCs w:val="20"/>
        </w:rPr>
        <w:t>.</w:t>
      </w:r>
      <w:r w:rsidR="00521161">
        <w:rPr>
          <w:rFonts w:ascii="Arial" w:eastAsia="Arial" w:hAnsi="Arial" w:cs="Arial"/>
          <w:sz w:val="20"/>
          <w:szCs w:val="20"/>
        </w:rPr>
        <w:t xml:space="preserve"> </w:t>
      </w:r>
      <w:r w:rsidR="00521161" w:rsidRPr="00521161">
        <w:rPr>
          <w:rFonts w:ascii="Arial" w:eastAsia="Arial" w:hAnsi="Arial" w:cs="Arial"/>
          <w:b/>
          <w:bCs/>
          <w:sz w:val="20"/>
          <w:szCs w:val="20"/>
        </w:rPr>
        <w:t>METHODS</w:t>
      </w:r>
      <w:r w:rsidR="00521161" w:rsidRPr="00521161">
        <w:rPr>
          <w:rFonts w:ascii="Arial" w:eastAsia="Arial" w:hAnsi="Arial" w:cs="Arial"/>
          <w:sz w:val="20"/>
          <w:szCs w:val="20"/>
        </w:rPr>
        <w:t xml:space="preserve">: </w:t>
      </w:r>
      <w:r w:rsidR="005F0F00" w:rsidRPr="005F0F00">
        <w:rPr>
          <w:rFonts w:ascii="Arial" w:eastAsia="Arial" w:hAnsi="Arial" w:cs="Arial"/>
          <w:sz w:val="20"/>
          <w:szCs w:val="20"/>
        </w:rPr>
        <w:t xml:space="preserve">Macrophages RAW 264.7 were cultured in 24-well plates and infected with </w:t>
      </w:r>
      <w:r w:rsidR="005F0F00" w:rsidRPr="005F0F00">
        <w:rPr>
          <w:rFonts w:ascii="Arial" w:eastAsia="Arial" w:hAnsi="Arial" w:cs="Arial"/>
          <w:i/>
          <w:iCs/>
          <w:sz w:val="20"/>
          <w:szCs w:val="20"/>
        </w:rPr>
        <w:t>L. infantum</w:t>
      </w:r>
      <w:r w:rsidR="005F0F00" w:rsidRPr="005F0F00">
        <w:rPr>
          <w:rFonts w:ascii="Arial" w:eastAsia="Arial" w:hAnsi="Arial" w:cs="Arial"/>
          <w:sz w:val="20"/>
          <w:szCs w:val="20"/>
        </w:rPr>
        <w:t xml:space="preserve"> promastigotes. After 72 hours of treatment with SB-44 (25 – 3.12 μM), the coverslips were removed, fixed, and stained using a rapid panoptic staining kit</w:t>
      </w:r>
      <w:r w:rsidR="005F0F00">
        <w:rPr>
          <w:rFonts w:ascii="Arial" w:eastAsia="Arial" w:hAnsi="Arial" w:cs="Arial"/>
          <w:sz w:val="20"/>
          <w:szCs w:val="20"/>
        </w:rPr>
        <w:t xml:space="preserve">. </w:t>
      </w:r>
      <w:r w:rsidR="00521161" w:rsidRPr="00521161">
        <w:rPr>
          <w:rFonts w:ascii="Arial" w:eastAsia="Arial" w:hAnsi="Arial" w:cs="Arial"/>
          <w:sz w:val="20"/>
          <w:szCs w:val="20"/>
        </w:rPr>
        <w:t>The supernatant obtained from the infection was used to assess the indirect production of NO</w:t>
      </w:r>
      <w:r w:rsidR="005F0F00">
        <w:rPr>
          <w:rFonts w:ascii="Arial" w:eastAsia="Arial" w:hAnsi="Arial" w:cs="Arial"/>
          <w:sz w:val="20"/>
          <w:szCs w:val="20"/>
        </w:rPr>
        <w:t xml:space="preserve"> </w:t>
      </w:r>
      <w:r w:rsidR="00521161" w:rsidRPr="00521161">
        <w:rPr>
          <w:rFonts w:ascii="Arial" w:eastAsia="Arial" w:hAnsi="Arial" w:cs="Arial"/>
          <w:sz w:val="20"/>
          <w:szCs w:val="20"/>
        </w:rPr>
        <w:t xml:space="preserve">by measuring nitrite levels using the Griess reagent. The analysis of ROS levels in RAW 264.7 macrophages infected with </w:t>
      </w:r>
      <w:r w:rsidR="00521161" w:rsidRPr="00AE02FE">
        <w:rPr>
          <w:rFonts w:ascii="Arial" w:eastAsia="Arial" w:hAnsi="Arial" w:cs="Arial"/>
          <w:i/>
          <w:iCs/>
          <w:sz w:val="20"/>
          <w:szCs w:val="20"/>
        </w:rPr>
        <w:t xml:space="preserve">L. infantum </w:t>
      </w:r>
      <w:r w:rsidR="00521161" w:rsidRPr="00521161">
        <w:rPr>
          <w:rFonts w:ascii="Arial" w:eastAsia="Arial" w:hAnsi="Arial" w:cs="Arial"/>
          <w:sz w:val="20"/>
          <w:szCs w:val="20"/>
        </w:rPr>
        <w:t xml:space="preserve">and treated with SB-44 was performed using the </w:t>
      </w:r>
      <w:bookmarkStart w:id="1" w:name="_Hlk180625808"/>
      <w:r w:rsidR="00AE02FE" w:rsidRPr="00AE02FE">
        <w:rPr>
          <w:rFonts w:ascii="Arial" w:eastAsia="Arial" w:hAnsi="Arial" w:cs="Arial"/>
          <w:sz w:val="20"/>
          <w:szCs w:val="20"/>
        </w:rPr>
        <w:t>H2DCFDA</w:t>
      </w:r>
      <w:r w:rsidR="00AE02FE">
        <w:rPr>
          <w:rFonts w:ascii="Arial" w:eastAsia="Arial" w:hAnsi="Arial" w:cs="Arial"/>
          <w:sz w:val="20"/>
          <w:szCs w:val="20"/>
        </w:rPr>
        <w:t xml:space="preserve"> </w:t>
      </w:r>
      <w:bookmarkEnd w:id="1"/>
      <w:r w:rsidR="00521161" w:rsidRPr="00521161">
        <w:rPr>
          <w:rFonts w:ascii="Arial" w:eastAsia="Arial" w:hAnsi="Arial" w:cs="Arial"/>
          <w:sz w:val="20"/>
          <w:szCs w:val="20"/>
        </w:rPr>
        <w:t>assay with concentrations ranging from 25 to 3.12 μM. The production of Th1 cytokines (TNF-α, IL-12) and Th2 cytokines (IL-10, IL-6) was also evaluated from the infection assay supernatants using sandwich ELISA. The plates were sensitized with antibodies, incubated, washed, and detection was performed with avidin-HRP, followed by spectrophotometric reading for quantification</w:t>
      </w:r>
      <w:r w:rsidR="00AE02FE">
        <w:t xml:space="preserve">. </w:t>
      </w:r>
      <w:r w:rsidR="00AE02FE" w:rsidRPr="00AE02FE">
        <w:rPr>
          <w:rFonts w:ascii="Arial" w:eastAsia="Arial" w:hAnsi="Arial" w:cs="Arial"/>
          <w:b/>
          <w:bCs/>
          <w:sz w:val="20"/>
          <w:szCs w:val="20"/>
        </w:rPr>
        <w:t>RESULTS AND DISCUSSION</w:t>
      </w:r>
      <w:r w:rsidR="00AE02FE" w:rsidRPr="00AE02FE">
        <w:rPr>
          <w:rFonts w:ascii="Arial" w:eastAsia="Arial" w:hAnsi="Arial" w:cs="Arial"/>
          <w:sz w:val="20"/>
          <w:szCs w:val="20"/>
        </w:rPr>
        <w:t>:</w:t>
      </w:r>
      <w:r w:rsidR="00C45DEC">
        <w:rPr>
          <w:rFonts w:ascii="Arial" w:eastAsia="Arial" w:hAnsi="Arial" w:cs="Arial"/>
          <w:sz w:val="20"/>
          <w:szCs w:val="20"/>
        </w:rPr>
        <w:t xml:space="preserve"> </w:t>
      </w:r>
      <w:r w:rsidR="00AE02FE" w:rsidRPr="00AE02FE">
        <w:rPr>
          <w:rFonts w:ascii="Arial" w:eastAsia="Arial" w:hAnsi="Arial" w:cs="Arial"/>
          <w:sz w:val="20"/>
          <w:szCs w:val="20"/>
        </w:rPr>
        <w:t xml:space="preserve">The antileishmanial activity of compound SB-44 was evaluated in macrophages infected with </w:t>
      </w:r>
      <w:r w:rsidR="00AE02FE" w:rsidRPr="005F0F00">
        <w:rPr>
          <w:rFonts w:ascii="Arial" w:eastAsia="Arial" w:hAnsi="Arial" w:cs="Arial"/>
          <w:i/>
          <w:iCs/>
          <w:sz w:val="20"/>
          <w:szCs w:val="20"/>
        </w:rPr>
        <w:t>L. infantum</w:t>
      </w:r>
      <w:r w:rsidR="00AE02FE" w:rsidRPr="00AE02FE">
        <w:rPr>
          <w:rFonts w:ascii="Arial" w:eastAsia="Arial" w:hAnsi="Arial" w:cs="Arial"/>
          <w:sz w:val="20"/>
          <w:szCs w:val="20"/>
        </w:rPr>
        <w:t>. SB-44 achieved 100% inhibition efficacy at concentrations of 12.5 µM and 25 µM, while lower concentrations of 6.25 µM and 3.12 µM reduced infection by 66.5% and 40.7%, respectively. Regarding the number of amastigotes per macrophage, there was a reduction ranging from 48.6% to 100%, with an EC</w:t>
      </w:r>
      <w:r w:rsidR="00AE02FE" w:rsidRPr="005F0F00">
        <w:rPr>
          <w:rFonts w:ascii="Arial" w:eastAsia="Arial" w:hAnsi="Arial" w:cs="Arial"/>
          <w:sz w:val="20"/>
          <w:szCs w:val="20"/>
          <w:vertAlign w:val="subscript"/>
        </w:rPr>
        <w:t>50</w:t>
      </w:r>
      <w:r w:rsidR="00AE02FE" w:rsidRPr="00AE02FE">
        <w:rPr>
          <w:rFonts w:ascii="Arial" w:eastAsia="Arial" w:hAnsi="Arial" w:cs="Arial"/>
          <w:sz w:val="20"/>
          <w:szCs w:val="20"/>
        </w:rPr>
        <w:t xml:space="preserve"> calculated at 3.08 µM, strongly indicating its selectivity against the parasite. The immunomodulatory profile of SB-44 was evidenced by a significant increase in pro-inflammatory Th1 cytokines (TNF-α and IL-12) and a reduction in anti-inflammatory Th2 cytokines (IL-10 and IL-6). This profile suggests a shift towards a Th1 response, which is essential for parasite elimination, as these cytokines are involved in macrophage activation and the production of ROS and NO. </w:t>
      </w:r>
      <w:r w:rsidR="0022255C">
        <w:rPr>
          <w:rFonts w:ascii="Arial" w:eastAsia="Arial" w:hAnsi="Arial" w:cs="Arial"/>
          <w:sz w:val="20"/>
          <w:szCs w:val="20"/>
        </w:rPr>
        <w:t>N</w:t>
      </w:r>
      <w:r w:rsidR="0022255C" w:rsidRPr="007370BB">
        <w:rPr>
          <w:rFonts w:ascii="Arial" w:eastAsia="Arial" w:hAnsi="Arial" w:cs="Arial"/>
          <w:sz w:val="20"/>
          <w:szCs w:val="20"/>
        </w:rPr>
        <w:t>itric oxide</w:t>
      </w:r>
      <w:r w:rsidR="00AE02FE" w:rsidRPr="00AE02FE">
        <w:rPr>
          <w:rFonts w:ascii="Arial" w:eastAsia="Arial" w:hAnsi="Arial" w:cs="Arial"/>
          <w:sz w:val="20"/>
          <w:szCs w:val="20"/>
        </w:rPr>
        <w:t xml:space="preserve"> and </w:t>
      </w:r>
      <w:r w:rsidR="0022255C" w:rsidRPr="007370BB">
        <w:rPr>
          <w:rFonts w:ascii="Arial" w:eastAsia="Arial" w:hAnsi="Arial" w:cs="Arial"/>
          <w:sz w:val="20"/>
          <w:szCs w:val="20"/>
        </w:rPr>
        <w:t>reactive oxygen species</w:t>
      </w:r>
      <w:r w:rsidR="00AE02FE" w:rsidRPr="00AE02FE">
        <w:rPr>
          <w:rFonts w:ascii="Arial" w:eastAsia="Arial" w:hAnsi="Arial" w:cs="Arial"/>
          <w:sz w:val="20"/>
          <w:szCs w:val="20"/>
        </w:rPr>
        <w:t xml:space="preserve"> levels significantly increased after treatment, with NO production rising by up to 235.7% and ROS production increasing by 5.6-fold. These findings indicate that SB-44 not only directly reduces the parasitic load but also modulates the immune response, stimulating Th1 cytokine production and inhibiting Th2 cytokines, thus contributing favorably to parasite elimination</w:t>
      </w:r>
      <w:r w:rsidR="00062E4D">
        <w:rPr>
          <w:rFonts w:ascii="Arial" w:eastAsia="Arial" w:hAnsi="Arial" w:cs="Arial"/>
          <w:sz w:val="20"/>
          <w:szCs w:val="20"/>
        </w:rPr>
        <w:t xml:space="preserve">. </w:t>
      </w:r>
      <w:r w:rsidR="00EB797F">
        <w:rPr>
          <w:rFonts w:ascii="Arial" w:eastAsia="Arial" w:hAnsi="Arial" w:cs="Arial"/>
          <w:sz w:val="20"/>
          <w:szCs w:val="20"/>
        </w:rPr>
        <w:t>Also</w:t>
      </w:r>
      <w:r w:rsidR="00AE02FE" w:rsidRPr="00AE02FE">
        <w:rPr>
          <w:rFonts w:ascii="Arial" w:eastAsia="Arial" w:hAnsi="Arial" w:cs="Arial"/>
          <w:sz w:val="20"/>
          <w:szCs w:val="20"/>
        </w:rPr>
        <w:t>, the results obtained with SB-44 are consistent with the studies of Rodriguez et al. (2018), suggesting that thiophene ring derivatives may constitute a promising class of antileishmanial agents. SB-44 emerges as a potentially effective compound for the treatment of leishmaniasis, inducing a favorable immune response.</w:t>
      </w:r>
      <w:r w:rsidR="00EB797F" w:rsidRPr="00EB797F">
        <w:rPr>
          <w:rFonts w:ascii="Arial" w:eastAsia="Arial" w:hAnsi="Arial" w:cs="Arial"/>
          <w:sz w:val="20"/>
          <w:szCs w:val="20"/>
        </w:rPr>
        <w:t xml:space="preserve"> </w:t>
      </w:r>
      <w:r w:rsidR="00EB797F" w:rsidRPr="00EB797F">
        <w:rPr>
          <w:rFonts w:ascii="Arial" w:eastAsia="Arial" w:hAnsi="Arial" w:cs="Arial"/>
          <w:b/>
          <w:bCs/>
          <w:sz w:val="20"/>
          <w:szCs w:val="20"/>
        </w:rPr>
        <w:t>CONCLUSION</w:t>
      </w:r>
      <w:r w:rsidR="00EB797F" w:rsidRPr="00062E4D">
        <w:rPr>
          <w:rFonts w:ascii="Arial" w:eastAsia="Arial" w:hAnsi="Arial" w:cs="Arial"/>
          <w:sz w:val="20"/>
          <w:szCs w:val="20"/>
        </w:rPr>
        <w:t>:</w:t>
      </w:r>
      <w:r w:rsidR="00062E4D" w:rsidRPr="00062E4D">
        <w:rPr>
          <w:rFonts w:ascii="Arial" w:eastAsia="Arial" w:hAnsi="Arial" w:cs="Arial"/>
          <w:sz w:val="20"/>
          <w:szCs w:val="20"/>
        </w:rPr>
        <w:t xml:space="preserve"> The results of this study demonstrated that compound SB-44 is effective against amastigote forms, in addition to inducing a favorable immune response by increasing the production of Th1 cytokines (IL-12 and TNF-α) and reducing Th2 cytokines (IL-10 and IL-6), as well as elevating the levels of ROS and NO. These findings suggest that SB-44 has potential as a promising therapeutic alternative for the treatment of </w:t>
      </w:r>
      <w:r w:rsidR="00C45DEC">
        <w:rPr>
          <w:rFonts w:ascii="Arial" w:eastAsia="Arial" w:hAnsi="Arial" w:cs="Arial"/>
          <w:sz w:val="20"/>
          <w:szCs w:val="20"/>
        </w:rPr>
        <w:t xml:space="preserve">visceral </w:t>
      </w:r>
      <w:r w:rsidR="00062E4D" w:rsidRPr="00062E4D">
        <w:rPr>
          <w:rFonts w:ascii="Arial" w:eastAsia="Arial" w:hAnsi="Arial" w:cs="Arial"/>
          <w:sz w:val="20"/>
          <w:szCs w:val="20"/>
        </w:rPr>
        <w:t>leishmaniasis, due to both its antiparasitic efficacy and its immune response modulation.</w:t>
      </w:r>
    </w:p>
    <w:sectPr w:rsidR="00F37FC9" w:rsidSect="005F0F00">
      <w:type w:val="continuous"/>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CC332" w14:textId="77777777" w:rsidR="005E00A7" w:rsidRPr="00A648E6" w:rsidRDefault="005E00A7" w:rsidP="00A30AF6">
      <w:pPr>
        <w:spacing w:after="0" w:line="240" w:lineRule="auto"/>
      </w:pPr>
      <w:r w:rsidRPr="00A648E6">
        <w:separator/>
      </w:r>
    </w:p>
  </w:endnote>
  <w:endnote w:type="continuationSeparator" w:id="0">
    <w:p w14:paraId="2B68845E" w14:textId="77777777" w:rsidR="005E00A7" w:rsidRPr="00A648E6" w:rsidRDefault="005E00A7" w:rsidP="00A30AF6">
      <w:pPr>
        <w:spacing w:after="0" w:line="240" w:lineRule="auto"/>
      </w:pPr>
      <w:r w:rsidRPr="00A64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A648E6" w:rsidRDefault="00A30AF6" w:rsidP="00770E41">
    <w:pPr>
      <w:pStyle w:val="Rodap"/>
      <w:jc w:val="both"/>
      <w:rPr>
        <w:rFonts w:ascii="Times New Roman" w:hAnsi="Times New Roman" w:cs="Times New Roman"/>
        <w:i/>
        <w:iCs/>
        <w:sz w:val="18"/>
        <w:szCs w:val="18"/>
      </w:rPr>
    </w:pPr>
    <w:r w:rsidRPr="00A648E6">
      <w:rPr>
        <w:rFonts w:ascii="Times New Roman" w:hAnsi="Times New Roman" w:cs="Times New Roman"/>
        <w:i/>
        <w:iCs/>
        <w:sz w:val="18"/>
        <w:szCs w:val="18"/>
      </w:rPr>
      <w:t>3rd Brazil-France Symposium on Medicinal Chemistry</w:t>
    </w:r>
    <w:r w:rsidR="0024322D" w:rsidRPr="00A648E6">
      <w:rPr>
        <w:rFonts w:ascii="Times New Roman" w:hAnsi="Times New Roman" w:cs="Times New Roman"/>
        <w:i/>
        <w:iCs/>
        <w:sz w:val="18"/>
        <w:szCs w:val="18"/>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86D7F" w14:textId="77777777" w:rsidR="005E00A7" w:rsidRPr="00A648E6" w:rsidRDefault="005E00A7" w:rsidP="00A30AF6">
      <w:pPr>
        <w:spacing w:after="0" w:line="240" w:lineRule="auto"/>
      </w:pPr>
      <w:r w:rsidRPr="00A648E6">
        <w:separator/>
      </w:r>
    </w:p>
  </w:footnote>
  <w:footnote w:type="continuationSeparator" w:id="0">
    <w:p w14:paraId="53162471" w14:textId="77777777" w:rsidR="005E00A7" w:rsidRPr="00A648E6" w:rsidRDefault="005E00A7" w:rsidP="00A30AF6">
      <w:pPr>
        <w:spacing w:after="0" w:line="240" w:lineRule="auto"/>
      </w:pPr>
      <w:r w:rsidRPr="00A648E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62E4D"/>
    <w:rsid w:val="000C4415"/>
    <w:rsid w:val="0022255C"/>
    <w:rsid w:val="0024322D"/>
    <w:rsid w:val="002749D0"/>
    <w:rsid w:val="003300E8"/>
    <w:rsid w:val="00332E55"/>
    <w:rsid w:val="003439AE"/>
    <w:rsid w:val="003B5859"/>
    <w:rsid w:val="003E1C83"/>
    <w:rsid w:val="003E30F0"/>
    <w:rsid w:val="003F3DD5"/>
    <w:rsid w:val="004E151A"/>
    <w:rsid w:val="004F14D7"/>
    <w:rsid w:val="00501425"/>
    <w:rsid w:val="00521161"/>
    <w:rsid w:val="0052727F"/>
    <w:rsid w:val="00554A63"/>
    <w:rsid w:val="005C18D4"/>
    <w:rsid w:val="005E00A7"/>
    <w:rsid w:val="005E3342"/>
    <w:rsid w:val="005F0F00"/>
    <w:rsid w:val="0068218B"/>
    <w:rsid w:val="0069780A"/>
    <w:rsid w:val="006A798F"/>
    <w:rsid w:val="007370BB"/>
    <w:rsid w:val="00770E41"/>
    <w:rsid w:val="0078686E"/>
    <w:rsid w:val="007903C1"/>
    <w:rsid w:val="00792E11"/>
    <w:rsid w:val="00792EB1"/>
    <w:rsid w:val="007B5E82"/>
    <w:rsid w:val="008028E3"/>
    <w:rsid w:val="008056F0"/>
    <w:rsid w:val="00806CD4"/>
    <w:rsid w:val="008120CE"/>
    <w:rsid w:val="00830E90"/>
    <w:rsid w:val="0084564E"/>
    <w:rsid w:val="008625E4"/>
    <w:rsid w:val="009014D7"/>
    <w:rsid w:val="00936C7A"/>
    <w:rsid w:val="009612E4"/>
    <w:rsid w:val="00962995"/>
    <w:rsid w:val="009765AD"/>
    <w:rsid w:val="009A4EE3"/>
    <w:rsid w:val="009E1C18"/>
    <w:rsid w:val="00A30AF6"/>
    <w:rsid w:val="00A648E6"/>
    <w:rsid w:val="00AE02FE"/>
    <w:rsid w:val="00B600EB"/>
    <w:rsid w:val="00B65A20"/>
    <w:rsid w:val="00BB0246"/>
    <w:rsid w:val="00BC7074"/>
    <w:rsid w:val="00C0646B"/>
    <w:rsid w:val="00C22B54"/>
    <w:rsid w:val="00C45DEC"/>
    <w:rsid w:val="00D54820"/>
    <w:rsid w:val="00DC5E51"/>
    <w:rsid w:val="00EB797F"/>
    <w:rsid w:val="00F36892"/>
    <w:rsid w:val="00F37FC9"/>
    <w:rsid w:val="00F615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riasouza12@seue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786</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Yasmim Machado</cp:lastModifiedBy>
  <cp:revision>25</cp:revision>
  <dcterms:created xsi:type="dcterms:W3CDTF">2024-07-21T02:48:00Z</dcterms:created>
  <dcterms:modified xsi:type="dcterms:W3CDTF">2024-10-26T14:40:00Z</dcterms:modified>
</cp:coreProperties>
</file>