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0" distT="0" distL="114300" distR="114300" hidden="0" layoutInCell="1" locked="0" relativeHeight="0" simplePos="0">
            <wp:simplePos x="0" y="0"/>
            <wp:positionH relativeFrom="margin">
              <wp:posOffset>-454658</wp:posOffset>
            </wp:positionH>
            <wp:positionV relativeFrom="margin">
              <wp:posOffset>-876299</wp:posOffset>
            </wp:positionV>
            <wp:extent cx="6076950" cy="9382125"/>
            <wp:effectExtent b="0" l="0" r="0" t="0"/>
            <wp:wrapNone/>
            <wp:docPr id="3" name="image5.png"/>
            <a:graphic>
              <a:graphicData uri="http://schemas.openxmlformats.org/drawingml/2006/picture">
                <pic:pic>
                  <pic:nvPicPr>
                    <pic:cNvPr id="0" name="image5.png"/>
                    <pic:cNvPicPr preferRelativeResize="0"/>
                  </pic:nvPicPr>
                  <pic:blipFill>
                    <a:blip r:embed="rId6">
                      <a:alphaModFix amt="16000"/>
                    </a:blip>
                    <a:srcRect b="0" l="0" r="0" t="0"/>
                    <a:stretch>
                      <a:fillRect/>
                    </a:stretch>
                  </pic:blipFill>
                  <pic:spPr>
                    <a:xfrm>
                      <a:off x="0" y="0"/>
                      <a:ext cx="6076950" cy="9382125"/>
                    </a:xfrm>
                    <a:prstGeom prst="rect"/>
                    <a:ln/>
                  </pic:spPr>
                </pic:pic>
              </a:graphicData>
            </a:graphic>
          </wp:anchor>
        </w:drawing>
      </w:r>
      <w:r w:rsidDel="00000000" w:rsidR="00000000" w:rsidRPr="00000000">
        <w:rPr>
          <w:rFonts w:ascii="Times New Roman" w:cs="Times New Roman" w:eastAsia="Times New Roman" w:hAnsi="Times New Roman"/>
          <w:b w:val="1"/>
          <w:sz w:val="28"/>
          <w:szCs w:val="28"/>
          <w:rtl w:val="0"/>
        </w:rPr>
        <w:t xml:space="preserve">CALCIO STORICO FIORENTINO: UM RELATO DE EXPERIÊNCIA </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Grasiela Cabral da Costa</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Laisa Roque de Lima </w:t>
      </w:r>
    </w:p>
    <w:p w:rsidR="00000000" w:rsidDel="00000000" w:rsidP="00000000" w:rsidRDefault="00000000" w:rsidRPr="00000000" w14:paraId="0000000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Luana Barbosa dos Santos </w:t>
      </w:r>
    </w:p>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Gonçalves da Silva Junior</w:t>
      </w:r>
    </w:p>
    <w:p w:rsidR="00000000" w:rsidDel="00000000" w:rsidP="00000000" w:rsidRDefault="00000000" w:rsidRPr="00000000" w14:paraId="0000000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Henry Pereira Feitoza </w:t>
      </w:r>
    </w:p>
    <w:p w:rsidR="00000000" w:rsidDel="00000000" w:rsidP="00000000" w:rsidRDefault="00000000" w:rsidRPr="00000000" w14:paraId="0000000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da Rocha Queiroz</w:t>
      </w:r>
    </w:p>
    <w:p w:rsidR="00000000" w:rsidDel="00000000" w:rsidP="00000000" w:rsidRDefault="00000000" w:rsidRPr="00000000" w14:paraId="00000009">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B">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Calcio Storico Fiorentino tem sua história marcada por um evento emblemático que ocorreu em 17 de fevereiro de 1530, quando os cidadãos de Florença, com o exército invasor às portas da cidade, decidiram jogar uma partida de Calcio como um ato de desafio e afirmação do orgulho republicano. Este episódio histórico é evocado anualmente e tornou-se um pilar na construção da identidade, sendo praticado desde o século XVI, onde combina elementos do futebol, do rugby e da luta livre (Bosisio, 2018). </w:t>
      </w:r>
    </w:p>
    <w:p w:rsidR="00000000" w:rsidDel="00000000" w:rsidP="00000000" w:rsidRDefault="00000000" w:rsidRPr="00000000" w14:paraId="0000000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sua história só se tornou visível devido aos meios midiáticos, como por exemplo o documentário da Netflix que o exibe como “o violento e brutal Calcio Storico [...]” no episódio Bola e Combate, da série Esportes do Mundo (2020), essa característica da violência constitui um elemento essencial da prática, onde sua regulamentação é um ponto de constante debate e conflito dos praticantes. Este jogo, portanto, nos permite refletir sobre a violência nos esportes e a necessidade de pertencimento dos grupos sociais, pois além de um evento esportivo, é uma manifestação cultural que envolve séculos de história da cidade de Florença, onde está prática traz para os cidadãos um orgulho à história local.  </w:t>
      </w:r>
    </w:p>
    <w:p w:rsidR="00000000" w:rsidDel="00000000" w:rsidP="00000000" w:rsidRDefault="00000000" w:rsidRPr="00000000" w14:paraId="0000000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ao utilizar esse jogo nas aulas de Educação Física escolar, se faz necessário, pois contribui para a formação crítica e social dos alunos, além de ampliar as possibilidades pedagógicas de ensino, promovendo uma experiência diferenciada que integra cultura, prática corporal e história (Da Silva et al., 2022). Sendo assim, esta pesquisa se manifesta no potencial de inovação pedagógica, ao ressignificar um esporte historicamente violento para ser desenvolvido no âmbito escolar. Desse modo, este relato de experiência tem como objetivo geral descrever a possibilidade de inserir o Calcio Storico Fiorentino em uma aula de Educação Física escolar.</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se caracteriza como um relato de experiência, de natureza qualitativa e caráter descritivo, desenvolvido a partir da observação das aulas do professor supervisor, realizadas entre os dias 14 a 18 de abril de 2025, no âmbito do Programa Institucional de Bolsas de Iniciação à Docência (PIBID). A experiência teve como foco o </w:t>
      </w:r>
      <w:r w:rsidDel="00000000" w:rsidR="00000000" w:rsidRPr="00000000">
        <w:rPr>
          <w:rFonts w:ascii="Times New Roman" w:cs="Times New Roman" w:eastAsia="Times New Roman" w:hAnsi="Times New Roman"/>
          <w:sz w:val="24"/>
          <w:szCs w:val="24"/>
          <w:rtl w:val="0"/>
        </w:rPr>
        <w:t xml:space="preserve">Calcio Storico Fiorentino</w:t>
      </w:r>
      <w:r w:rsidDel="00000000" w:rsidR="00000000" w:rsidRPr="00000000">
        <w:rPr>
          <w:rFonts w:ascii="Times New Roman" w:cs="Times New Roman" w:eastAsia="Times New Roman" w:hAnsi="Times New Roman"/>
          <w:sz w:val="24"/>
          <w:szCs w:val="24"/>
          <w:rtl w:val="0"/>
        </w:rPr>
        <w:t xml:space="preserve">, que foi desenvolvida nas turmas dos anos finais do Ensino Fundamental, do 6º ao 9º ano, de forma adaptada ao contexto escolar. As aulas foram contempladas na Escola de Tempo Integral Arraial Novo do Bom Jesus, situada no bairro dos Torrões, em Recife-PE. </w:t>
      </w:r>
      <w:r w:rsidDel="00000000" w:rsidR="00000000" w:rsidRPr="00000000">
        <w:rPr>
          <w:rFonts w:ascii="Times New Roman" w:cs="Times New Roman" w:eastAsia="Times New Roman" w:hAnsi="Times New Roman"/>
          <w:sz w:val="24"/>
          <w:szCs w:val="24"/>
        </w:rPr>
        <w:drawing>
          <wp:anchor allowOverlap="1" behindDoc="1" distB="0" distT="0" distL="114300" distR="114300" hidden="0" layoutInCell="1" locked="0" relativeHeight="0" simplePos="0">
            <wp:simplePos x="0" y="0"/>
            <wp:positionH relativeFrom="margin">
              <wp:posOffset>-1133474</wp:posOffset>
            </wp:positionH>
            <wp:positionV relativeFrom="margin">
              <wp:posOffset>-390524</wp:posOffset>
            </wp:positionV>
            <wp:extent cx="7800975" cy="9382125"/>
            <wp:effectExtent b="0" l="0" r="0" t="0"/>
            <wp:wrapNone/>
            <wp:docPr id="2" name="image3.png"/>
            <a:graphic>
              <a:graphicData uri="http://schemas.openxmlformats.org/drawingml/2006/picture">
                <pic:pic>
                  <pic:nvPicPr>
                    <pic:cNvPr id="0" name="image3.png"/>
                    <pic:cNvPicPr preferRelativeResize="0"/>
                  </pic:nvPicPr>
                  <pic:blipFill>
                    <a:blip r:embed="rId6">
                      <a:alphaModFix amt="13000"/>
                    </a:blip>
                    <a:srcRect b="0" l="0" r="0" t="0"/>
                    <a:stretch>
                      <a:fillRect/>
                    </a:stretch>
                  </pic:blipFill>
                  <pic:spPr>
                    <a:xfrm>
                      <a:off x="0" y="0"/>
                      <a:ext cx="7800975" cy="9382125"/>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Para registrar a experiência pedagógica, utilizou-se o diário de campo, no qual foram anotadas as impressões dos alunos sobre o </w:t>
      </w:r>
      <w:r w:rsidDel="00000000" w:rsidR="00000000" w:rsidRPr="00000000">
        <w:rPr>
          <w:rFonts w:ascii="Times New Roman" w:cs="Times New Roman" w:eastAsia="Times New Roman" w:hAnsi="Times New Roman"/>
          <w:sz w:val="24"/>
          <w:szCs w:val="24"/>
          <w:rtl w:val="0"/>
        </w:rPr>
        <w:t xml:space="preserve">Calcio Storico Fiorentino</w:t>
      </w:r>
      <w:r w:rsidDel="00000000" w:rsidR="00000000" w:rsidRPr="00000000">
        <w:rPr>
          <w:rFonts w:ascii="Times New Roman" w:cs="Times New Roman" w:eastAsia="Times New Roman" w:hAnsi="Times New Roman"/>
          <w:sz w:val="24"/>
          <w:szCs w:val="24"/>
          <w:rtl w:val="0"/>
        </w:rPr>
        <w:t xml:space="preserve">, desde os receios iniciais até a mudança de postura após a adaptação das regras, evidenciando suas reações durante a atividade (Teixeira; Pacífico; Barros, 2023).</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que as aulas sobre o Calcio Storico Fiorentino foi bem-sucedida  em todas as turmas, pois todos engajaram na atividade proposta mesmo tratando-se de uma modalidade reconhecida como o “esporte mais violento do mundo” (Stendardi, 2022). Isso porque, antes de iniciar a prática, o professor supervisor apresentou o documentário Esportes do mundo, disponível na plataforma Netflix, especificamente o episódio que aborda o Calcio Storico Fiorentino. Durante a exibição, o professor informou aos estudantes que em seguida, eles vivenciaram a prática adaptada desse jogo na quadra, o que inicialmente causou espanto e receio, já que alguns demonstraram resistência ou imaginaram que poderiam agredir ou seriam agredidos pelos colegas. </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os alunos se surpreenderam ao saber que iriam vivenciar o jogo, os pibidianos temeram que a aula não tivesse um engajamento, considerando a possibilidade dos estudantes se machucarem durante a atividade. Contudo, após o término do episódio, o docente propôs a realização da partida com regras adaptadas, assegurando a integridade física dos participantes. Por exemplo, foi permitido segurar e puxar o colega para baixo, mas não eram autorizadas agressões físicas como socos, chutes ou golpes, ações que no jogo original </w:t>
      </w:r>
      <w:r w:rsidDel="00000000" w:rsidR="00000000" w:rsidRPr="00000000">
        <w:rPr>
          <w:rFonts w:ascii="Times New Roman" w:cs="Times New Roman" w:eastAsia="Times New Roman" w:hAnsi="Times New Roman"/>
          <w:sz w:val="24"/>
          <w:szCs w:val="24"/>
        </w:rPr>
        <w:drawing>
          <wp:anchor allowOverlap="1" behindDoc="1" distB="0" distT="0" distL="114300" distR="114300" hidden="0" layoutInCell="1" locked="0" relativeHeight="0" simplePos="0">
            <wp:simplePos x="0" y="0"/>
            <wp:positionH relativeFrom="margin">
              <wp:posOffset>-1535236</wp:posOffset>
            </wp:positionH>
            <wp:positionV relativeFrom="margin">
              <wp:posOffset>196081</wp:posOffset>
            </wp:positionV>
            <wp:extent cx="8318124" cy="9382125"/>
            <wp:effectExtent b="0" l="0" r="0" t="0"/>
            <wp:wrapNone/>
            <wp:docPr id="1" name="image3.png"/>
            <a:graphic>
              <a:graphicData uri="http://schemas.openxmlformats.org/drawingml/2006/picture">
                <pic:pic>
                  <pic:nvPicPr>
                    <pic:cNvPr id="0" name="image3.png"/>
                    <pic:cNvPicPr preferRelativeResize="0"/>
                  </pic:nvPicPr>
                  <pic:blipFill>
                    <a:blip r:embed="rId6">
                      <a:alphaModFix amt="12000"/>
                    </a:blip>
                    <a:srcRect b="0" l="0" r="0" t="0"/>
                    <a:stretch>
                      <a:fillRect/>
                    </a:stretch>
                  </pic:blipFill>
                  <pic:spPr>
                    <a:xfrm>
                      <a:off x="0" y="0"/>
                      <a:ext cx="8318124" cy="9382125"/>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são permitidas (Bosisio, 2018). Diante dessas adaptações e da clareza nas regras estabelecidas, os alunos engajaram-se na participação da atividade. </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 que mais chamou atenção foi que durante toda a atividade, os alunos receberam empurrões e até riram da situação, sem demonstrar raiva ou insatisfação com a prática. Com essa vivência nas turmas, o professor conseguiu provocar o questionamento sobre por que, no futebol ou futsal, um simples empurrão pode gerar brigas ou sentimentos de raiva, enquanto na prática do Calcio Storico adaptado, eles não manifestaram nada disso. Em vista disso, foram levados a refletir sobre a importância do respeito e do espírito esportivo em qualquer prática esportiva.</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de adaptação do Calcio Storico Fiorentino evidenciou o potencial da Educação Física em ampliar seus horizontes para além das modalidades tradicionalmente praticadas. Ao trazer para escola um jogo marcado pela violência e pela identidade cultural de Florença (Stendardi, 2022),  este relato reforça a importância de experiências pedagógicas que dialoguem com a diversidade cultural e histórica das práticas corporais, com segurança e envolvimento de todos os estudantes. De modo que, fortaleça o ensino da Educação Física como espaço de formação crítica, abrindo caminhos para novas pesquisas e práticas que ampliem o repertório cultural no ambiente escolar.</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BOLA e combate. In: Esportes e do mundo. [S.l.]: Netflix, 2020. 1 episódio (36 min), doc., color. Disponível em: https://www.netflix.com/br/title/80227160. Acesso em: 2 set. 2025.</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BOSISIO, Matteo. Molto più di un gioco: il calcio storico fiorentino nella letteratura tra Quattro e Cinquecento. </w:t>
      </w:r>
      <w:r w:rsidDel="00000000" w:rsidR="00000000" w:rsidRPr="00000000">
        <w:rPr>
          <w:rFonts w:ascii="Times New Roman" w:cs="Times New Roman" w:eastAsia="Times New Roman" w:hAnsi="Times New Roman"/>
          <w:b w:val="1"/>
          <w:sz w:val="24"/>
          <w:szCs w:val="24"/>
          <w:rtl w:val="0"/>
        </w:rPr>
        <w:t xml:space="preserve">Griseldaonline</w:t>
      </w:r>
      <w:r w:rsidDel="00000000" w:rsidR="00000000" w:rsidRPr="00000000">
        <w:rPr>
          <w:rFonts w:ascii="Times New Roman" w:cs="Times New Roman" w:eastAsia="Times New Roman" w:hAnsi="Times New Roman"/>
          <w:sz w:val="24"/>
          <w:szCs w:val="24"/>
          <w:rtl w:val="0"/>
        </w:rPr>
        <w:t xml:space="preserve">, v. 17, 2018. DOI: 10.6092/issn.1721-4777/9393.</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SILVA, Fabio José Antônio et al. A educação física e os temas transversais: contribuindo para a formação crítica e social dos alunos: Physical education and cross-cutting themes: contributing to the critical and social training of students. </w:t>
      </w:r>
      <w:r w:rsidDel="00000000" w:rsidR="00000000" w:rsidRPr="00000000">
        <w:rPr>
          <w:rFonts w:ascii="Times New Roman" w:cs="Times New Roman" w:eastAsia="Times New Roman" w:hAnsi="Times New Roman"/>
          <w:b w:val="1"/>
          <w:sz w:val="24"/>
          <w:szCs w:val="24"/>
          <w:rtl w:val="0"/>
        </w:rPr>
        <w:t xml:space="preserve">Brazilian Journal of Development</w:t>
      </w:r>
      <w:r w:rsidDel="00000000" w:rsidR="00000000" w:rsidRPr="00000000">
        <w:rPr>
          <w:rFonts w:ascii="Times New Roman" w:cs="Times New Roman" w:eastAsia="Times New Roman" w:hAnsi="Times New Roman"/>
          <w:sz w:val="24"/>
          <w:szCs w:val="24"/>
          <w:rtl w:val="0"/>
        </w:rPr>
        <w:t xml:space="preserve">, v. 8, n. 12, p. 78820-78835, 2022.</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STENDARDI, David et al. Calcio Storico Fiorentino: construcción de la identidad y violencia. </w:t>
      </w:r>
      <w:r w:rsidDel="00000000" w:rsidR="00000000" w:rsidRPr="00000000">
        <w:rPr>
          <w:rFonts w:ascii="Times New Roman" w:cs="Times New Roman" w:eastAsia="Times New Roman" w:hAnsi="Times New Roman"/>
          <w:b w:val="1"/>
          <w:sz w:val="24"/>
          <w:szCs w:val="24"/>
          <w:rtl w:val="0"/>
        </w:rPr>
        <w:t xml:space="preserve">Sociología del deporte</w:t>
      </w:r>
      <w:r w:rsidDel="00000000" w:rsidR="00000000" w:rsidRPr="00000000">
        <w:rPr>
          <w:rFonts w:ascii="Times New Roman" w:cs="Times New Roman" w:eastAsia="Times New Roman" w:hAnsi="Times New Roman"/>
          <w:sz w:val="24"/>
          <w:szCs w:val="24"/>
          <w:rtl w:val="0"/>
        </w:rPr>
        <w:t xml:space="preserve">, v. 3, n. 1, p. 27-38, 2022. https://doi.org/10.46661/socioldeporte.6652. Acesso em: 29 ago. 2025.</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TEIXEIRA, Érica Jaqueline Pizapio; PACÍFICO, Juracy Machado; BARROS, Josemir Almeida. O diário de campo como instrumento na pesquisa científica: contribuições e orientações. </w:t>
      </w:r>
      <w:r w:rsidDel="00000000" w:rsidR="00000000" w:rsidRPr="00000000">
        <w:rPr>
          <w:rFonts w:ascii="Times New Roman" w:cs="Times New Roman" w:eastAsia="Times New Roman" w:hAnsi="Times New Roman"/>
          <w:b w:val="1"/>
          <w:sz w:val="24"/>
          <w:szCs w:val="24"/>
          <w:rtl w:val="0"/>
        </w:rPr>
        <w:t xml:space="preserve">Cuadernos de Educación y Desarrollo</w:t>
      </w:r>
      <w:r w:rsidDel="00000000" w:rsidR="00000000" w:rsidRPr="00000000">
        <w:rPr>
          <w:rFonts w:ascii="Times New Roman" w:cs="Times New Roman" w:eastAsia="Times New Roman" w:hAnsi="Times New Roman"/>
          <w:sz w:val="24"/>
          <w:szCs w:val="24"/>
          <w:rtl w:val="0"/>
        </w:rPr>
        <w:t xml:space="preserve">, v. 15, n. 2, p. 1678-1705, 2023.</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widowControl w:val="0"/>
      <w:spacing w:line="240" w:lineRule="auto"/>
      <w:ind w:left="-850.3937007874015"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231625" cy="828675"/>
          <wp:effectExtent b="0" l="0" r="0" t="0"/>
          <wp:docPr id="4" name="image4.png"/>
          <a:graphic>
            <a:graphicData uri="http://schemas.openxmlformats.org/drawingml/2006/picture">
              <pic:pic>
                <pic:nvPicPr>
                  <pic:cNvPr id="0" name="image4.png"/>
                  <pic:cNvPicPr preferRelativeResize="0"/>
                </pic:nvPicPr>
                <pic:blipFill>
                  <a:blip r:embed="rId1"/>
                  <a:srcRect b="4032" l="5661" r="3758" t="6451"/>
                  <a:stretch>
                    <a:fillRect/>
                  </a:stretch>
                </pic:blipFill>
                <pic:spPr>
                  <a:xfrm>
                    <a:off x="0" y="0"/>
                    <a:ext cx="523162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