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3874D62" w14:textId="77777777" w:rsidR="00A1296C" w:rsidRDefault="00A1296C" w:rsidP="00A129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FAF">
        <w:rPr>
          <w:rFonts w:ascii="Times New Roman" w:hAnsi="Times New Roman" w:cs="Times New Roman"/>
          <w:b/>
          <w:sz w:val="28"/>
          <w:szCs w:val="28"/>
        </w:rPr>
        <w:t>EFICÁCIA DA APLICAÇÃO DA TOXINA BOTULÍNICA TIPO A NO TRATAMENTO DA ROSÁCEA</w:t>
      </w:r>
    </w:p>
    <w:p w14:paraId="28B091BA" w14:textId="4702336E" w:rsidR="00A1296C" w:rsidRDefault="00A1296C" w:rsidP="00A1296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FAF">
        <w:rPr>
          <w:rFonts w:ascii="Times New Roman" w:hAnsi="Times New Roman" w:cs="Times New Roman"/>
          <w:b/>
          <w:sz w:val="24"/>
          <w:szCs w:val="24"/>
        </w:rPr>
        <w:t>INTRODUÇÃO:</w:t>
      </w:r>
      <w:r w:rsidRPr="008A3B2E">
        <w:rPr>
          <w:rFonts w:ascii="Times New Roman" w:hAnsi="Times New Roman" w:cs="Times New Roman"/>
          <w:sz w:val="24"/>
          <w:szCs w:val="24"/>
        </w:rPr>
        <w:t xml:space="preserve"> A rosácea é uma doença inflamatória crônica da pele, localizada predominantemente na região centro-facial. Caracteriza-se por episódios recorrentes de </w:t>
      </w:r>
      <w:r w:rsidRPr="00700C30">
        <w:rPr>
          <w:rFonts w:ascii="Times New Roman" w:hAnsi="Times New Roman" w:cs="Times New Roman"/>
          <w:i/>
          <w:sz w:val="24"/>
          <w:szCs w:val="24"/>
        </w:rPr>
        <w:t>flushing</w:t>
      </w:r>
      <w:r w:rsidRPr="008A3B2E">
        <w:rPr>
          <w:rFonts w:ascii="Times New Roman" w:hAnsi="Times New Roman" w:cs="Times New Roman"/>
          <w:sz w:val="24"/>
          <w:szCs w:val="24"/>
        </w:rPr>
        <w:t>, eritema, pápulas, pústulas e telangiectasias. A aplicação intradérmica de toxina botulinica (TB) tem sido estudada e utilizada em pacientes com diagnóstico de rosá</w:t>
      </w:r>
      <w:r>
        <w:rPr>
          <w:rFonts w:ascii="Times New Roman" w:hAnsi="Times New Roman" w:cs="Times New Roman"/>
          <w:sz w:val="24"/>
          <w:szCs w:val="24"/>
        </w:rPr>
        <w:t xml:space="preserve">cea eritêmato-telangiectásica. </w:t>
      </w:r>
      <w:r w:rsidRPr="00C30FAF">
        <w:rPr>
          <w:rFonts w:ascii="Times New Roman" w:hAnsi="Times New Roman" w:cs="Times New Roman"/>
          <w:b/>
          <w:sz w:val="24"/>
          <w:szCs w:val="24"/>
        </w:rPr>
        <w:t>OBJETIVO:</w:t>
      </w:r>
      <w:r w:rsidRPr="008A3B2E">
        <w:rPr>
          <w:rFonts w:ascii="Times New Roman" w:hAnsi="Times New Roman" w:cs="Times New Roman"/>
          <w:sz w:val="24"/>
          <w:szCs w:val="24"/>
        </w:rPr>
        <w:t xml:space="preserve"> Analisar a eficácia da aplicação terapêutica da toxina botulínica tipo A em pacientes diagnosticados com rosá</w:t>
      </w:r>
      <w:r>
        <w:rPr>
          <w:rFonts w:ascii="Times New Roman" w:hAnsi="Times New Roman" w:cs="Times New Roman"/>
          <w:sz w:val="24"/>
          <w:szCs w:val="24"/>
        </w:rPr>
        <w:t xml:space="preserve">cea eritêmato-telangiectásica. </w:t>
      </w:r>
      <w:r w:rsidRPr="00C30FAF">
        <w:rPr>
          <w:rFonts w:ascii="Times New Roman" w:hAnsi="Times New Roman" w:cs="Times New Roman"/>
          <w:b/>
          <w:sz w:val="24"/>
          <w:szCs w:val="24"/>
        </w:rPr>
        <w:t>METODOLOGIA:</w:t>
      </w:r>
      <w:r w:rsidRPr="008A3B2E">
        <w:rPr>
          <w:rFonts w:ascii="Times New Roman" w:hAnsi="Times New Roman" w:cs="Times New Roman"/>
          <w:sz w:val="24"/>
          <w:szCs w:val="24"/>
        </w:rPr>
        <w:t xml:space="preserve"> Trata-se de uma Revisão Integrativa, </w:t>
      </w:r>
      <w:r>
        <w:rPr>
          <w:rFonts w:ascii="Times New Roman" w:hAnsi="Times New Roman" w:cs="Times New Roman"/>
          <w:sz w:val="24"/>
          <w:szCs w:val="24"/>
        </w:rPr>
        <w:t xml:space="preserve">em que </w:t>
      </w:r>
      <w:r w:rsidRPr="008A3B2E">
        <w:rPr>
          <w:rFonts w:ascii="Times New Roman" w:hAnsi="Times New Roman" w:cs="Times New Roman"/>
          <w:sz w:val="24"/>
          <w:szCs w:val="24"/>
        </w:rPr>
        <w:t>foram util</w:t>
      </w:r>
      <w:r>
        <w:rPr>
          <w:rFonts w:ascii="Times New Roman" w:hAnsi="Times New Roman" w:cs="Times New Roman"/>
          <w:sz w:val="24"/>
          <w:szCs w:val="24"/>
        </w:rPr>
        <w:t>izados os descritores “usos terapêuticos</w:t>
      </w:r>
      <w:r w:rsidRPr="008A3B2E">
        <w:rPr>
          <w:rFonts w:ascii="Times New Roman" w:hAnsi="Times New Roman" w:cs="Times New Roman"/>
          <w:sz w:val="24"/>
          <w:szCs w:val="24"/>
        </w:rPr>
        <w:t xml:space="preserve">”,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8A3B2E">
        <w:rPr>
          <w:rFonts w:ascii="Times New Roman" w:hAnsi="Times New Roman" w:cs="Times New Roman"/>
          <w:sz w:val="24"/>
          <w:szCs w:val="24"/>
        </w:rPr>
        <w:t>toxina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A3B2E">
        <w:rPr>
          <w:rFonts w:ascii="Times New Roman" w:hAnsi="Times New Roman" w:cs="Times New Roman"/>
          <w:sz w:val="24"/>
          <w:szCs w:val="24"/>
        </w:rPr>
        <w:t xml:space="preserve"> botulínica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A3B2E">
        <w:rPr>
          <w:rFonts w:ascii="Times New Roman" w:hAnsi="Times New Roman" w:cs="Times New Roman"/>
          <w:sz w:val="24"/>
          <w:szCs w:val="24"/>
        </w:rPr>
        <w:t xml:space="preserve"> tipo A” e “rosácea” nas bases de dados PUBMED, Literatura Latino-americana e do Caribe em Ciências da Saúde (Lilacs) e Scientific Eletronic Library Online (Scielo). Analisou-se 10 artigos, possuindo como critério de inclusão: período de 2018 a 2023 e idioma (português e inglês), sendo selecionados 6 artigos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D7753">
        <w:rPr>
          <w:rFonts w:ascii="Times New Roman" w:hAnsi="Times New Roman" w:cs="Times New Roman"/>
          <w:b/>
          <w:sz w:val="24"/>
          <w:szCs w:val="24"/>
        </w:rPr>
        <w:t>RESULTADOS:</w:t>
      </w:r>
      <w:r w:rsidRPr="00700C30">
        <w:rPr>
          <w:rFonts w:ascii="Times New Roman" w:hAnsi="Times New Roman" w:cs="Times New Roman"/>
          <w:sz w:val="24"/>
          <w:szCs w:val="24"/>
        </w:rPr>
        <w:t xml:space="preserve"> A rosácea é uma fisiopatologia prevalente em 1% a 22% da população, principalmente em mulheres, variando com os diferentes estudos e bases populacionais. Ainda não se sabe sua exata patogênese, mas é evidente a desregulação do sistema imune inato e o desequilíbrio da microbiota comensal da pele naqueles que são afetados. De acordo com o painel ROSCO de 2017, a rosácea pode ser classificada em 4 subtipos: eritêmato-telangiectásica, pápulo-pustulosa, fimatose e ocular. Nesta revisão, o subtipo I ou eritêmato-telangiectásico, que inclui indivíduos com tendência ao rubor, associado a eritema facial persistentes e algumas telangiec</w:t>
      </w:r>
      <w:r>
        <w:rPr>
          <w:rFonts w:ascii="Times New Roman" w:hAnsi="Times New Roman" w:cs="Times New Roman"/>
          <w:sz w:val="24"/>
          <w:szCs w:val="24"/>
        </w:rPr>
        <w:t xml:space="preserve">tasias, </w:t>
      </w:r>
      <w:r w:rsidRPr="00700C30">
        <w:rPr>
          <w:rFonts w:ascii="Times New Roman" w:hAnsi="Times New Roman" w:cs="Times New Roman"/>
          <w:sz w:val="24"/>
          <w:szCs w:val="24"/>
        </w:rPr>
        <w:t xml:space="preserve">será o principal </w:t>
      </w:r>
      <w:r>
        <w:rPr>
          <w:rFonts w:ascii="Times New Roman" w:hAnsi="Times New Roman" w:cs="Times New Roman"/>
          <w:sz w:val="24"/>
          <w:szCs w:val="24"/>
        </w:rPr>
        <w:t xml:space="preserve">a ser </w:t>
      </w:r>
      <w:r w:rsidRPr="00700C30">
        <w:rPr>
          <w:rFonts w:ascii="Times New Roman" w:hAnsi="Times New Roman" w:cs="Times New Roman"/>
          <w:sz w:val="24"/>
          <w:szCs w:val="24"/>
        </w:rPr>
        <w:t>abordado, uma vez que abrange um maior grupo e tem obtido os melhores resultados na aplicação terapêutic</w:t>
      </w:r>
      <w:r>
        <w:rPr>
          <w:rFonts w:ascii="Times New Roman" w:hAnsi="Times New Roman" w:cs="Times New Roman"/>
          <w:sz w:val="24"/>
          <w:szCs w:val="24"/>
        </w:rPr>
        <w:t xml:space="preserve">a da toxina </w:t>
      </w:r>
      <w:r>
        <w:rPr>
          <w:rFonts w:ascii="Times New Roman" w:hAnsi="Times New Roman" w:cs="Times New Roman"/>
          <w:sz w:val="24"/>
          <w:szCs w:val="24"/>
        </w:rPr>
        <w:t>botulínica tipo A. A toxina botu</w:t>
      </w:r>
      <w:r>
        <w:rPr>
          <w:rFonts w:ascii="Times New Roman" w:hAnsi="Times New Roman" w:cs="Times New Roman"/>
          <w:sz w:val="24"/>
          <w:szCs w:val="24"/>
        </w:rPr>
        <w:t>línica</w:t>
      </w:r>
      <w:r w:rsidRPr="00700C30">
        <w:rPr>
          <w:rFonts w:ascii="Times New Roman" w:hAnsi="Times New Roman" w:cs="Times New Roman"/>
          <w:sz w:val="24"/>
          <w:szCs w:val="24"/>
        </w:rPr>
        <w:t xml:space="preserve"> é uma potente neurotoxina, que inibe a liberação de acetilcolina (Ach) e do peptídeo intestinal vasoativo (VIP), sendo esses os principais mediadores da vasodilatação e do </w:t>
      </w:r>
      <w:r w:rsidRPr="00700C30">
        <w:rPr>
          <w:rFonts w:ascii="Times New Roman" w:hAnsi="Times New Roman" w:cs="Times New Roman"/>
          <w:i/>
          <w:sz w:val="24"/>
          <w:szCs w:val="24"/>
        </w:rPr>
        <w:t>flushing</w:t>
      </w:r>
      <w:r w:rsidRPr="00700C30">
        <w:rPr>
          <w:rFonts w:ascii="Times New Roman" w:hAnsi="Times New Roman" w:cs="Times New Roman"/>
          <w:sz w:val="24"/>
          <w:szCs w:val="24"/>
        </w:rPr>
        <w:t xml:space="preserve">, o que compreende o mecanismo de ação para </w:t>
      </w:r>
      <w:r>
        <w:rPr>
          <w:rFonts w:ascii="Times New Roman" w:hAnsi="Times New Roman" w:cs="Times New Roman"/>
          <w:sz w:val="24"/>
          <w:szCs w:val="24"/>
        </w:rPr>
        <w:t>essa neurotoxina na rosácea. Uma p</w:t>
      </w:r>
      <w:r w:rsidRPr="00700C30">
        <w:rPr>
          <w:rFonts w:ascii="Times New Roman" w:hAnsi="Times New Roman" w:cs="Times New Roman"/>
          <w:sz w:val="24"/>
          <w:szCs w:val="24"/>
        </w:rPr>
        <w:t>esquisa presente no artigo “Estudo prospectivo para tratamento de rubor da rosácea com t</w:t>
      </w:r>
      <w:r>
        <w:rPr>
          <w:rFonts w:ascii="Times New Roman" w:hAnsi="Times New Roman" w:cs="Times New Roman"/>
          <w:sz w:val="24"/>
          <w:szCs w:val="24"/>
        </w:rPr>
        <w:t>oxina botulínica tipo A” observou que a aplicação da toxina botulínica</w:t>
      </w:r>
      <w:r w:rsidRPr="00700C30">
        <w:rPr>
          <w:rFonts w:ascii="Times New Roman" w:hAnsi="Times New Roman" w:cs="Times New Roman"/>
          <w:sz w:val="24"/>
          <w:szCs w:val="24"/>
        </w:rPr>
        <w:t xml:space="preserve"> tipo A, em diluição de 100 unidades para 5ml de solução salina, com aplicação intradérmica de 0,2 a 0,5 unidades por ponto de aplicação na região cometida e obteve redução significativa do eritema e rubor da área tratada e satisfação dos pacientes entre duas e quatro semanas após a aplicação, com duração de seis meses e sem efeitos adversos. </w:t>
      </w:r>
      <w:r>
        <w:rPr>
          <w:rFonts w:ascii="Times New Roman" w:hAnsi="Times New Roman" w:cs="Times New Roman"/>
          <w:sz w:val="24"/>
          <w:szCs w:val="24"/>
        </w:rPr>
        <w:t xml:space="preserve">Dessa maneira, pode-se evitar o uso de terapias tópicas e orais diárias, o que melhora a adesão do paciente, e consequente eficácia dessa aplicação terapêutica. </w:t>
      </w:r>
      <w:r w:rsidRPr="00BD7753">
        <w:rPr>
          <w:rFonts w:ascii="Times New Roman" w:hAnsi="Times New Roman" w:cs="Times New Roman"/>
          <w:b/>
          <w:sz w:val="24"/>
          <w:szCs w:val="24"/>
        </w:rPr>
        <w:t>CONCLUSÃO:</w:t>
      </w:r>
      <w:r w:rsidRPr="00700C30">
        <w:rPr>
          <w:rFonts w:ascii="Times New Roman" w:hAnsi="Times New Roman" w:cs="Times New Roman"/>
          <w:sz w:val="24"/>
          <w:szCs w:val="24"/>
        </w:rPr>
        <w:t xml:space="preserve"> Evidencia-se, portanto</w:t>
      </w:r>
      <w:r>
        <w:rPr>
          <w:rFonts w:ascii="Times New Roman" w:hAnsi="Times New Roman" w:cs="Times New Roman"/>
          <w:sz w:val="24"/>
          <w:szCs w:val="24"/>
        </w:rPr>
        <w:t>, a aplicação intradérmica da toxina botulínica</w:t>
      </w:r>
      <w:r w:rsidRPr="00700C30">
        <w:rPr>
          <w:rFonts w:ascii="Times New Roman" w:hAnsi="Times New Roman" w:cs="Times New Roman"/>
          <w:sz w:val="24"/>
          <w:szCs w:val="24"/>
        </w:rPr>
        <w:t xml:space="preserve"> como terapêutica eficaz e segura do eritema facial relacionado à rosácea eritêmato-telangiectásica.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D3606B" w14:textId="77777777" w:rsidR="00A1296C" w:rsidRDefault="00A1296C" w:rsidP="00A1296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1A7D26" w14:textId="0026A62B" w:rsidR="0063107C" w:rsidRPr="00BD6D9B" w:rsidRDefault="00A1296C" w:rsidP="00A1296C">
      <w:pPr>
        <w:rPr>
          <w:rFonts w:ascii="Times New Roman" w:hAnsi="Times New Roman" w:cs="Times New Roman"/>
          <w:sz w:val="28"/>
          <w:szCs w:val="28"/>
        </w:rPr>
      </w:pPr>
      <w:r w:rsidRPr="003C41E2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>alavras-chaves</w:t>
      </w:r>
      <w:r w:rsidRPr="00CF0A5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Pr="008A3B2E">
        <w:rPr>
          <w:rFonts w:ascii="Times New Roman" w:hAnsi="Times New Roman" w:cs="Times New Roman"/>
          <w:sz w:val="24"/>
          <w:szCs w:val="24"/>
        </w:rPr>
        <w:t>oxina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A3B2E">
        <w:rPr>
          <w:rFonts w:ascii="Times New Roman" w:hAnsi="Times New Roman" w:cs="Times New Roman"/>
          <w:sz w:val="24"/>
          <w:szCs w:val="24"/>
        </w:rPr>
        <w:t xml:space="preserve"> botulínica</w:t>
      </w:r>
      <w:r>
        <w:rPr>
          <w:rFonts w:ascii="Times New Roman" w:hAnsi="Times New Roman" w:cs="Times New Roman"/>
          <w:sz w:val="24"/>
          <w:szCs w:val="24"/>
        </w:rPr>
        <w:t>s tipo A; Rosácea; Usos terapêuticos.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13F554" w14:textId="77777777" w:rsidR="0081006A" w:rsidRDefault="0081006A" w:rsidP="007218E2">
      <w:pPr>
        <w:spacing w:after="0" w:line="240" w:lineRule="auto"/>
      </w:pPr>
      <w:r>
        <w:separator/>
      </w:r>
    </w:p>
  </w:endnote>
  <w:endnote w:type="continuationSeparator" w:id="0">
    <w:p w14:paraId="0D73C50A" w14:textId="77777777" w:rsidR="0081006A" w:rsidRDefault="0081006A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6A4412" w14:textId="77777777" w:rsidR="0081006A" w:rsidRDefault="0081006A" w:rsidP="007218E2">
      <w:pPr>
        <w:spacing w:after="0" w:line="240" w:lineRule="auto"/>
      </w:pPr>
      <w:r>
        <w:separator/>
      </w:r>
    </w:p>
  </w:footnote>
  <w:footnote w:type="continuationSeparator" w:id="0">
    <w:p w14:paraId="6FD43875" w14:textId="77777777" w:rsidR="0081006A" w:rsidRDefault="0081006A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D6"/>
    <w:rsid w:val="00077963"/>
    <w:rsid w:val="000B2334"/>
    <w:rsid w:val="003A4751"/>
    <w:rsid w:val="004B2BD6"/>
    <w:rsid w:val="005966D2"/>
    <w:rsid w:val="0063107C"/>
    <w:rsid w:val="007218E2"/>
    <w:rsid w:val="007E4992"/>
    <w:rsid w:val="0081006A"/>
    <w:rsid w:val="009D62B9"/>
    <w:rsid w:val="00A1296C"/>
    <w:rsid w:val="00B27934"/>
    <w:rsid w:val="00BD6D9B"/>
    <w:rsid w:val="00C45D74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476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ueg</cp:lastModifiedBy>
  <cp:revision>2</cp:revision>
  <dcterms:created xsi:type="dcterms:W3CDTF">2023-05-12T22:38:00Z</dcterms:created>
  <dcterms:modified xsi:type="dcterms:W3CDTF">2023-05-12T22:38:00Z</dcterms:modified>
</cp:coreProperties>
</file>