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5C9AE744" w:rsidR="00767098" w:rsidRDefault="00F34751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TRATAMENTO EMERGENCIAL EM </w:t>
      </w:r>
      <w:r w:rsidR="00B47871">
        <w:rPr>
          <w:b/>
          <w:sz w:val="24"/>
        </w:rPr>
        <w:t>UM ACIDENTE VASCULAR CEREBRAL: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6D5D007B" w:rsidR="00767098" w:rsidRPr="006D01D8" w:rsidRDefault="007102B0" w:rsidP="00A62898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6D01D8">
        <w:t>Isadora Engel Marques</w:t>
      </w:r>
      <w:r w:rsidR="006D01D8" w:rsidRPr="006D01D8">
        <w:rPr>
          <w:vertAlign w:val="superscript"/>
        </w:rPr>
        <w:t>1</w:t>
      </w:r>
      <w:r>
        <w:t xml:space="preserve">, </w:t>
      </w:r>
      <w:r w:rsidR="00833FB4">
        <w:t>Marcela Gonçalves Borges</w:t>
      </w:r>
      <w:r w:rsidR="00833FB4" w:rsidRPr="004A5761">
        <w:rPr>
          <w:vertAlign w:val="superscript"/>
        </w:rPr>
        <w:t>1</w:t>
      </w:r>
      <w:r w:rsidR="00833FB4">
        <w:t>, Maria Jacilene de Araújo Gomes</w:t>
      </w:r>
      <w:r w:rsidR="00833FB4" w:rsidRPr="004A5761">
        <w:rPr>
          <w:vertAlign w:val="superscript"/>
        </w:rPr>
        <w:t>1</w:t>
      </w:r>
      <w:r w:rsidR="00833FB4">
        <w:t>, Eli</w:t>
      </w:r>
      <w:r w:rsidR="004A5761">
        <w:t>sa Alves Corrêa Neiva</w:t>
      </w:r>
      <w:r w:rsidR="004A5761" w:rsidRPr="004A5761">
        <w:rPr>
          <w:vertAlign w:val="superscript"/>
        </w:rPr>
        <w:t>1</w:t>
      </w:r>
      <w:r w:rsidR="004A5761">
        <w:t>, Gabriela Pereira Junqueira</w:t>
      </w:r>
      <w:r w:rsidR="004A5761" w:rsidRPr="004A5761">
        <w:rPr>
          <w:vertAlign w:val="superscript"/>
        </w:rPr>
        <w:t>1</w:t>
      </w:r>
      <w:r w:rsidR="004A5761">
        <w:t>, Bianca Dubberstein de Souza Moura</w:t>
      </w:r>
      <w:r w:rsidR="004A5761" w:rsidRPr="004A5761">
        <w:rPr>
          <w:vertAlign w:val="superscript"/>
        </w:rPr>
        <w:t>2</w:t>
      </w:r>
      <w:r w:rsidR="004A5761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25E02B6B" w:rsidR="00FE200F" w:rsidRDefault="00FE200F" w:rsidP="004A2548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Pr="00FE200F">
        <w:rPr>
          <w:vertAlign w:val="superscript"/>
        </w:rPr>
        <w:t>2</w:t>
      </w:r>
      <w:r w:rsidR="00A62898" w:rsidRPr="00A62898">
        <w:t>Universidade de Rio Verde Campus Goianésia</w:t>
      </w:r>
      <w:r>
        <w:t xml:space="preserve">. 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35D2481C" w:rsidR="00767098" w:rsidRDefault="00B47871" w:rsidP="004A2548">
      <w:pPr>
        <w:pStyle w:val="Corpodetexto"/>
        <w:spacing w:line="254" w:lineRule="auto"/>
        <w:ind w:left="0" w:right="1077"/>
      </w:pPr>
      <w:r>
        <w:t>(</w:t>
      </w:r>
      <w:r w:rsidR="00FE200F" w:rsidRPr="00FE200F">
        <w:t>julia.dourado@aluno.faculdadezarns.com.br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08837157" w14:textId="684D2F02" w:rsidR="000D1436" w:rsidRDefault="00E83E47" w:rsidP="004A2548">
      <w:pPr>
        <w:spacing w:line="360" w:lineRule="auto"/>
        <w:jc w:val="both"/>
        <w:rPr>
          <w:color w:val="000000"/>
          <w:sz w:val="24"/>
          <w:szCs w:val="24"/>
        </w:rPr>
      </w:pPr>
      <w:r w:rsidRPr="00F34751">
        <w:rPr>
          <w:b/>
          <w:bCs/>
          <w:sz w:val="24"/>
          <w:szCs w:val="24"/>
        </w:rPr>
        <w:t>Introdução:</w:t>
      </w:r>
      <w:r w:rsidRPr="00F34751">
        <w:rPr>
          <w:sz w:val="24"/>
          <w:szCs w:val="24"/>
        </w:rPr>
        <w:t xml:space="preserve"> </w:t>
      </w:r>
      <w:r w:rsidR="00557A87">
        <w:rPr>
          <w:sz w:val="24"/>
          <w:szCs w:val="24"/>
        </w:rPr>
        <w:t>O acidente vascular cer</w:t>
      </w:r>
      <w:r w:rsidR="00E508DA">
        <w:rPr>
          <w:sz w:val="24"/>
          <w:szCs w:val="24"/>
        </w:rPr>
        <w:t>ebral (AVC</w:t>
      </w:r>
      <w:r w:rsidR="00E508DA">
        <w:rPr>
          <w:sz w:val="24"/>
          <w:szCs w:val="24"/>
          <w:lang w:val="pt-BR"/>
        </w:rPr>
        <w:t>), decorre da alteração do fluxo sanguíneo</w:t>
      </w:r>
      <w:r w:rsidR="00FC0284">
        <w:rPr>
          <w:sz w:val="24"/>
          <w:szCs w:val="24"/>
          <w:lang w:val="pt-BR"/>
        </w:rPr>
        <w:t>. Pode ser classificado como isquêmico, quando se or</w:t>
      </w:r>
      <w:r w:rsidR="004E0887">
        <w:rPr>
          <w:sz w:val="24"/>
          <w:szCs w:val="24"/>
          <w:lang w:val="pt-BR"/>
        </w:rPr>
        <w:t>i</w:t>
      </w:r>
      <w:r w:rsidR="00FC0284">
        <w:rPr>
          <w:sz w:val="24"/>
          <w:szCs w:val="24"/>
          <w:lang w:val="pt-BR"/>
        </w:rPr>
        <w:t>ginar de uma obs</w:t>
      </w:r>
      <w:r w:rsidR="004E0887">
        <w:rPr>
          <w:sz w:val="24"/>
          <w:szCs w:val="24"/>
          <w:lang w:val="pt-BR"/>
        </w:rPr>
        <w:t xml:space="preserve">trução de vasos, ou hemorrágico, quando ocorre uma ruptura do vaso. </w:t>
      </w:r>
      <w:r w:rsidR="00F34751" w:rsidRPr="00F34751">
        <w:rPr>
          <w:sz w:val="24"/>
          <w:szCs w:val="24"/>
        </w:rPr>
        <w:t>A incidência de AVC</w:t>
      </w:r>
      <w:r w:rsidR="004E0887">
        <w:rPr>
          <w:sz w:val="24"/>
          <w:szCs w:val="24"/>
        </w:rPr>
        <w:t xml:space="preserve"> </w:t>
      </w:r>
      <w:r w:rsidR="00F34751" w:rsidRPr="00F34751">
        <w:rPr>
          <w:sz w:val="24"/>
          <w:szCs w:val="24"/>
        </w:rPr>
        <w:t>representa uma ameaça significativa à saúde global, exigindo uma compreensão abrangente para aprimorar as estratégias de intervenção. Esta revisão de literatura explora os embasamentos científicos e a eficácia de medicamentos no contexto das crises de AVC, visando ampliar a compreensão clínica e otimizar abordagens terapêuticas.</w:t>
      </w:r>
      <w:r w:rsidRPr="00F34751">
        <w:rPr>
          <w:sz w:val="24"/>
          <w:szCs w:val="24"/>
        </w:rPr>
        <w:t xml:space="preserve"> </w:t>
      </w:r>
      <w:r w:rsidR="00A22277" w:rsidRPr="00F34751">
        <w:rPr>
          <w:b/>
          <w:bCs/>
          <w:sz w:val="24"/>
          <w:szCs w:val="24"/>
        </w:rPr>
        <w:t xml:space="preserve">Objetivo: </w:t>
      </w:r>
      <w:r w:rsidR="0058778F">
        <w:rPr>
          <w:sz w:val="24"/>
          <w:szCs w:val="24"/>
        </w:rPr>
        <w:t>A</w:t>
      </w:r>
      <w:r w:rsidR="002A3EB1">
        <w:rPr>
          <w:sz w:val="24"/>
          <w:szCs w:val="24"/>
        </w:rPr>
        <w:t>presentar</w:t>
      </w:r>
      <w:r w:rsidR="00F34751" w:rsidRPr="00F34751">
        <w:rPr>
          <w:sz w:val="24"/>
          <w:szCs w:val="24"/>
        </w:rPr>
        <w:t xml:space="preserve"> a eficácia de medicamentos emergenciais no controle imediato d</w:t>
      </w:r>
      <w:r w:rsidR="00144AC5">
        <w:rPr>
          <w:sz w:val="24"/>
          <w:szCs w:val="24"/>
        </w:rPr>
        <w:t>o acidente vascular cerebral</w:t>
      </w:r>
      <w:r w:rsidR="00A22277" w:rsidRPr="00F34751">
        <w:rPr>
          <w:sz w:val="24"/>
          <w:szCs w:val="24"/>
        </w:rPr>
        <w:t>.</w:t>
      </w:r>
      <w:r w:rsidRPr="00F34751">
        <w:rPr>
          <w:sz w:val="24"/>
          <w:szCs w:val="24"/>
        </w:rPr>
        <w:t xml:space="preserve"> </w:t>
      </w:r>
      <w:r w:rsidRPr="00F34751">
        <w:rPr>
          <w:b/>
          <w:color w:val="000000"/>
          <w:sz w:val="24"/>
          <w:szCs w:val="24"/>
        </w:rPr>
        <w:t xml:space="preserve">Metodologia: </w:t>
      </w:r>
      <w:r w:rsidR="00F34751" w:rsidRPr="00F34751">
        <w:rPr>
          <w:sz w:val="24"/>
          <w:szCs w:val="24"/>
        </w:rPr>
        <w:t xml:space="preserve">A metodologia adotada </w:t>
      </w:r>
      <w:r w:rsidR="00144AC5">
        <w:rPr>
          <w:sz w:val="24"/>
          <w:szCs w:val="24"/>
        </w:rPr>
        <w:t xml:space="preserve">nesta revisão de literatura, </w:t>
      </w:r>
      <w:r w:rsidR="00F34751" w:rsidRPr="00F34751">
        <w:rPr>
          <w:sz w:val="24"/>
          <w:szCs w:val="24"/>
        </w:rPr>
        <w:t>envolve</w:t>
      </w:r>
      <w:r w:rsidR="00872CDF">
        <w:rPr>
          <w:sz w:val="24"/>
          <w:szCs w:val="24"/>
        </w:rPr>
        <w:t>u</w:t>
      </w:r>
      <w:r w:rsidR="00F34751" w:rsidRPr="00F34751">
        <w:rPr>
          <w:sz w:val="24"/>
          <w:szCs w:val="24"/>
        </w:rPr>
        <w:t xml:space="preserve"> uma análise criteriosa da literatura médica, incorporando estudos clínicos, revisões sistemáticas</w:t>
      </w:r>
      <w:r w:rsidR="00F34751">
        <w:rPr>
          <w:sz w:val="24"/>
          <w:szCs w:val="24"/>
        </w:rPr>
        <w:t xml:space="preserve"> das bases de dados eletr</w:t>
      </w:r>
      <w:r w:rsidR="00144AC5">
        <w:rPr>
          <w:sz w:val="24"/>
          <w:szCs w:val="24"/>
        </w:rPr>
        <w:t>ô</w:t>
      </w:r>
      <w:r w:rsidR="00F34751">
        <w:rPr>
          <w:sz w:val="24"/>
          <w:szCs w:val="24"/>
        </w:rPr>
        <w:t>nicas mais relevantes como PubMed e MedLine</w:t>
      </w:r>
      <w:r w:rsidR="00F34751" w:rsidRPr="00F34751">
        <w:rPr>
          <w:sz w:val="24"/>
          <w:szCs w:val="24"/>
        </w:rPr>
        <w:t>. A revisão centrou-se nas evidências científicas relacionadas à identificação precoce de sintomas, fatores de risco e abordagens farmacológicas para crises de AVC, proporcionando uma visão holística da gestão dessa emergência.</w:t>
      </w:r>
      <w:r w:rsidR="00F34751">
        <w:rPr>
          <w:color w:val="000000"/>
          <w:sz w:val="24"/>
          <w:szCs w:val="24"/>
        </w:rPr>
        <w:t xml:space="preserve"> Para uma busca mais precisa utilizamos os seguintes descritores: “Acidente vascular cerebral”, “Tratamentos” e “medicamentos” juntamente com o operador booleano “AND”. Após a busca selecionamos 12 artigos, dos quais três foram utilizados na construção de nossa pesquisa</w:t>
      </w:r>
      <w:r w:rsidR="002A3EB1">
        <w:rPr>
          <w:color w:val="000000"/>
          <w:sz w:val="24"/>
          <w:szCs w:val="24"/>
        </w:rPr>
        <w:t xml:space="preserve">, sendo </w:t>
      </w:r>
      <w:r w:rsidR="00F8573A">
        <w:rPr>
          <w:color w:val="000000"/>
          <w:sz w:val="24"/>
          <w:szCs w:val="24"/>
        </w:rPr>
        <w:t>incluidos revisões sistemáticas, estudos clínicos e estudos originais</w:t>
      </w:r>
      <w:r w:rsidR="00F34751">
        <w:rPr>
          <w:color w:val="000000"/>
          <w:sz w:val="24"/>
          <w:szCs w:val="24"/>
        </w:rPr>
        <w:t>. Foram excluídos os trabalhos que tivessem mais de 10 anos de publicação, trabalhos que não estivessem em português</w:t>
      </w:r>
      <w:r w:rsidR="00B85189">
        <w:rPr>
          <w:color w:val="000000"/>
          <w:sz w:val="24"/>
          <w:szCs w:val="24"/>
        </w:rPr>
        <w:t>, trabalhos duplicados, teses e editoriais</w:t>
      </w:r>
      <w:r w:rsidR="00F34751">
        <w:rPr>
          <w:color w:val="000000"/>
          <w:sz w:val="24"/>
          <w:szCs w:val="24"/>
        </w:rPr>
        <w:t xml:space="preserve">. </w:t>
      </w:r>
      <w:r w:rsidR="00A22277" w:rsidRPr="00F34751">
        <w:rPr>
          <w:b/>
          <w:bCs/>
          <w:color w:val="000000"/>
          <w:sz w:val="24"/>
          <w:szCs w:val="24"/>
        </w:rPr>
        <w:t xml:space="preserve">Resultados: </w:t>
      </w:r>
      <w:r w:rsidR="00F34751" w:rsidRPr="00F34751">
        <w:rPr>
          <w:color w:val="000000"/>
          <w:sz w:val="24"/>
          <w:szCs w:val="24"/>
        </w:rPr>
        <w:t>A revisão ressaltou a diversidade de fatores desencadeantes de crises de AVC, incluindo hipertensão arterial, fibrilação atrial e aterosclerose. Quanto aos medicamentos, a administração rápida de agentes trombolíticos, como o alteplase, demonstrou ser crucial para reverter os efeitos do AVC isquêmico. Além disso, destacou-se o papel promissor de agentes neuroprotetores em pesquisas recentes, apontando para futuras possibilidades terapêuticas.</w:t>
      </w:r>
      <w:r w:rsidR="00B06191" w:rsidRPr="00F34751">
        <w:rPr>
          <w:color w:val="000000"/>
          <w:sz w:val="24"/>
          <w:szCs w:val="24"/>
        </w:rPr>
        <w:t xml:space="preserve"> </w:t>
      </w:r>
      <w:r w:rsidR="00B06191" w:rsidRPr="00F34751">
        <w:rPr>
          <w:b/>
          <w:bCs/>
          <w:color w:val="000000"/>
          <w:sz w:val="24"/>
          <w:szCs w:val="24"/>
        </w:rPr>
        <w:t xml:space="preserve">Conclusão: </w:t>
      </w:r>
      <w:r w:rsidR="00B06191" w:rsidRPr="00F34751">
        <w:rPr>
          <w:color w:val="000000"/>
          <w:sz w:val="24"/>
          <w:szCs w:val="24"/>
        </w:rPr>
        <w:t xml:space="preserve"> </w:t>
      </w:r>
      <w:r w:rsidR="00F34751" w:rsidRPr="00F34751">
        <w:rPr>
          <w:color w:val="000000"/>
          <w:sz w:val="24"/>
          <w:szCs w:val="24"/>
        </w:rPr>
        <w:t>Em conclusão, a compreensão dos fatores precipitantes e a rápida intervenção farmacológica emergem como pilares fundamentais no manejo de crises de AVC. A aplicação imediata de agentes trombolíticos, aliada a uma abordagem personalizada considerando a etiologia específica, destaca-se como crucial</w:t>
      </w:r>
      <w:r w:rsidR="00F34751">
        <w:rPr>
          <w:color w:val="000000"/>
          <w:sz w:val="24"/>
          <w:szCs w:val="24"/>
        </w:rPr>
        <w:t>, além da abolição dos possíveis fatores de risco desencadeantes.</w:t>
      </w:r>
      <w:r w:rsidR="00F34751" w:rsidRPr="00F34751">
        <w:rPr>
          <w:color w:val="000000"/>
          <w:sz w:val="24"/>
          <w:szCs w:val="24"/>
        </w:rPr>
        <w:t xml:space="preserve"> </w:t>
      </w:r>
    </w:p>
    <w:p w14:paraId="170D44E2" w14:textId="77777777" w:rsidR="00F34751" w:rsidRPr="00F34751" w:rsidRDefault="00F34751" w:rsidP="00F34751">
      <w:pPr>
        <w:jc w:val="both"/>
        <w:rPr>
          <w:color w:val="000000"/>
          <w:sz w:val="24"/>
          <w:szCs w:val="24"/>
        </w:rPr>
      </w:pPr>
    </w:p>
    <w:p w14:paraId="2819C9A2" w14:textId="5677A4CB" w:rsidR="000D1436" w:rsidRDefault="000D1436" w:rsidP="000D1436">
      <w:pPr>
        <w:pStyle w:val="Corpodetexto"/>
        <w:spacing w:before="51"/>
        <w:ind w:left="0"/>
        <w:jc w:val="both"/>
      </w:pPr>
      <w:r>
        <w:t xml:space="preserve">Palavras-chave: </w:t>
      </w:r>
      <w:r w:rsidR="00F34751">
        <w:t>AVC</w:t>
      </w:r>
      <w:r>
        <w:t>.</w:t>
      </w:r>
      <w:r w:rsidR="00F34751">
        <w:t xml:space="preserve"> Emergência.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ind w:left="0"/>
        <w:jc w:val="both"/>
      </w:pPr>
    </w:p>
    <w:p w14:paraId="611C5583" w14:textId="51928F88" w:rsidR="00767098" w:rsidRPr="00716AFF" w:rsidRDefault="000D1436" w:rsidP="00716AFF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 xml:space="preserve">Emergências </w:t>
      </w:r>
      <w:r w:rsidR="00716AFF">
        <w:t>Neurológicas.</w:t>
      </w:r>
    </w:p>
    <w:sectPr w:rsidR="00767098" w:rsidRPr="00716AFF" w:rsidSect="00EF7D9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D1436"/>
    <w:rsid w:val="000F1A8F"/>
    <w:rsid w:val="000F32B9"/>
    <w:rsid w:val="00144AC5"/>
    <w:rsid w:val="0021236E"/>
    <w:rsid w:val="00277E06"/>
    <w:rsid w:val="002A3EB1"/>
    <w:rsid w:val="002B2BF0"/>
    <w:rsid w:val="002D77F8"/>
    <w:rsid w:val="00301356"/>
    <w:rsid w:val="00303C8B"/>
    <w:rsid w:val="003179C6"/>
    <w:rsid w:val="003D2B4E"/>
    <w:rsid w:val="00490D62"/>
    <w:rsid w:val="004A2548"/>
    <w:rsid w:val="004A5761"/>
    <w:rsid w:val="004E0887"/>
    <w:rsid w:val="00557A87"/>
    <w:rsid w:val="0058778F"/>
    <w:rsid w:val="005C7C35"/>
    <w:rsid w:val="006D01D8"/>
    <w:rsid w:val="007102B0"/>
    <w:rsid w:val="00716AFF"/>
    <w:rsid w:val="00767098"/>
    <w:rsid w:val="007C26F0"/>
    <w:rsid w:val="00833FB4"/>
    <w:rsid w:val="00872CDF"/>
    <w:rsid w:val="008E4245"/>
    <w:rsid w:val="00A22277"/>
    <w:rsid w:val="00A62898"/>
    <w:rsid w:val="00A73B9E"/>
    <w:rsid w:val="00AD189D"/>
    <w:rsid w:val="00B06191"/>
    <w:rsid w:val="00B47871"/>
    <w:rsid w:val="00B85189"/>
    <w:rsid w:val="00BA1ECA"/>
    <w:rsid w:val="00BE36FD"/>
    <w:rsid w:val="00CC7F18"/>
    <w:rsid w:val="00E143C9"/>
    <w:rsid w:val="00E508DA"/>
    <w:rsid w:val="00E766CE"/>
    <w:rsid w:val="00E83E47"/>
    <w:rsid w:val="00EF7D9D"/>
    <w:rsid w:val="00F34751"/>
    <w:rsid w:val="00F8573A"/>
    <w:rsid w:val="00FB1EF9"/>
    <w:rsid w:val="00FC0284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18</cp:revision>
  <dcterms:created xsi:type="dcterms:W3CDTF">2023-12-16T16:11:00Z</dcterms:created>
  <dcterms:modified xsi:type="dcterms:W3CDTF">2023-12-19T20:08:00Z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