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9BC7B" w14:textId="77777777" w:rsidR="001A4827" w:rsidRDefault="000E1288">
      <w:pPr>
        <w:spacing w:line="360" w:lineRule="auto"/>
        <w:jc w:val="center"/>
        <w:rPr>
          <w:sz w:val="28"/>
          <w:szCs w:val="28"/>
        </w:rPr>
      </w:pPr>
      <w:r>
        <w:rPr>
          <w:b/>
          <w:noProof/>
          <w:sz w:val="28"/>
          <w:szCs w:val="28"/>
          <w:lang w:val="pt-BR"/>
        </w:rPr>
        <w:drawing>
          <wp:inline distT="0" distB="0" distL="114300" distR="114300" wp14:anchorId="7CD9BCAD" wp14:editId="7CD9BCAE">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55005" cy="2184400"/>
                    </a:xfrm>
                    <a:prstGeom prst="rect">
                      <a:avLst/>
                    </a:prstGeom>
                    <a:ln/>
                  </pic:spPr>
                </pic:pic>
              </a:graphicData>
            </a:graphic>
          </wp:inline>
        </w:drawing>
      </w:r>
    </w:p>
    <w:p w14:paraId="37DA24EC" w14:textId="31B68C34" w:rsidR="003B7373" w:rsidRDefault="00F948C3" w:rsidP="005F3EC9">
      <w:pPr>
        <w:jc w:val="center"/>
        <w:rPr>
          <w:b/>
        </w:rPr>
      </w:pPr>
      <w:bookmarkStart w:id="0" w:name="_Toc22850409"/>
      <w:r w:rsidRPr="00F948C3">
        <w:rPr>
          <w:b/>
        </w:rPr>
        <w:t xml:space="preserve">O USO DE ESPAÇOS NÃO FORMAIS NA FORMAÇÃO DE NOVOS PROFESSORES: </w:t>
      </w:r>
      <w:r w:rsidR="006A5A32" w:rsidRPr="00F948C3">
        <w:rPr>
          <w:b/>
        </w:rPr>
        <w:t xml:space="preserve">Experiências </w:t>
      </w:r>
      <w:r w:rsidR="006A5A32">
        <w:rPr>
          <w:b/>
        </w:rPr>
        <w:t>e</w:t>
      </w:r>
      <w:r w:rsidR="006A5A32" w:rsidRPr="00F948C3">
        <w:rPr>
          <w:b/>
        </w:rPr>
        <w:t xml:space="preserve"> </w:t>
      </w:r>
      <w:r w:rsidR="006A5A32">
        <w:rPr>
          <w:b/>
        </w:rPr>
        <w:t>v</w:t>
      </w:r>
      <w:r w:rsidR="006A5A32" w:rsidRPr="00F948C3">
        <w:rPr>
          <w:b/>
        </w:rPr>
        <w:t>ivências</w:t>
      </w:r>
      <w:bookmarkEnd w:id="0"/>
    </w:p>
    <w:p w14:paraId="3D8409A5" w14:textId="77777777" w:rsidR="005F3EC9" w:rsidRDefault="005F3EC9" w:rsidP="002B2DF5">
      <w:pPr>
        <w:jc w:val="right"/>
        <w:rPr>
          <w:sz w:val="20"/>
          <w:szCs w:val="20"/>
        </w:rPr>
      </w:pPr>
    </w:p>
    <w:p w14:paraId="546D76B4" w14:textId="64819546" w:rsidR="002B2DF5" w:rsidRDefault="002B2DF5" w:rsidP="002B2DF5">
      <w:pPr>
        <w:jc w:val="right"/>
        <w:rPr>
          <w:sz w:val="20"/>
          <w:szCs w:val="20"/>
        </w:rPr>
      </w:pPr>
      <w:r>
        <w:rPr>
          <w:sz w:val="20"/>
          <w:szCs w:val="20"/>
        </w:rPr>
        <w:t>Felipe da Costa Negrão</w:t>
      </w:r>
      <w:r>
        <w:rPr>
          <w:sz w:val="20"/>
          <w:szCs w:val="20"/>
          <w:vertAlign w:val="superscript"/>
        </w:rPr>
        <w:footnoteReference w:id="1"/>
      </w:r>
    </w:p>
    <w:p w14:paraId="5A488142" w14:textId="32D5950E" w:rsidR="00296124" w:rsidRDefault="00296124" w:rsidP="002B2DF5">
      <w:pPr>
        <w:jc w:val="right"/>
        <w:rPr>
          <w:sz w:val="20"/>
          <w:szCs w:val="20"/>
        </w:rPr>
      </w:pPr>
      <w:r>
        <w:rPr>
          <w:sz w:val="20"/>
          <w:szCs w:val="20"/>
        </w:rPr>
        <w:t>Érika da Silva Ramos</w:t>
      </w:r>
      <w:r>
        <w:rPr>
          <w:rStyle w:val="Refdenotaderodap"/>
          <w:sz w:val="20"/>
          <w:szCs w:val="20"/>
        </w:rPr>
        <w:footnoteReference w:id="2"/>
      </w:r>
    </w:p>
    <w:p w14:paraId="7CD9BC82" w14:textId="77777777" w:rsidR="001A4827" w:rsidRDefault="001A4827">
      <w:pPr>
        <w:spacing w:line="360" w:lineRule="auto"/>
      </w:pPr>
    </w:p>
    <w:p w14:paraId="7CD9BC83" w14:textId="3ABD089B" w:rsidR="001A4827" w:rsidRPr="00F33996" w:rsidRDefault="000E1288" w:rsidP="00F33996">
      <w:pPr>
        <w:jc w:val="both"/>
        <w:rPr>
          <w:color w:val="FF0000"/>
          <w:sz w:val="20"/>
          <w:szCs w:val="20"/>
        </w:rPr>
      </w:pPr>
      <w:r>
        <w:rPr>
          <w:b/>
          <w:sz w:val="20"/>
          <w:szCs w:val="20"/>
        </w:rPr>
        <w:t>Resumo:</w:t>
      </w:r>
      <w:r w:rsidRPr="00F33996">
        <w:rPr>
          <w:sz w:val="20"/>
          <w:szCs w:val="20"/>
        </w:rPr>
        <w:t xml:space="preserve"> </w:t>
      </w:r>
      <w:r w:rsidR="00F33996" w:rsidRPr="00F33996">
        <w:rPr>
          <w:sz w:val="20"/>
          <w:szCs w:val="20"/>
        </w:rPr>
        <w:t xml:space="preserve">A educação </w:t>
      </w:r>
      <w:r w:rsidR="00F33996">
        <w:rPr>
          <w:sz w:val="20"/>
          <w:szCs w:val="20"/>
        </w:rPr>
        <w:t xml:space="preserve">a cada dia é confirmada como ferramenta para desenvolvimento holístico do ser humano, por isso, sempre foi estudada em suas delicadezas e metodologias. Sabe-se que com as mudanças do mundo contemporâneo, cada vez mais faz-se necessário o uso de recursos e/ou espaços diferenciados para angariar mais interesse dos discentes e por fim a aprendizagem coerente. Neste sentido, uma das </w:t>
      </w:r>
      <w:r w:rsidR="00E42F64">
        <w:rPr>
          <w:sz w:val="20"/>
          <w:szCs w:val="20"/>
        </w:rPr>
        <w:t>práticas exitosas de se trabalhar com estudantes (indepentende de nível educacional) é o uso de espaços não-formais</w:t>
      </w:r>
      <w:r w:rsidR="00FA6F4E">
        <w:rPr>
          <w:sz w:val="20"/>
          <w:szCs w:val="20"/>
        </w:rPr>
        <w:t>. P</w:t>
      </w:r>
      <w:r w:rsidR="00F17CA4">
        <w:rPr>
          <w:sz w:val="20"/>
          <w:szCs w:val="20"/>
        </w:rPr>
        <w:t>or isso</w:t>
      </w:r>
      <w:r w:rsidR="004F4396">
        <w:rPr>
          <w:sz w:val="20"/>
          <w:szCs w:val="20"/>
        </w:rPr>
        <w:t>,</w:t>
      </w:r>
      <w:r w:rsidR="00F17CA4">
        <w:rPr>
          <w:sz w:val="20"/>
          <w:szCs w:val="20"/>
        </w:rPr>
        <w:t xml:space="preserve"> neste trabalho retomamos esta questão com acadêmicos de Pegagogia, na cidade de Manaus, com o objetivo de discutir os possíveis </w:t>
      </w:r>
      <w:r w:rsidR="00F17CA4" w:rsidRPr="00F17CA4">
        <w:rPr>
          <w:sz w:val="20"/>
          <w:szCs w:val="20"/>
        </w:rPr>
        <w:t xml:space="preserve">saberes teóricos e práticos acerca do ensino em espaços não formais por meio da leitura e análise de produções científicas que contemplem essa linha de discussão, </w:t>
      </w:r>
      <w:r w:rsidR="00F17CA4">
        <w:rPr>
          <w:sz w:val="20"/>
          <w:szCs w:val="20"/>
        </w:rPr>
        <w:t>bem como compreens</w:t>
      </w:r>
      <w:r w:rsidR="00473E3A">
        <w:rPr>
          <w:sz w:val="20"/>
          <w:szCs w:val="20"/>
        </w:rPr>
        <w:t>ã</w:t>
      </w:r>
      <w:r w:rsidR="00F17CA4">
        <w:rPr>
          <w:sz w:val="20"/>
          <w:szCs w:val="20"/>
        </w:rPr>
        <w:t>o sobre as</w:t>
      </w:r>
      <w:r w:rsidR="00F17CA4" w:rsidRPr="00F17CA4">
        <w:rPr>
          <w:sz w:val="20"/>
          <w:szCs w:val="20"/>
        </w:rPr>
        <w:t xml:space="preserve"> situações </w:t>
      </w:r>
      <w:r w:rsidR="00F17CA4">
        <w:rPr>
          <w:sz w:val="20"/>
          <w:szCs w:val="20"/>
        </w:rPr>
        <w:t xml:space="preserve">emergentes </w:t>
      </w:r>
      <w:r w:rsidR="00F17CA4" w:rsidRPr="00F17CA4">
        <w:rPr>
          <w:sz w:val="20"/>
          <w:szCs w:val="20"/>
        </w:rPr>
        <w:t>de contato com ambientes externos à universidade.</w:t>
      </w:r>
      <w:r w:rsidR="00684D91">
        <w:rPr>
          <w:sz w:val="20"/>
          <w:szCs w:val="20"/>
        </w:rPr>
        <w:t xml:space="preserve"> Por isso o viés do estudo foi </w:t>
      </w:r>
      <w:r w:rsidR="00F33996" w:rsidRPr="00F33996">
        <w:rPr>
          <w:sz w:val="20"/>
          <w:szCs w:val="20"/>
        </w:rPr>
        <w:t xml:space="preserve">fenomenológico em </w:t>
      </w:r>
      <w:r w:rsidR="00684D91">
        <w:rPr>
          <w:sz w:val="20"/>
          <w:szCs w:val="20"/>
        </w:rPr>
        <w:t>torno d</w:t>
      </w:r>
      <w:r w:rsidR="00F33996" w:rsidRPr="00F33996">
        <w:rPr>
          <w:sz w:val="20"/>
          <w:szCs w:val="20"/>
        </w:rPr>
        <w:t>e como os discentes</w:t>
      </w:r>
      <w:r w:rsidR="00025597">
        <w:rPr>
          <w:sz w:val="20"/>
          <w:szCs w:val="20"/>
        </w:rPr>
        <w:t xml:space="preserve"> percebem esta alternativa </w:t>
      </w:r>
      <w:r w:rsidR="00C71D69">
        <w:rPr>
          <w:sz w:val="20"/>
          <w:szCs w:val="20"/>
        </w:rPr>
        <w:t xml:space="preserve">de ambiente </w:t>
      </w:r>
      <w:r w:rsidR="00025597">
        <w:rPr>
          <w:sz w:val="20"/>
          <w:szCs w:val="20"/>
        </w:rPr>
        <w:t>laboral</w:t>
      </w:r>
      <w:r w:rsidR="00F33996" w:rsidRPr="00F33996">
        <w:rPr>
          <w:sz w:val="20"/>
          <w:szCs w:val="20"/>
        </w:rPr>
        <w:t>. Destarte, por estarmos trabalhando com impressões, opiniões de instâncias subjetivas, optamos por uma abordagem qualitativa, ainda que tivéssemos apresentado os dados por meio de percentual.</w:t>
      </w:r>
      <w:r w:rsidR="00493C4C">
        <w:rPr>
          <w:sz w:val="20"/>
          <w:szCs w:val="20"/>
        </w:rPr>
        <w:t xml:space="preserve"> </w:t>
      </w:r>
      <w:r w:rsidR="00F33996" w:rsidRPr="00F33996">
        <w:rPr>
          <w:sz w:val="20"/>
          <w:szCs w:val="20"/>
        </w:rPr>
        <w:t xml:space="preserve">A </w:t>
      </w:r>
      <w:r w:rsidR="00493C4C">
        <w:rPr>
          <w:sz w:val="20"/>
          <w:szCs w:val="20"/>
        </w:rPr>
        <w:t>pesquisa teve cunho descritivo e p</w:t>
      </w:r>
      <w:r w:rsidR="00F33996" w:rsidRPr="00F33996">
        <w:rPr>
          <w:sz w:val="20"/>
          <w:szCs w:val="20"/>
        </w:rPr>
        <w:t xml:space="preserve">articiparam 24 estudantes, </w:t>
      </w:r>
      <w:r w:rsidR="00493C4C">
        <w:rPr>
          <w:sz w:val="20"/>
          <w:szCs w:val="20"/>
        </w:rPr>
        <w:t xml:space="preserve">devidamente matriculados </w:t>
      </w:r>
      <w:r w:rsidR="00F33996" w:rsidRPr="00F33996">
        <w:rPr>
          <w:sz w:val="20"/>
          <w:szCs w:val="20"/>
        </w:rPr>
        <w:t>no componente curricular “Educação em Espaços Não Formais”</w:t>
      </w:r>
      <w:r w:rsidR="00493C4C">
        <w:rPr>
          <w:sz w:val="20"/>
          <w:szCs w:val="20"/>
        </w:rPr>
        <w:t xml:space="preserve">. </w:t>
      </w:r>
      <w:r w:rsidR="00F33996" w:rsidRPr="00F33996">
        <w:rPr>
          <w:sz w:val="20"/>
          <w:szCs w:val="20"/>
        </w:rPr>
        <w:t>Os instrumentos para coleta de dados foram questionários e rodas de discussões.</w:t>
      </w:r>
      <w:r w:rsidR="00493C4C">
        <w:rPr>
          <w:sz w:val="20"/>
          <w:szCs w:val="20"/>
        </w:rPr>
        <w:t xml:space="preserve"> </w:t>
      </w:r>
      <w:r w:rsidR="00F33996" w:rsidRPr="00F33996">
        <w:rPr>
          <w:sz w:val="20"/>
          <w:szCs w:val="20"/>
        </w:rPr>
        <w:t xml:space="preserve">Os dados obtidos foram organizados em categorias e apresentados </w:t>
      </w:r>
      <w:r w:rsidR="00B8770F">
        <w:rPr>
          <w:sz w:val="20"/>
          <w:szCs w:val="20"/>
        </w:rPr>
        <w:t>aos</w:t>
      </w:r>
      <w:r w:rsidR="00F33996" w:rsidRPr="00F33996">
        <w:rPr>
          <w:sz w:val="20"/>
          <w:szCs w:val="20"/>
        </w:rPr>
        <w:t xml:space="preserve"> próprios acadêmicos posteriormente, e assim, foram debatidos o porquê de tais reincidências de respostas, logo, os resultados estão expostos em tabela, seguido de análise descritiva e reflexiva.</w:t>
      </w:r>
    </w:p>
    <w:p w14:paraId="4DFD34BA" w14:textId="77777777" w:rsidR="002B2DF5" w:rsidRDefault="002B2DF5" w:rsidP="002B2DF5">
      <w:pPr>
        <w:jc w:val="both"/>
        <w:rPr>
          <w:b/>
          <w:sz w:val="20"/>
          <w:szCs w:val="20"/>
        </w:rPr>
      </w:pPr>
    </w:p>
    <w:p w14:paraId="7CD9BC85" w14:textId="70F9196F" w:rsidR="001A4827" w:rsidRDefault="000E1288">
      <w:pPr>
        <w:spacing w:line="360" w:lineRule="auto"/>
        <w:jc w:val="both"/>
        <w:rPr>
          <w:color w:val="FF0000"/>
          <w:sz w:val="20"/>
          <w:szCs w:val="20"/>
        </w:rPr>
      </w:pPr>
      <w:r>
        <w:rPr>
          <w:b/>
          <w:sz w:val="20"/>
          <w:szCs w:val="20"/>
        </w:rPr>
        <w:t>Palavras-chave:</w:t>
      </w:r>
      <w:r>
        <w:rPr>
          <w:sz w:val="20"/>
          <w:szCs w:val="20"/>
        </w:rPr>
        <w:t xml:space="preserve"> </w:t>
      </w:r>
      <w:r w:rsidR="00F32CFE">
        <w:rPr>
          <w:sz w:val="20"/>
          <w:szCs w:val="20"/>
        </w:rPr>
        <w:t>Espaços Não Formais; Formação de Professores; Aprendizagem Significativa.</w:t>
      </w:r>
    </w:p>
    <w:p w14:paraId="2F467097" w14:textId="77777777" w:rsidR="002B2DF5" w:rsidRDefault="002B2DF5">
      <w:pPr>
        <w:spacing w:line="360" w:lineRule="auto"/>
        <w:rPr>
          <w:b/>
        </w:rPr>
      </w:pPr>
    </w:p>
    <w:p w14:paraId="7CD9BC87" w14:textId="39528F0B" w:rsidR="001A4827" w:rsidRDefault="000E1288">
      <w:pPr>
        <w:spacing w:line="360" w:lineRule="auto"/>
        <w:rPr>
          <w:color w:val="FF0000"/>
        </w:rPr>
      </w:pPr>
      <w:r>
        <w:rPr>
          <w:b/>
        </w:rPr>
        <w:t>Introdução</w:t>
      </w:r>
    </w:p>
    <w:p w14:paraId="3FE839C0" w14:textId="77777777" w:rsidR="00F70C78" w:rsidRDefault="00F70C78" w:rsidP="00F70C78">
      <w:pPr>
        <w:spacing w:line="360" w:lineRule="auto"/>
        <w:ind w:firstLine="708"/>
        <w:jc w:val="both"/>
      </w:pPr>
    </w:p>
    <w:p w14:paraId="00A5ABD5" w14:textId="3FBB4DB7" w:rsidR="005F3EC9" w:rsidRDefault="00D7168C" w:rsidP="005F3EC9">
      <w:pPr>
        <w:pStyle w:val="NormalWeb"/>
        <w:suppressLineNumbers/>
        <w:spacing w:before="0" w:beforeAutospacing="0" w:after="0" w:afterAutospacing="0" w:line="360" w:lineRule="auto"/>
        <w:ind w:firstLine="708"/>
        <w:jc w:val="both"/>
      </w:pPr>
      <w:r>
        <w:t>A organização curricular dos cursos de formação de professores permite que o graduando adquira conhecimentos, competências e habilidades sobre o universo educacional, vislumbrando possibilidades de atuação em ambientes escolares e não escolares</w:t>
      </w:r>
      <w:r w:rsidR="00E37B96">
        <w:t xml:space="preserve">. </w:t>
      </w:r>
      <w:r>
        <w:t xml:space="preserve">Nesse sentido, o curso de Pedagogia abriga conteúdos </w:t>
      </w:r>
      <w:r w:rsidR="00E37B96">
        <w:t>relacionados a</w:t>
      </w:r>
      <w:bookmarkStart w:id="1" w:name="_GoBack"/>
      <w:bookmarkEnd w:id="1"/>
      <w:r w:rsidR="00E37B96">
        <w:t xml:space="preserve">os </w:t>
      </w:r>
      <w:r>
        <w:t xml:space="preserve">métodos e técnicas de ensino, </w:t>
      </w:r>
      <w:r>
        <w:lastRenderedPageBreak/>
        <w:t>fundamentos da educação, planejamento e gestão, educação especial e diversidade, dentre outros.</w:t>
      </w:r>
    </w:p>
    <w:p w14:paraId="4ECF7715" w14:textId="26B49458" w:rsidR="00D7168C" w:rsidRDefault="00E37B96" w:rsidP="005F3EC9">
      <w:pPr>
        <w:pStyle w:val="NormalWeb"/>
        <w:suppressLineNumbers/>
        <w:spacing w:before="0" w:beforeAutospacing="0" w:after="0" w:afterAutospacing="0" w:line="360" w:lineRule="auto"/>
        <w:ind w:firstLine="708"/>
        <w:jc w:val="both"/>
      </w:pPr>
      <w:r>
        <w:t>No entanto, a</w:t>
      </w:r>
      <w:r w:rsidR="00D7168C">
        <w:t xml:space="preserve"> formação do pedagogo </w:t>
      </w:r>
      <w:r>
        <w:t>prevê i</w:t>
      </w:r>
      <w:r w:rsidR="00D7168C">
        <w:t>ntervenções que possibilitem que o acadêmico compreenda os aspectos teóricos da sua área, mas que também consiga desenvolver trabalhos e ações efetivas no âmbito social e extraclasse. Nesse ponto, destacamos a inserção da disciplina “Educação em Espaços Não Formais” no curso de Pedagogia de uma universidade privada de Manaus</w:t>
      </w:r>
      <w:r w:rsidR="00445CF9">
        <w:t xml:space="preserve"> (AM)</w:t>
      </w:r>
      <w:r w:rsidR="00D7168C">
        <w:t>.</w:t>
      </w:r>
    </w:p>
    <w:p w14:paraId="0E9F13F3" w14:textId="6DF59E8E" w:rsidR="00D7168C" w:rsidRDefault="00D7168C" w:rsidP="005F3EC9">
      <w:pPr>
        <w:pStyle w:val="NormalWeb"/>
        <w:suppressLineNumbers/>
        <w:spacing w:before="0" w:beforeAutospacing="0" w:after="0" w:afterAutospacing="0" w:line="360" w:lineRule="auto"/>
        <w:ind w:firstLine="708"/>
        <w:jc w:val="both"/>
      </w:pPr>
      <w:r>
        <w:t xml:space="preserve">A disciplina </w:t>
      </w:r>
      <w:r w:rsidR="00E37B96">
        <w:t>contempla conteúdos vinculados ao ensino em ambientes para além da sala de aula, tais como museus, centros de ciência, bosques, parques e praças. O objetivo é que o aluno constitua saberes teóricos e prátic</w:t>
      </w:r>
      <w:r w:rsidR="00445CF9">
        <w:t>o</w:t>
      </w:r>
      <w:r w:rsidR="00E37B96">
        <w:t>s acerca do ensino em espaços não formais por meio da leitura e análise de produções científicas que contemplem essa linha de discussão, além de vivenciarem situações práticas de contato com ambientes externos à universidade.</w:t>
      </w:r>
    </w:p>
    <w:p w14:paraId="4BD7A754" w14:textId="6D5D2E83" w:rsidR="00E37B96" w:rsidRDefault="00E37B96" w:rsidP="00E37B96">
      <w:pPr>
        <w:pStyle w:val="NormalWeb"/>
        <w:suppressLineNumbers/>
        <w:spacing w:before="0" w:beforeAutospacing="0" w:after="0" w:afterAutospacing="0" w:line="360" w:lineRule="auto"/>
        <w:ind w:firstLine="708"/>
        <w:jc w:val="both"/>
      </w:pPr>
      <w:r>
        <w:t>Sendo assim, o artigo encontra-se dividido em seções que abordam a diferença dos conceitos de educação formal, informal e não formal</w:t>
      </w:r>
      <w:r w:rsidR="00FB28D9">
        <w:t>, para posteriormente,</w:t>
      </w:r>
      <w:r>
        <w:t xml:space="preserve"> introduzi</w:t>
      </w:r>
      <w:r w:rsidR="00FB28D9">
        <w:t xml:space="preserve">r </w:t>
      </w:r>
      <w:r>
        <w:t>nossas perspectivas acerca do uso dos espaços não formais no ensino superior, seguidos dos resultados oriundos dos questionários respondidos pelos colaboradores dessa pesquisa.</w:t>
      </w:r>
    </w:p>
    <w:p w14:paraId="7F8F7038" w14:textId="77777777" w:rsidR="009174D9" w:rsidRDefault="009174D9" w:rsidP="005E6DB6">
      <w:pPr>
        <w:spacing w:line="360" w:lineRule="auto"/>
      </w:pPr>
    </w:p>
    <w:p w14:paraId="38C2CD36" w14:textId="77777777" w:rsidR="009174D9" w:rsidRPr="006E56E5" w:rsidRDefault="009174D9" w:rsidP="009174D9">
      <w:pPr>
        <w:spacing w:line="360" w:lineRule="auto"/>
        <w:rPr>
          <w:b/>
        </w:rPr>
      </w:pPr>
      <w:r w:rsidRPr="006E56E5">
        <w:rPr>
          <w:b/>
        </w:rPr>
        <w:t>Educação Formal, não-formal e informal</w:t>
      </w:r>
    </w:p>
    <w:p w14:paraId="24475122" w14:textId="77777777" w:rsidR="009174D9" w:rsidRPr="00D36391" w:rsidRDefault="009174D9" w:rsidP="009174D9">
      <w:pPr>
        <w:pStyle w:val="NormalWeb"/>
        <w:suppressLineNumbers/>
        <w:spacing w:before="0" w:beforeAutospacing="0" w:after="0" w:afterAutospacing="0" w:line="360" w:lineRule="auto"/>
        <w:ind w:firstLine="708"/>
        <w:jc w:val="both"/>
      </w:pPr>
      <w:r w:rsidRPr="00F724AF">
        <w:t xml:space="preserve">Antes </w:t>
      </w:r>
      <w:r>
        <w:t xml:space="preserve">de explanar sobre o uso de lugares externos das dependências da universidade para se obter experiências salutares na aprendizagem, e a fim de não ficar dúvidas sobre o que seria o “não-formal” apontado neste estudo, ressaltaremos primeiramente os conceitos de “educação formal, educação não-formal e educação informal” para em seguida distinguir o uso do “espaço não formal” para o </w:t>
      </w:r>
      <w:r w:rsidRPr="00D36391">
        <w:t>ensino.</w:t>
      </w:r>
    </w:p>
    <w:p w14:paraId="5F0047E3" w14:textId="4DB38894" w:rsidR="009174D9" w:rsidRPr="00D36391" w:rsidRDefault="009174D9" w:rsidP="009174D9">
      <w:pPr>
        <w:pStyle w:val="NormalWeb"/>
        <w:suppressLineNumbers/>
        <w:spacing w:before="0" w:beforeAutospacing="0" w:after="0" w:afterAutospacing="0" w:line="360" w:lineRule="auto"/>
        <w:ind w:firstLine="708"/>
        <w:jc w:val="both"/>
      </w:pPr>
      <w:r w:rsidRPr="00D36391">
        <w:t xml:space="preserve">  A “Educação Formal” propriamente dita e a mais conhecida, </w:t>
      </w:r>
      <w:r w:rsidR="009874C2">
        <w:t>é</w:t>
      </w:r>
      <w:r w:rsidRPr="00D36391">
        <w:t xml:space="preserve"> a primeira respaldada nos tramites legais. Podemos acompanhar registros sobre os auspícios dela desde a Constituição Federal, em 1988, </w:t>
      </w:r>
      <w:r w:rsidR="00860D2E">
        <w:t xml:space="preserve">em que </w:t>
      </w:r>
      <w:r w:rsidRPr="00D36391">
        <w:t xml:space="preserve">houve indicação da modalidade formal, como um direito de todos no Brasil, outorgando que a população desde então tenha acesso aos espaços educativos em que se propõe o ensino formal. </w:t>
      </w:r>
    </w:p>
    <w:p w14:paraId="28D2B4B2" w14:textId="2D683473" w:rsidR="009174D9" w:rsidRPr="00D36391" w:rsidRDefault="009174D9" w:rsidP="009174D9">
      <w:pPr>
        <w:spacing w:line="360" w:lineRule="auto"/>
        <w:ind w:firstLine="708"/>
        <w:jc w:val="both"/>
      </w:pPr>
      <w:r w:rsidRPr="00D36391">
        <w:t>A lei que classificou a distribuição e nivelamento da educação formal é a Lei de Diretrizes e Bases da Educação Nacional (LDB) que aponta a Educação Básica (composta por Educação Infantil, Ensino Fundamental e o Ensino Médio), além desta classificação expl</w:t>
      </w:r>
      <w:r w:rsidR="00860D2E">
        <w:t>í</w:t>
      </w:r>
      <w:r w:rsidRPr="00D36391">
        <w:t xml:space="preserve">cita a distinção de modalidades especiais (Educação de Jovens e Adultos, Educação Especial e a </w:t>
      </w:r>
      <w:r w:rsidRPr="00D36391">
        <w:lastRenderedPageBreak/>
        <w:t>Educação Profissionalizante). Ainda na LDB, há a indicação da Educação Superior, logo, cursos de graduações.</w:t>
      </w:r>
    </w:p>
    <w:p w14:paraId="366AD35A" w14:textId="15CD428F" w:rsidR="009174D9" w:rsidRDefault="009174D9" w:rsidP="009174D9">
      <w:pPr>
        <w:spacing w:line="360" w:lineRule="auto"/>
        <w:ind w:firstLine="708"/>
        <w:jc w:val="both"/>
      </w:pPr>
      <w:r w:rsidRPr="00D36391">
        <w:t>Conforme Gohn (2006)</w:t>
      </w:r>
      <w:r>
        <w:t xml:space="preserve"> este tipo de educação formal implica em um investimento de tempo, local adequando, presença de pessoal especializado, ordenação de currículo, sistematização sequencial das atividades, regulamentos, metodologias congruentes e tramitações sérias que angariem medidas responsáveis entre ensino</w:t>
      </w:r>
      <w:r w:rsidR="004D31F9">
        <w:t xml:space="preserve"> e </w:t>
      </w:r>
      <w:r>
        <w:t>aprendizagem.</w:t>
      </w:r>
    </w:p>
    <w:p w14:paraId="3B3AF07F" w14:textId="70DE0D24" w:rsidR="009174D9" w:rsidRDefault="009174D9" w:rsidP="009174D9">
      <w:pPr>
        <w:spacing w:line="360" w:lineRule="auto"/>
        <w:ind w:firstLine="708"/>
        <w:jc w:val="both"/>
      </w:pPr>
      <w:r>
        <w:t>Isto posto é simples identificar que é o tipo de educação ocorridas nas esc</w:t>
      </w:r>
      <w:r w:rsidR="004D31F9">
        <w:t>o</w:t>
      </w:r>
      <w:r>
        <w:t>las públicas ou particulares e nas universidades, com todas as suas normas de séries/níveis, unidades letivas, semestres, ordenação de faixa etária, formações pedagógicas, entre outras características, que associadas representam as instituições de ensino “tradicionais” com seus elementos construtores/ participantes (docentes, alunos, conhecimento científico).</w:t>
      </w:r>
      <w:r w:rsidRPr="00C229FF">
        <w:t xml:space="preserve"> </w:t>
      </w:r>
    </w:p>
    <w:p w14:paraId="5F2918F1" w14:textId="6BB88D48" w:rsidR="009174D9" w:rsidRDefault="009174D9" w:rsidP="009174D9">
      <w:pPr>
        <w:spacing w:line="360" w:lineRule="auto"/>
        <w:ind w:firstLine="708"/>
        <w:jc w:val="both"/>
      </w:pPr>
      <w:r>
        <w:t>A “Educação Não-formal” é compreendida como um combinado de processos educativos e ações diversificadas que ocorrem  em espaços próprios, (nem sempre são escolas) com o foco na formação ou instrução de alunos sem a obrigatoriedade de obtenção de certificados próprios do sistema educativo formal. Para Ghanem e Trilla (2008) a escola é uma instituição histórica, muito valiosa, mas que se constitui em uma de suas form</w:t>
      </w:r>
      <w:r w:rsidR="0058773C">
        <w:t>as de gerenciam</w:t>
      </w:r>
      <w:r w:rsidR="004D31F9">
        <w:t>e</w:t>
      </w:r>
      <w:r w:rsidR="0058773C">
        <w:t>nto de ensino,</w:t>
      </w:r>
      <w:r>
        <w:t xml:space="preserve"> e isso não faz dela o lugar exclusivo para que ocorram experiências eficazes de aprendizagem. </w:t>
      </w:r>
    </w:p>
    <w:p w14:paraId="46AEC977" w14:textId="77777777" w:rsidR="009174D9" w:rsidRDefault="009174D9" w:rsidP="009174D9">
      <w:pPr>
        <w:spacing w:line="360" w:lineRule="auto"/>
        <w:ind w:firstLine="708"/>
        <w:jc w:val="both"/>
      </w:pPr>
      <w:r>
        <w:t>Tal formato de educação é mais recentemente documentado que a educação formal, e de fato, e de um modo bem simplista é apontada como aquela que acontece “fora dos muros da escola ou universidade”. Realmente a educação não-formal se difere da educação formal no que tange a estrutura, do tipo de reconhecimento e habilidades que proporciona, mas acima de tudo o não-formal é um rico fenômeno de aprendizagem social, equilibrado no formando, através de praxis que têm espaço fora do sistema de ensino formal e sendo, em muitos casos, complementar deste, todavia, não menos importante.</w:t>
      </w:r>
    </w:p>
    <w:p w14:paraId="3A73B3FF" w14:textId="77777777" w:rsidR="009174D9" w:rsidRDefault="009174D9" w:rsidP="009174D9">
      <w:pPr>
        <w:spacing w:line="360" w:lineRule="auto"/>
        <w:ind w:firstLine="708"/>
        <w:jc w:val="both"/>
      </w:pPr>
      <w:r>
        <w:t>É comum que muitas instituições do ambino não-formal destaquem-se sobretudo por trabalho comunitário, oriundo de organizações não-governamentais, mas nem sempre estará no setor do serviço voluntário, pois existem excelentes instituições que ofertam educação em várias áreas do conhecimento mas que são privativas.</w:t>
      </w:r>
    </w:p>
    <w:p w14:paraId="03CD0858" w14:textId="77777777" w:rsidR="009174D9" w:rsidRDefault="009174D9" w:rsidP="009174D9">
      <w:pPr>
        <w:spacing w:line="360" w:lineRule="auto"/>
        <w:ind w:firstLine="708"/>
        <w:jc w:val="both"/>
      </w:pPr>
      <w:r>
        <w:t xml:space="preserve">Diferentemente do delineado da educação formal, a não-formal pode diferir em caráter de tempo e estruttura espacial, em número de participantes, em equipes de formação, em objetivos de aprendizagem, entretanto, é essencial frisar que o fato de não ter um currículo fechado e regido pela LDB, por exemplo, não significa que deixe a desejar no que se propõe, </w:t>
      </w:r>
      <w:r>
        <w:lastRenderedPageBreak/>
        <w:t>afinal, cada instituição de educação não-formal poussi objetivos educacionais, com formatos avaliativos.</w:t>
      </w:r>
    </w:p>
    <w:p w14:paraId="6BC5CF1D" w14:textId="3FFA8932" w:rsidR="009174D9" w:rsidRDefault="009174D9" w:rsidP="009174D9">
      <w:pPr>
        <w:spacing w:line="360" w:lineRule="auto"/>
        <w:ind w:firstLine="708"/>
        <w:jc w:val="both"/>
      </w:pPr>
      <w:r>
        <w:t>E a “Educação Informal” de um modo bem generalista podemos explicitar como a espontaneidade de como aprendemos, a partir do ambiente e experiências (vezes programadas, vezes não). O que vem através das pessoas com quem nos relacionamos, das músicas ou notícias ouvidas, dos livros científicos ou paradidáticos lidos, das cenas observadas ou vividas, enfim daquilo que é informal, mas cap</w:t>
      </w:r>
      <w:r w:rsidR="004D31F9">
        <w:t>a</w:t>
      </w:r>
      <w:r>
        <w:t xml:space="preserve">tado. </w:t>
      </w:r>
    </w:p>
    <w:p w14:paraId="1EA77FC0" w14:textId="77777777" w:rsidR="009174D9" w:rsidRDefault="009174D9" w:rsidP="009174D9">
      <w:pPr>
        <w:spacing w:line="360" w:lineRule="auto"/>
        <w:ind w:firstLine="708"/>
        <w:jc w:val="both"/>
      </w:pPr>
      <w:r>
        <w:t xml:space="preserve">A educação informal pode resultar de uma intencionalidade em relação ao seu potencial de aprendizagem ou não ter sido intencionada e simplesmente aconteceu. De algum modo este tipo de educação perpassa diretamente ao processo de sociabilização dos sujeitos, que desde que nasce já está exposto a gama de fenômenos repetitivos de educação informal. </w:t>
      </w:r>
    </w:p>
    <w:p w14:paraId="1ADCB81A" w14:textId="77777777" w:rsidR="009174D9" w:rsidRDefault="009174D9" w:rsidP="009174D9">
      <w:pPr>
        <w:spacing w:line="360" w:lineRule="auto"/>
        <w:ind w:firstLine="708"/>
        <w:jc w:val="both"/>
      </w:pPr>
      <w:r>
        <w:t xml:space="preserve">Esclarecidos os três tipos de educação “formal”, “não-formal” e “informal” agora sim, adentramos ao que fora proposto pelo tema desta partilha: </w:t>
      </w:r>
      <w:r w:rsidRPr="00DC40C9">
        <w:t>o uso de espaços não formais na formação de novos professores</w:t>
      </w:r>
      <w:r>
        <w:t>, que neste cenário em específico trata-se da educação formal, oriunda do seio de universidade.</w:t>
      </w:r>
    </w:p>
    <w:p w14:paraId="208F7EA3" w14:textId="77777777" w:rsidR="009174D9" w:rsidRDefault="009174D9" w:rsidP="009174D9">
      <w:pPr>
        <w:spacing w:line="360" w:lineRule="auto"/>
        <w:ind w:firstLine="708"/>
        <w:jc w:val="both"/>
      </w:pPr>
    </w:p>
    <w:p w14:paraId="07442552" w14:textId="77777777" w:rsidR="009174D9" w:rsidRPr="006E56E5" w:rsidRDefault="009174D9" w:rsidP="009174D9">
      <w:pPr>
        <w:spacing w:line="360" w:lineRule="auto"/>
        <w:jc w:val="both"/>
        <w:rPr>
          <w:b/>
        </w:rPr>
      </w:pPr>
      <w:r w:rsidRPr="006E56E5">
        <w:rPr>
          <w:b/>
        </w:rPr>
        <w:t>O tal espaço não-formal na educação formal de nível superior</w:t>
      </w:r>
    </w:p>
    <w:p w14:paraId="5C5867F8" w14:textId="77777777" w:rsidR="009174D9" w:rsidRPr="004D31F9" w:rsidRDefault="009174D9" w:rsidP="009174D9">
      <w:pPr>
        <w:spacing w:line="360" w:lineRule="auto"/>
        <w:ind w:firstLine="708"/>
        <w:jc w:val="both"/>
        <w:rPr>
          <w:rFonts w:cs="Minion Pro"/>
          <w:color w:val="000000"/>
        </w:rPr>
      </w:pPr>
      <w:r w:rsidRPr="004D31F9">
        <w:t xml:space="preserve">Ao averiguarmos os informes que a LDB traz sobre a Educação Superior, encontramos a preconização de que ela tem de ocorrer </w:t>
      </w:r>
      <w:r w:rsidRPr="004D31F9">
        <w:rPr>
          <w:rFonts w:cs="Minion Pro"/>
          <w:color w:val="000000"/>
        </w:rPr>
        <w:t xml:space="preserve">em instituições de ensino superior, públicas ou privadas, com variados graus de abrangência ou especialização, e, </w:t>
      </w:r>
      <w:r w:rsidRPr="004D31F9">
        <w:t xml:space="preserve">no </w:t>
      </w:r>
      <w:r w:rsidRPr="004D31F9">
        <w:rPr>
          <w:rFonts w:cs="Minion Pro"/>
          <w:bCs/>
          <w:color w:val="000000"/>
        </w:rPr>
        <w:t>capítulo IV, que no Art. 43</w:t>
      </w:r>
      <w:r w:rsidRPr="004D31F9">
        <w:rPr>
          <w:rFonts w:cs="Minion Pro"/>
          <w:b/>
          <w:bCs/>
          <w:color w:val="000000"/>
        </w:rPr>
        <w:t xml:space="preserve"> </w:t>
      </w:r>
      <w:r w:rsidRPr="004D31F9">
        <w:rPr>
          <w:rFonts w:cs="Minion Pro"/>
          <w:bCs/>
          <w:color w:val="000000"/>
        </w:rPr>
        <w:t xml:space="preserve">tem-se explanada sua </w:t>
      </w:r>
      <w:r w:rsidRPr="004D31F9">
        <w:rPr>
          <w:rFonts w:cs="Minion Pro"/>
          <w:color w:val="000000"/>
        </w:rPr>
        <w:t xml:space="preserve">finalidade com alguns atributos, dos quais citamos os incisos III e VIII:  </w:t>
      </w:r>
    </w:p>
    <w:p w14:paraId="38F6AC59" w14:textId="77777777" w:rsidR="009174D9" w:rsidRPr="00F17D15" w:rsidRDefault="009174D9" w:rsidP="009174D9">
      <w:pPr>
        <w:ind w:left="2268"/>
        <w:jc w:val="both"/>
        <w:rPr>
          <w:rFonts w:cs="Minion Pro"/>
          <w:color w:val="000000"/>
          <w:sz w:val="20"/>
          <w:szCs w:val="20"/>
        </w:rPr>
      </w:pPr>
      <w:r w:rsidRPr="00F17D15">
        <w:rPr>
          <w:rFonts w:cs="Minion Pro"/>
          <w:color w:val="000000"/>
          <w:sz w:val="20"/>
          <w:szCs w:val="20"/>
        </w:rPr>
        <w:t>III – incentivar o trabalho de pesquisa e investigação científica, visando o desenvolvimento da ciência e da tecnologia e da criação e difusão da cultura, e, desse modo, desenvolver o entendimento do homem e do meio em que vive;</w:t>
      </w:r>
    </w:p>
    <w:p w14:paraId="6A3E9D7C" w14:textId="77777777" w:rsidR="009174D9" w:rsidRDefault="009174D9" w:rsidP="009174D9">
      <w:pPr>
        <w:ind w:left="2268"/>
        <w:jc w:val="both"/>
        <w:rPr>
          <w:rFonts w:cs="Minion Pro"/>
          <w:color w:val="000000"/>
          <w:sz w:val="20"/>
          <w:szCs w:val="20"/>
        </w:rPr>
      </w:pPr>
      <w:r w:rsidRPr="00F17D15">
        <w:rPr>
          <w:rFonts w:cs="Minion Pro"/>
          <w:color w:val="000000"/>
          <w:sz w:val="20"/>
          <w:szCs w:val="20"/>
        </w:rPr>
        <w:t>VIII – atuar em favor da universalização e do aprimoramento da educação básica, mediante a formação e a capacitação de profissionais, a realização de pesquisas pedagógicas e o desenvolvimento de atividades de extensão que aproximem os dois níveis escolares</w:t>
      </w:r>
      <w:r>
        <w:rPr>
          <w:rFonts w:cs="Minion Pro"/>
          <w:color w:val="000000"/>
          <w:sz w:val="20"/>
          <w:szCs w:val="20"/>
        </w:rPr>
        <w:t xml:space="preserve"> (BRASIL, 2014)</w:t>
      </w:r>
      <w:r w:rsidRPr="00F17D15">
        <w:rPr>
          <w:rFonts w:cs="Minion Pro"/>
          <w:color w:val="000000"/>
          <w:sz w:val="20"/>
          <w:szCs w:val="20"/>
        </w:rPr>
        <w:t>.</w:t>
      </w:r>
    </w:p>
    <w:p w14:paraId="7F2C7F00" w14:textId="77777777" w:rsidR="009174D9" w:rsidRPr="00F17D15" w:rsidRDefault="009174D9" w:rsidP="009174D9">
      <w:pPr>
        <w:ind w:left="2268"/>
        <w:jc w:val="both"/>
        <w:rPr>
          <w:rFonts w:cs="Minion Pro"/>
          <w:color w:val="000000"/>
          <w:sz w:val="20"/>
          <w:szCs w:val="20"/>
        </w:rPr>
      </w:pPr>
    </w:p>
    <w:p w14:paraId="6A3DD515" w14:textId="73E06BD0" w:rsidR="009174D9" w:rsidRDefault="009174D9" w:rsidP="00BC7927">
      <w:pPr>
        <w:spacing w:line="360" w:lineRule="auto"/>
        <w:ind w:firstLine="709"/>
        <w:jc w:val="both"/>
      </w:pPr>
      <w:r w:rsidRPr="00B44BC5">
        <w:t>Desta</w:t>
      </w:r>
      <w:r>
        <w:t xml:space="preserve"> instância no intuito de incentivar o trabalho de pesquisa e estimular o desenvolvimento de acad</w:t>
      </w:r>
      <w:r w:rsidR="002C4DF0">
        <w:t>ê</w:t>
      </w:r>
      <w:r>
        <w:t>micos sobre o entendimento do meio em que vive e de como pode ser um profissional da educação mais argumentado, é que faz-se importante que os mesmos possam sair das unidades acad</w:t>
      </w:r>
      <w:r w:rsidR="002C4DF0">
        <w:t>ê</w:t>
      </w:r>
      <w:r>
        <w:t>micas e terem acessos aos espaços alternativos para aprendizagem.</w:t>
      </w:r>
    </w:p>
    <w:p w14:paraId="61246C01" w14:textId="77777777" w:rsidR="009174D9" w:rsidRDefault="009174D9" w:rsidP="009174D9">
      <w:pPr>
        <w:spacing w:line="360" w:lineRule="auto"/>
        <w:jc w:val="both"/>
      </w:pPr>
      <w:r>
        <w:lastRenderedPageBreak/>
        <w:tab/>
        <w:t>Quando tratamos de espaços aternativos, não quer dizer que sejam quaisquer lugares, e sim, o que pode ser usado com um propósito educativo, ou seja, um “espaço não-formal”. Cabe mencionar que no item anterior diferenciamos os tipos de educação “formal”, “não-formal” e “informal” exatamente para que neste tópico não haja confusão sobre o “espaço não-formal”. É necessário entender que os tipos de educação e formatos de espaços podem sempre fazer intercruzamentos, e isto não descategoriza um ou outro, devem, porém, ser organizados em seu procedimento metodólogico e objetivo.</w:t>
      </w:r>
    </w:p>
    <w:p w14:paraId="4D505959" w14:textId="2C548FEB" w:rsidR="009174D9" w:rsidRDefault="009174D9" w:rsidP="009174D9">
      <w:pPr>
        <w:spacing w:line="360" w:lineRule="auto"/>
        <w:jc w:val="both"/>
      </w:pPr>
      <w:r>
        <w:tab/>
        <w:t>Destarte, no trabalho em questão conduzimos uma educação formal, graduandos do curso de Pedagogia, a apreenderem o conteúdo proposto no ementário, porém não somente nas salas e ambientes internos da faculdade, mas</w:t>
      </w:r>
      <w:r w:rsidR="00CB0188">
        <w:t xml:space="preserve"> também nos espaços exteriores. </w:t>
      </w:r>
    </w:p>
    <w:p w14:paraId="1E809642" w14:textId="77777777" w:rsidR="009174D9" w:rsidRDefault="009174D9" w:rsidP="009174D9">
      <w:pPr>
        <w:spacing w:line="360" w:lineRule="auto"/>
        <w:jc w:val="both"/>
      </w:pPr>
      <w:r>
        <w:tab/>
        <w:t>Por  espaço não-formal entende-se, à luz de pesquisas coordenadas por Jacobucci (2008) tentando explicitar conceitos de espaços não-formais de educação, consideramos:</w:t>
      </w:r>
    </w:p>
    <w:p w14:paraId="46111D2B" w14:textId="77777777" w:rsidR="009174D9" w:rsidRDefault="009174D9" w:rsidP="009174D9">
      <w:pPr>
        <w:spacing w:line="360" w:lineRule="auto"/>
        <w:jc w:val="both"/>
      </w:pPr>
    </w:p>
    <w:p w14:paraId="1998E77F" w14:textId="30B20797" w:rsidR="009174D9" w:rsidRDefault="009174D9" w:rsidP="009174D9">
      <w:pPr>
        <w:ind w:left="2268"/>
        <w:jc w:val="both"/>
      </w:pPr>
      <w:r w:rsidRPr="00212450">
        <w:rPr>
          <w:sz w:val="20"/>
          <w:szCs w:val="20"/>
        </w:rPr>
        <w:t>Duas categorias podem ser sugeridas: locais que são Instituições e locais que não são Instituições. Na categoria Instituições, podem ser incluídos os espaços que são regulamentados e que possuem equipe técnica responsável pelas atividades executadas, sendo o caso dos Museus, Centros de Ciências, Parques Ecológicos, Parques Zoobotânicos, Jardins Botânicos, Planetários, Institutos de Pesquisa, Aquários, Zoológicos, dentre outros. Já os ambientes naturais ou urbanos que não dispõem de estruturação institucional, mas onde é possível adotar práticas educativas, englobam a categoria Não-Instituições. Nessa categoria podem ser incluídos teatro, parque, casa, rua, praça, terreno, cinema, praia, caverna, rio, lagoa, campo de futebol,</w:t>
      </w:r>
      <w:r>
        <w:rPr>
          <w:sz w:val="20"/>
          <w:szCs w:val="20"/>
        </w:rPr>
        <w:t xml:space="preserve"> dentre outros inúmeros espaços (p.56-</w:t>
      </w:r>
      <w:r w:rsidR="003476C9">
        <w:rPr>
          <w:sz w:val="20"/>
          <w:szCs w:val="20"/>
        </w:rPr>
        <w:t>5</w:t>
      </w:r>
      <w:r>
        <w:rPr>
          <w:sz w:val="20"/>
          <w:szCs w:val="20"/>
        </w:rPr>
        <w:t>7)</w:t>
      </w:r>
    </w:p>
    <w:p w14:paraId="6099297C" w14:textId="79118D02" w:rsidR="00195D44" w:rsidRPr="00A3305E" w:rsidRDefault="009174D9" w:rsidP="00435D10">
      <w:pPr>
        <w:spacing w:line="360" w:lineRule="auto"/>
        <w:jc w:val="both"/>
      </w:pPr>
      <w:r>
        <w:t xml:space="preserve"> </w:t>
      </w:r>
    </w:p>
    <w:p w14:paraId="6AF3C490" w14:textId="15DB1ED9" w:rsidR="00240F2E" w:rsidRPr="00A3305E" w:rsidRDefault="00195D44" w:rsidP="00240F2E">
      <w:pPr>
        <w:spacing w:line="360" w:lineRule="auto"/>
        <w:ind w:firstLine="708"/>
        <w:jc w:val="both"/>
      </w:pPr>
      <w:r w:rsidRPr="00A3305E">
        <w:t>Entendemos que o uso de espaços não formais pode ser encarado como uma oportunidade de interação de conhecimentos científicos/artisticos/culturais com</w:t>
      </w:r>
      <w:r w:rsidR="00240F2E" w:rsidRPr="00A3305E">
        <w:t xml:space="preserve"> objetos concretos ou abstratos, porém, palpáveis. As aulas em espaços não formais favorecem a observação e a problematização dos fenômenos de uma forma mais concreta (CUNHA, 2009)</w:t>
      </w:r>
    </w:p>
    <w:p w14:paraId="7485AA92" w14:textId="5F3A61BD" w:rsidR="00E3097F" w:rsidRPr="00A3305E" w:rsidRDefault="00240F2E" w:rsidP="00E3097F">
      <w:pPr>
        <w:spacing w:line="360" w:lineRule="auto"/>
        <w:ind w:firstLine="708"/>
        <w:jc w:val="both"/>
      </w:pPr>
      <w:r w:rsidRPr="00A3305E">
        <w:t>Por este motivo é que seu emprego na universidade, é bastante desejável, pois ali estarão os novos professores,</w:t>
      </w:r>
      <w:r w:rsidR="008636BB">
        <w:t xml:space="preserve"> </w:t>
      </w:r>
      <w:r w:rsidRPr="00A3305E">
        <w:t xml:space="preserve">que uma vez iniciados em visitas e aulas em espaços não-formais terão recursos vívidos sobre dificuldades e ganhos deste processo. </w:t>
      </w:r>
      <w:r w:rsidR="00E3097F" w:rsidRPr="00A3305E">
        <w:t xml:space="preserve">Marandino (2005) aduz que é fundamental que a universidade estabeleça uma relação de parceria com esses espaços não formais, no intuito de construir, desenvolver, realizar e avaliar essas iniciativas. </w:t>
      </w:r>
    </w:p>
    <w:p w14:paraId="6B2208D0" w14:textId="10B49617" w:rsidR="00DC7A22" w:rsidRDefault="001840EA" w:rsidP="00493B8F">
      <w:pPr>
        <w:spacing w:line="360" w:lineRule="auto"/>
        <w:ind w:firstLine="708"/>
        <w:jc w:val="both"/>
      </w:pPr>
      <w:r w:rsidRPr="00A3305E">
        <w:t>Concordamos com os autores citados, mas deixamos explicado que não temos a intenção de romantizar as atividades externas, acreditamos que e</w:t>
      </w:r>
      <w:r w:rsidR="009D2B87" w:rsidRPr="00A3305E">
        <w:t>mbora vários dos locais exemplificados sejam chamativos, consideramos que s</w:t>
      </w:r>
      <w:r w:rsidR="00CB0188" w:rsidRPr="00A3305E">
        <w:t>air de sala de aula e executar aulas em espaços distintos, requer uma série de burocracias, que envolvem parceria com o local</w:t>
      </w:r>
      <w:r w:rsidR="009D2B87" w:rsidRPr="00A3305E">
        <w:t xml:space="preserve"> externo, providê</w:t>
      </w:r>
      <w:r w:rsidR="00CB0188" w:rsidRPr="00A3305E">
        <w:t xml:space="preserve">ncias </w:t>
      </w:r>
      <w:r w:rsidR="00CB0188" w:rsidRPr="00A3305E">
        <w:lastRenderedPageBreak/>
        <w:t xml:space="preserve">quanto ao seguro de vida dos alunos, ajustes na logística de transportes, adaptações de horários de acordo com a disponibiidade do </w:t>
      </w:r>
      <w:r w:rsidRPr="00A3305E">
        <w:t>lugar</w:t>
      </w:r>
      <w:r w:rsidR="00CB0188" w:rsidRPr="00A3305E">
        <w:t xml:space="preserve"> a ser visitado, responsabilidade coletiva para preservação da </w:t>
      </w:r>
      <w:r w:rsidR="00EF1585" w:rsidRPr="00A3305E">
        <w:t>área escolhida</w:t>
      </w:r>
      <w:r w:rsidR="00DC7A22" w:rsidRPr="00A3305E">
        <w:t>, entre outros pormenores que se não forem considerados podem ocasionar problemas no percurso</w:t>
      </w:r>
      <w:r w:rsidR="00195D44" w:rsidRPr="00A3305E">
        <w:t>.</w:t>
      </w:r>
    </w:p>
    <w:p w14:paraId="17DBCC01" w14:textId="7FCC0FBD" w:rsidR="00CB0188" w:rsidRDefault="00A3305E" w:rsidP="00493B8F">
      <w:pPr>
        <w:spacing w:line="360" w:lineRule="auto"/>
        <w:ind w:firstLine="708"/>
        <w:jc w:val="both"/>
      </w:pPr>
      <w:r w:rsidRPr="00244B51">
        <w:t>Logo, repensados e prevenidos alguns fatores intercorrentes</w:t>
      </w:r>
      <w:r w:rsidR="00C1278F" w:rsidRPr="00244B51">
        <w:t xml:space="preserve"> toda e qualquer iniciativa para promoção do contato com universitários com a aprendizagem </w:t>
      </w:r>
      <w:r w:rsidR="001E64AD" w:rsidRPr="00244B51">
        <w:t xml:space="preserve">por </w:t>
      </w:r>
      <w:r w:rsidR="00C1278F" w:rsidRPr="00244B51">
        <w:t>espaço não-formal</w:t>
      </w:r>
      <w:r w:rsidR="001E64AD" w:rsidRPr="00244B51">
        <w:t xml:space="preserve"> é válida, cabendo aos </w:t>
      </w:r>
      <w:r w:rsidR="00EF1585" w:rsidRPr="00244B51">
        <w:t>doce</w:t>
      </w:r>
      <w:r w:rsidR="00DC7A22" w:rsidRPr="00244B51">
        <w:t>n</w:t>
      </w:r>
      <w:r w:rsidR="00EF1585" w:rsidRPr="00244B51">
        <w:t xml:space="preserve">tes </w:t>
      </w:r>
      <w:r w:rsidR="001E64AD" w:rsidRPr="00244B51">
        <w:t xml:space="preserve">serem responsivos nos </w:t>
      </w:r>
      <w:r w:rsidR="009D2B87" w:rsidRPr="00244B51">
        <w:t>plano de ação</w:t>
      </w:r>
      <w:r w:rsidR="001E64AD" w:rsidRPr="00244B51">
        <w:t xml:space="preserve"> e discentes parceiros na causa, haja vista que todos são adultos e estão envoltos no mesmo propósito: formação superior de qualidade</w:t>
      </w:r>
      <w:r w:rsidR="009D2B87" w:rsidRPr="00244B51">
        <w:t>.</w:t>
      </w:r>
      <w:r w:rsidR="00EF1585" w:rsidRPr="00244B51">
        <w:t xml:space="preserve"> </w:t>
      </w:r>
    </w:p>
    <w:p w14:paraId="33E52BDF" w14:textId="77777777" w:rsidR="00AC5F5F" w:rsidRDefault="00AC5F5F" w:rsidP="00A47EA4">
      <w:pPr>
        <w:spacing w:line="360" w:lineRule="auto"/>
        <w:jc w:val="both"/>
        <w:rPr>
          <w:b/>
        </w:rPr>
      </w:pPr>
    </w:p>
    <w:p w14:paraId="42650A31" w14:textId="059B5A55" w:rsidR="00E351D1" w:rsidRDefault="0008227A" w:rsidP="00A47EA4">
      <w:pPr>
        <w:spacing w:line="360" w:lineRule="auto"/>
        <w:jc w:val="both"/>
        <w:rPr>
          <w:b/>
        </w:rPr>
      </w:pPr>
      <w:r>
        <w:rPr>
          <w:b/>
        </w:rPr>
        <w:t>Metodologia</w:t>
      </w:r>
    </w:p>
    <w:p w14:paraId="475FD9D0" w14:textId="37AE0BEE" w:rsidR="000A7A64" w:rsidRDefault="000A7A64" w:rsidP="00B032EF">
      <w:pPr>
        <w:pStyle w:val="PargrafodaLista"/>
        <w:tabs>
          <w:tab w:val="left" w:pos="426"/>
        </w:tabs>
        <w:spacing w:before="100" w:beforeAutospacing="1" w:after="100" w:afterAutospacing="1" w:line="360" w:lineRule="auto"/>
        <w:ind w:left="0" w:firstLine="709"/>
        <w:contextualSpacing/>
        <w:jc w:val="both"/>
      </w:pPr>
      <w:r>
        <w:t>A condução metodológica deste estudo pautou-se no olhar fenomenológico em torno do ato de usar espaços não-formais, e como os discentes percebem esta alternativa de sair do ambiente físico da universidade. Destarte, por estarmos trabalhando com impressões, opiniões de instâncias subjetivas, optamos por uma abordagem qualitativa, ainda que tivéssemos apresentado os dados por meio de percentual.</w:t>
      </w:r>
    </w:p>
    <w:p w14:paraId="0A677B2E" w14:textId="3C3C2393" w:rsidR="0092360E" w:rsidRDefault="0092360E" w:rsidP="0092360E">
      <w:pPr>
        <w:pStyle w:val="PargrafodaLista"/>
        <w:tabs>
          <w:tab w:val="left" w:pos="426"/>
        </w:tabs>
        <w:spacing w:before="100" w:beforeAutospacing="1" w:after="100" w:afterAutospacing="1" w:line="360" w:lineRule="auto"/>
        <w:ind w:left="0" w:firstLine="709"/>
        <w:contextualSpacing/>
        <w:jc w:val="both"/>
      </w:pPr>
      <w:r>
        <w:t>A pesquisa teve cunho descritivo, ancorada em Fonseca (2010, p. 69) que afirma que “a característica da pesquisa descritiva é a técnica padronizada da coleta de dados, realizada através de questionários e da observação sistemática”.</w:t>
      </w:r>
    </w:p>
    <w:p w14:paraId="4DFA78F2" w14:textId="77777777" w:rsidR="0051160B" w:rsidRDefault="0092360E" w:rsidP="0092360E">
      <w:pPr>
        <w:pStyle w:val="PargrafodaLista"/>
        <w:tabs>
          <w:tab w:val="left" w:pos="426"/>
        </w:tabs>
        <w:spacing w:before="100" w:beforeAutospacing="1" w:after="100" w:afterAutospacing="1" w:line="360" w:lineRule="auto"/>
        <w:ind w:left="0" w:firstLine="709"/>
        <w:contextualSpacing/>
        <w:jc w:val="both"/>
      </w:pPr>
      <w:r>
        <w:t>Participaram 24 estudantes, regularmente matriculados no quinto período do curso citado, que deram seu consentimento através</w:t>
      </w:r>
      <w:r w:rsidR="00651845">
        <w:t xml:space="preserve"> do documento TCLE</w:t>
      </w:r>
      <w:r>
        <w:t xml:space="preserve">. </w:t>
      </w:r>
      <w:r w:rsidR="00651845">
        <w:t xml:space="preserve">O momento para debater a temática com os envolvidos deu-se no componente curricular “Educação em Espaços Não Formais” no curso de Pedagogia, de uma universidade privada na cidade de Manaus (AM). </w:t>
      </w:r>
      <w:r>
        <w:t>Os instrumentos para coleta de dados foram question</w:t>
      </w:r>
      <w:r w:rsidR="00651845">
        <w:t>ários e</w:t>
      </w:r>
      <w:r>
        <w:t xml:space="preserve"> rodas de discussões após a aplicação dos primeiros. </w:t>
      </w:r>
    </w:p>
    <w:p w14:paraId="6E4E0149" w14:textId="5A144851" w:rsidR="0092360E" w:rsidRDefault="0051160B" w:rsidP="0092360E">
      <w:pPr>
        <w:pStyle w:val="PargrafodaLista"/>
        <w:tabs>
          <w:tab w:val="left" w:pos="426"/>
        </w:tabs>
        <w:spacing w:before="100" w:beforeAutospacing="1" w:after="100" w:afterAutospacing="1" w:line="360" w:lineRule="auto"/>
        <w:ind w:left="0" w:firstLine="709"/>
        <w:contextualSpacing/>
        <w:jc w:val="both"/>
      </w:pPr>
      <w:r>
        <w:t>Os dados obtidos foram organizados em categorias</w:t>
      </w:r>
      <w:r w:rsidR="00F33996">
        <w:t xml:space="preserve"> e apresentados o próprios acadêmicos posteriormente, e assim</w:t>
      </w:r>
      <w:r>
        <w:t>,</w:t>
      </w:r>
      <w:r w:rsidR="00F33996">
        <w:t xml:space="preserve"> foram debatidos o porquê de tais reincidências de respostas,</w:t>
      </w:r>
      <w:r>
        <w:t xml:space="preserve"> l</w:t>
      </w:r>
      <w:r w:rsidR="0092360E">
        <w:t xml:space="preserve">ogo, </w:t>
      </w:r>
      <w:r w:rsidR="00651845">
        <w:t>o</w:t>
      </w:r>
      <w:r w:rsidR="0092360E">
        <w:t>s resultados estão expostos em tabela, seguido de análise descritiva e reflexiva.</w:t>
      </w:r>
    </w:p>
    <w:p w14:paraId="14A86478" w14:textId="7703AE7B" w:rsidR="0008227A" w:rsidRDefault="0008227A" w:rsidP="0008227A">
      <w:pPr>
        <w:spacing w:line="360" w:lineRule="auto"/>
        <w:jc w:val="both"/>
        <w:rPr>
          <w:b/>
        </w:rPr>
      </w:pPr>
      <w:r>
        <w:rPr>
          <w:b/>
        </w:rPr>
        <w:t>Resultados e Discussão</w:t>
      </w:r>
    </w:p>
    <w:p w14:paraId="30F7E447" w14:textId="5CFF27DC" w:rsidR="003B7373" w:rsidRDefault="00FB05CE" w:rsidP="003B7373">
      <w:pPr>
        <w:spacing w:line="360" w:lineRule="auto"/>
        <w:ind w:firstLine="709"/>
        <w:jc w:val="both"/>
      </w:pPr>
      <w:r>
        <w:t xml:space="preserve">A discussão dos itens </w:t>
      </w:r>
      <w:r w:rsidR="00855083">
        <w:t>expre</w:t>
      </w:r>
      <w:r w:rsidR="002975AC">
        <w:t>s</w:t>
      </w:r>
      <w:r w:rsidR="00855083">
        <w:t xml:space="preserve">sos na Tabela 1 </w:t>
      </w:r>
      <w:r>
        <w:t>respeita a ordem em que estes estão dispostos</w:t>
      </w:r>
      <w:r w:rsidR="00B8336B">
        <w:t xml:space="preserve">. As reflexões a partir dos indicadores do questionário estão pautadas em </w:t>
      </w:r>
      <w:r w:rsidR="00B40399">
        <w:t>experiências</w:t>
      </w:r>
      <w:r w:rsidR="008562CE">
        <w:t xml:space="preserve"> </w:t>
      </w:r>
      <w:r w:rsidR="008562CE">
        <w:lastRenderedPageBreak/>
        <w:t>vivenciadas</w:t>
      </w:r>
      <w:r w:rsidR="00B40399">
        <w:t xml:space="preserve"> no decorrer da disciplina, além d</w:t>
      </w:r>
      <w:r w:rsidR="001F6020">
        <w:t xml:space="preserve">o </w:t>
      </w:r>
      <w:r w:rsidR="00B8336B">
        <w:t xml:space="preserve">respaldo </w:t>
      </w:r>
      <w:r w:rsidR="001F6020">
        <w:t xml:space="preserve">de autores que </w:t>
      </w:r>
      <w:r w:rsidR="008562CE">
        <w:t xml:space="preserve">reforçam os impactos gerados por </w:t>
      </w:r>
      <w:r w:rsidR="001F6020">
        <w:t>práticas em espaços não formais.</w:t>
      </w:r>
      <w:r>
        <w:t xml:space="preserve"> </w:t>
      </w:r>
    </w:p>
    <w:p w14:paraId="76764448" w14:textId="6B140222" w:rsidR="001F6020" w:rsidRDefault="001F6020" w:rsidP="003B7373">
      <w:pPr>
        <w:spacing w:line="360" w:lineRule="auto"/>
        <w:ind w:firstLine="709"/>
        <w:jc w:val="both"/>
      </w:pPr>
    </w:p>
    <w:p w14:paraId="0A75C262" w14:textId="58E79F4B" w:rsidR="00DF4F5C" w:rsidRPr="001F6020" w:rsidRDefault="001F6020" w:rsidP="001F6020">
      <w:pPr>
        <w:spacing w:line="360" w:lineRule="auto"/>
        <w:jc w:val="both"/>
        <w:rPr>
          <w:sz w:val="20"/>
          <w:szCs w:val="20"/>
        </w:rPr>
      </w:pPr>
      <w:r w:rsidRPr="001F6020">
        <w:rPr>
          <w:sz w:val="20"/>
          <w:szCs w:val="20"/>
        </w:rPr>
        <w:t>Tabela 1 - Respostas do questionário aplicado aos cursantes da disciplina de Educação em Espaços Não Formais</w:t>
      </w:r>
    </w:p>
    <w:tbl>
      <w:tblPr>
        <w:tblStyle w:val="SombreamentoClaro-nfase11"/>
        <w:tblW w:w="4948" w:type="pct"/>
        <w:tblLook w:val="0660" w:firstRow="1" w:lastRow="1" w:firstColumn="0" w:lastColumn="0" w:noHBand="1" w:noVBand="1"/>
      </w:tblPr>
      <w:tblGrid>
        <w:gridCol w:w="3336"/>
        <w:gridCol w:w="1264"/>
        <w:gridCol w:w="1120"/>
        <w:gridCol w:w="955"/>
        <w:gridCol w:w="1264"/>
        <w:gridCol w:w="1038"/>
      </w:tblGrid>
      <w:tr w:rsidR="007D2463" w:rsidRPr="007D2463" w14:paraId="49F375C6" w14:textId="77777777" w:rsidTr="007D2463">
        <w:trPr>
          <w:cnfStyle w:val="100000000000" w:firstRow="1" w:lastRow="0" w:firstColumn="0" w:lastColumn="0" w:oddVBand="0" w:evenVBand="0" w:oddHBand="0" w:evenHBand="0" w:firstRowFirstColumn="0" w:firstRowLastColumn="0" w:lastRowFirstColumn="0" w:lastRowLastColumn="0"/>
          <w:trHeight w:val="457"/>
        </w:trPr>
        <w:tc>
          <w:tcPr>
            <w:tcW w:w="1858" w:type="pct"/>
          </w:tcPr>
          <w:p w14:paraId="0606ACA0"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ITEM</w:t>
            </w:r>
          </w:p>
        </w:tc>
        <w:tc>
          <w:tcPr>
            <w:tcW w:w="704" w:type="pct"/>
          </w:tcPr>
          <w:p w14:paraId="49193B0F"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Concordo Totalmente</w:t>
            </w:r>
          </w:p>
        </w:tc>
        <w:tc>
          <w:tcPr>
            <w:tcW w:w="624" w:type="pct"/>
          </w:tcPr>
          <w:p w14:paraId="67FB8C7B"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Concordo</w:t>
            </w:r>
          </w:p>
        </w:tc>
        <w:tc>
          <w:tcPr>
            <w:tcW w:w="532" w:type="pct"/>
          </w:tcPr>
          <w:p w14:paraId="38494950"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Sem Opinião</w:t>
            </w:r>
          </w:p>
        </w:tc>
        <w:tc>
          <w:tcPr>
            <w:tcW w:w="704" w:type="pct"/>
          </w:tcPr>
          <w:p w14:paraId="6E8E5ADA"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Discordo Totalmente</w:t>
            </w:r>
          </w:p>
        </w:tc>
        <w:tc>
          <w:tcPr>
            <w:tcW w:w="578" w:type="pct"/>
          </w:tcPr>
          <w:p w14:paraId="66404066"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Discordo</w:t>
            </w:r>
          </w:p>
        </w:tc>
      </w:tr>
      <w:tr w:rsidR="007D2463" w:rsidRPr="007D2463" w14:paraId="77A097B3" w14:textId="77777777" w:rsidTr="007D2463">
        <w:trPr>
          <w:trHeight w:val="704"/>
        </w:trPr>
        <w:tc>
          <w:tcPr>
            <w:tcW w:w="1858" w:type="pct"/>
          </w:tcPr>
          <w:p w14:paraId="1BFA1C47" w14:textId="77777777" w:rsidR="007D2463" w:rsidRPr="007D2463" w:rsidRDefault="007D2463" w:rsidP="007D2463">
            <w:pPr>
              <w:jc w:val="both"/>
              <w:rPr>
                <w:rFonts w:ascii="Times New Roman" w:hAnsi="Times New Roman"/>
                <w:color w:val="auto"/>
                <w:sz w:val="20"/>
                <w:szCs w:val="20"/>
              </w:rPr>
            </w:pPr>
            <w:r w:rsidRPr="007D2463">
              <w:rPr>
                <w:rFonts w:ascii="Times New Roman" w:hAnsi="Times New Roman"/>
                <w:color w:val="auto"/>
                <w:sz w:val="20"/>
                <w:szCs w:val="20"/>
              </w:rPr>
              <w:t>Considero a disciplina “Educação em Espaços Não Formais” essencial a formação do pedagogo.</w:t>
            </w:r>
          </w:p>
        </w:tc>
        <w:tc>
          <w:tcPr>
            <w:tcW w:w="704" w:type="pct"/>
            <w:vAlign w:val="center"/>
          </w:tcPr>
          <w:p w14:paraId="651B801F"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100%</w:t>
            </w:r>
          </w:p>
        </w:tc>
        <w:tc>
          <w:tcPr>
            <w:tcW w:w="624" w:type="pct"/>
            <w:vAlign w:val="center"/>
          </w:tcPr>
          <w:p w14:paraId="6B0F052B"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c>
          <w:tcPr>
            <w:tcW w:w="532" w:type="pct"/>
            <w:vAlign w:val="center"/>
          </w:tcPr>
          <w:p w14:paraId="3A462FA4"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c>
          <w:tcPr>
            <w:tcW w:w="704" w:type="pct"/>
            <w:vAlign w:val="center"/>
          </w:tcPr>
          <w:p w14:paraId="319E8B82"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c>
          <w:tcPr>
            <w:tcW w:w="578" w:type="pct"/>
            <w:vAlign w:val="center"/>
          </w:tcPr>
          <w:p w14:paraId="2A5AC768"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r>
      <w:tr w:rsidR="007D2463" w:rsidRPr="007D2463" w14:paraId="6B231F73" w14:textId="77777777" w:rsidTr="007D2463">
        <w:trPr>
          <w:trHeight w:val="222"/>
        </w:trPr>
        <w:tc>
          <w:tcPr>
            <w:tcW w:w="1858" w:type="pct"/>
          </w:tcPr>
          <w:p w14:paraId="66E8B3B3" w14:textId="77777777" w:rsidR="007D2463" w:rsidRPr="007D2463" w:rsidRDefault="007D2463" w:rsidP="007D2463">
            <w:pPr>
              <w:tabs>
                <w:tab w:val="decimal" w:pos="360"/>
              </w:tabs>
              <w:jc w:val="both"/>
              <w:rPr>
                <w:rFonts w:ascii="Times New Roman" w:hAnsi="Times New Roman"/>
                <w:color w:val="auto"/>
                <w:sz w:val="20"/>
                <w:szCs w:val="20"/>
              </w:rPr>
            </w:pPr>
          </w:p>
        </w:tc>
        <w:tc>
          <w:tcPr>
            <w:tcW w:w="704" w:type="pct"/>
            <w:vAlign w:val="center"/>
          </w:tcPr>
          <w:p w14:paraId="0842B5AB" w14:textId="77777777" w:rsidR="007D2463" w:rsidRPr="007D2463" w:rsidRDefault="007D2463" w:rsidP="007D2463">
            <w:pPr>
              <w:tabs>
                <w:tab w:val="decimal" w:pos="360"/>
              </w:tabs>
              <w:jc w:val="center"/>
              <w:rPr>
                <w:rFonts w:ascii="Times New Roman" w:hAnsi="Times New Roman"/>
                <w:color w:val="auto"/>
                <w:sz w:val="20"/>
                <w:szCs w:val="20"/>
              </w:rPr>
            </w:pPr>
          </w:p>
        </w:tc>
        <w:tc>
          <w:tcPr>
            <w:tcW w:w="624" w:type="pct"/>
            <w:vAlign w:val="center"/>
          </w:tcPr>
          <w:p w14:paraId="02401A38" w14:textId="77777777" w:rsidR="007D2463" w:rsidRPr="007D2463" w:rsidRDefault="007D2463" w:rsidP="007D2463">
            <w:pPr>
              <w:tabs>
                <w:tab w:val="decimal" w:pos="360"/>
              </w:tabs>
              <w:jc w:val="center"/>
              <w:rPr>
                <w:rFonts w:ascii="Times New Roman" w:hAnsi="Times New Roman"/>
                <w:color w:val="auto"/>
                <w:sz w:val="20"/>
                <w:szCs w:val="20"/>
              </w:rPr>
            </w:pPr>
          </w:p>
        </w:tc>
        <w:tc>
          <w:tcPr>
            <w:tcW w:w="532" w:type="pct"/>
            <w:vAlign w:val="center"/>
          </w:tcPr>
          <w:p w14:paraId="703A998D" w14:textId="77777777" w:rsidR="007D2463" w:rsidRPr="007D2463" w:rsidRDefault="007D2463" w:rsidP="007D2463">
            <w:pPr>
              <w:tabs>
                <w:tab w:val="decimal" w:pos="360"/>
              </w:tabs>
              <w:jc w:val="center"/>
              <w:rPr>
                <w:rFonts w:ascii="Times New Roman" w:hAnsi="Times New Roman"/>
                <w:color w:val="auto"/>
                <w:sz w:val="20"/>
                <w:szCs w:val="20"/>
              </w:rPr>
            </w:pPr>
          </w:p>
        </w:tc>
        <w:tc>
          <w:tcPr>
            <w:tcW w:w="704" w:type="pct"/>
            <w:vAlign w:val="center"/>
          </w:tcPr>
          <w:p w14:paraId="1321B3CF" w14:textId="77777777" w:rsidR="007D2463" w:rsidRPr="007D2463" w:rsidRDefault="007D2463" w:rsidP="007D2463">
            <w:pPr>
              <w:tabs>
                <w:tab w:val="decimal" w:pos="360"/>
              </w:tabs>
              <w:jc w:val="center"/>
              <w:rPr>
                <w:rFonts w:ascii="Times New Roman" w:hAnsi="Times New Roman"/>
                <w:color w:val="auto"/>
                <w:sz w:val="20"/>
                <w:szCs w:val="20"/>
              </w:rPr>
            </w:pPr>
          </w:p>
        </w:tc>
        <w:tc>
          <w:tcPr>
            <w:tcW w:w="578" w:type="pct"/>
            <w:vAlign w:val="center"/>
          </w:tcPr>
          <w:p w14:paraId="0EFBC0E1" w14:textId="77777777" w:rsidR="007D2463" w:rsidRPr="007D2463" w:rsidRDefault="007D2463" w:rsidP="007D2463">
            <w:pPr>
              <w:tabs>
                <w:tab w:val="decimal" w:pos="360"/>
              </w:tabs>
              <w:jc w:val="center"/>
              <w:rPr>
                <w:rFonts w:ascii="Times New Roman" w:hAnsi="Times New Roman"/>
                <w:color w:val="auto"/>
                <w:sz w:val="20"/>
                <w:szCs w:val="20"/>
              </w:rPr>
            </w:pPr>
          </w:p>
        </w:tc>
      </w:tr>
      <w:tr w:rsidR="007D2463" w:rsidRPr="007D2463" w14:paraId="2871E7E6" w14:textId="77777777" w:rsidTr="007D2463">
        <w:trPr>
          <w:trHeight w:val="938"/>
        </w:trPr>
        <w:tc>
          <w:tcPr>
            <w:tcW w:w="1858" w:type="pct"/>
          </w:tcPr>
          <w:p w14:paraId="3D7A62F5" w14:textId="77777777" w:rsidR="007D2463" w:rsidRPr="007D2463" w:rsidRDefault="007D2463" w:rsidP="007D2463">
            <w:pPr>
              <w:tabs>
                <w:tab w:val="decimal" w:pos="360"/>
              </w:tabs>
              <w:jc w:val="both"/>
              <w:rPr>
                <w:rFonts w:ascii="Times New Roman" w:hAnsi="Times New Roman"/>
                <w:color w:val="auto"/>
                <w:sz w:val="20"/>
                <w:szCs w:val="20"/>
              </w:rPr>
            </w:pPr>
            <w:r w:rsidRPr="007D2463">
              <w:rPr>
                <w:rFonts w:ascii="Times New Roman" w:hAnsi="Times New Roman"/>
                <w:color w:val="auto"/>
                <w:sz w:val="20"/>
                <w:szCs w:val="20"/>
              </w:rPr>
              <w:t>Acredito que os espaços não formais podem ser úteis para o desenvolvimento de aulas de todos os componentes curriculares da educação básica.</w:t>
            </w:r>
          </w:p>
        </w:tc>
        <w:tc>
          <w:tcPr>
            <w:tcW w:w="704" w:type="pct"/>
            <w:vAlign w:val="center"/>
          </w:tcPr>
          <w:p w14:paraId="1B33254D"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87%</w:t>
            </w:r>
          </w:p>
        </w:tc>
        <w:tc>
          <w:tcPr>
            <w:tcW w:w="624" w:type="pct"/>
            <w:vAlign w:val="center"/>
          </w:tcPr>
          <w:p w14:paraId="142ABBB7"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13%</w:t>
            </w:r>
          </w:p>
        </w:tc>
        <w:tc>
          <w:tcPr>
            <w:tcW w:w="532" w:type="pct"/>
            <w:vAlign w:val="center"/>
          </w:tcPr>
          <w:p w14:paraId="46700C8F"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704" w:type="pct"/>
            <w:vAlign w:val="center"/>
          </w:tcPr>
          <w:p w14:paraId="539EA2D0"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578" w:type="pct"/>
            <w:vAlign w:val="center"/>
          </w:tcPr>
          <w:p w14:paraId="07D8EFBD"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r>
      <w:tr w:rsidR="007D2463" w:rsidRPr="007D2463" w14:paraId="3CD8DC21" w14:textId="77777777" w:rsidTr="007D2463">
        <w:trPr>
          <w:trHeight w:val="234"/>
        </w:trPr>
        <w:tc>
          <w:tcPr>
            <w:tcW w:w="1858" w:type="pct"/>
          </w:tcPr>
          <w:p w14:paraId="34DA2BE9" w14:textId="77777777" w:rsidR="007D2463" w:rsidRPr="007D2463" w:rsidRDefault="007D2463" w:rsidP="007D2463">
            <w:pPr>
              <w:tabs>
                <w:tab w:val="decimal" w:pos="360"/>
              </w:tabs>
              <w:jc w:val="both"/>
              <w:rPr>
                <w:rFonts w:ascii="Times New Roman" w:hAnsi="Times New Roman"/>
                <w:color w:val="auto"/>
                <w:sz w:val="20"/>
                <w:szCs w:val="20"/>
              </w:rPr>
            </w:pPr>
          </w:p>
        </w:tc>
        <w:tc>
          <w:tcPr>
            <w:tcW w:w="704" w:type="pct"/>
            <w:vAlign w:val="center"/>
          </w:tcPr>
          <w:p w14:paraId="30D35CD1" w14:textId="77777777" w:rsidR="007D2463" w:rsidRPr="007D2463" w:rsidRDefault="007D2463" w:rsidP="007D2463">
            <w:pPr>
              <w:tabs>
                <w:tab w:val="decimal" w:pos="360"/>
              </w:tabs>
              <w:jc w:val="center"/>
              <w:rPr>
                <w:rFonts w:ascii="Times New Roman" w:hAnsi="Times New Roman"/>
                <w:color w:val="auto"/>
                <w:sz w:val="20"/>
                <w:szCs w:val="20"/>
              </w:rPr>
            </w:pPr>
          </w:p>
        </w:tc>
        <w:tc>
          <w:tcPr>
            <w:tcW w:w="624" w:type="pct"/>
            <w:vAlign w:val="center"/>
          </w:tcPr>
          <w:p w14:paraId="379C893B" w14:textId="77777777" w:rsidR="007D2463" w:rsidRPr="007D2463" w:rsidRDefault="007D2463" w:rsidP="007D2463">
            <w:pPr>
              <w:tabs>
                <w:tab w:val="decimal" w:pos="360"/>
              </w:tabs>
              <w:jc w:val="center"/>
              <w:rPr>
                <w:rFonts w:ascii="Times New Roman" w:hAnsi="Times New Roman"/>
                <w:color w:val="auto"/>
                <w:sz w:val="20"/>
                <w:szCs w:val="20"/>
              </w:rPr>
            </w:pPr>
          </w:p>
        </w:tc>
        <w:tc>
          <w:tcPr>
            <w:tcW w:w="532" w:type="pct"/>
            <w:vAlign w:val="center"/>
          </w:tcPr>
          <w:p w14:paraId="0B4964F8" w14:textId="77777777" w:rsidR="007D2463" w:rsidRPr="007D2463" w:rsidRDefault="007D2463" w:rsidP="007D2463">
            <w:pPr>
              <w:tabs>
                <w:tab w:val="decimal" w:pos="360"/>
              </w:tabs>
              <w:jc w:val="center"/>
              <w:rPr>
                <w:rFonts w:ascii="Times New Roman" w:hAnsi="Times New Roman"/>
                <w:color w:val="auto"/>
                <w:sz w:val="20"/>
                <w:szCs w:val="20"/>
              </w:rPr>
            </w:pPr>
          </w:p>
        </w:tc>
        <w:tc>
          <w:tcPr>
            <w:tcW w:w="704" w:type="pct"/>
            <w:vAlign w:val="center"/>
          </w:tcPr>
          <w:p w14:paraId="19B32AFA" w14:textId="77777777" w:rsidR="007D2463" w:rsidRPr="007D2463" w:rsidRDefault="007D2463" w:rsidP="007D2463">
            <w:pPr>
              <w:tabs>
                <w:tab w:val="decimal" w:pos="360"/>
              </w:tabs>
              <w:jc w:val="center"/>
              <w:rPr>
                <w:rFonts w:ascii="Times New Roman" w:hAnsi="Times New Roman"/>
                <w:color w:val="auto"/>
                <w:sz w:val="20"/>
                <w:szCs w:val="20"/>
              </w:rPr>
            </w:pPr>
          </w:p>
        </w:tc>
        <w:tc>
          <w:tcPr>
            <w:tcW w:w="578" w:type="pct"/>
            <w:vAlign w:val="center"/>
          </w:tcPr>
          <w:p w14:paraId="09848B18" w14:textId="77777777" w:rsidR="007D2463" w:rsidRPr="007D2463" w:rsidRDefault="007D2463" w:rsidP="007D2463">
            <w:pPr>
              <w:tabs>
                <w:tab w:val="decimal" w:pos="360"/>
              </w:tabs>
              <w:jc w:val="center"/>
              <w:rPr>
                <w:rFonts w:ascii="Times New Roman" w:hAnsi="Times New Roman"/>
                <w:color w:val="auto"/>
                <w:sz w:val="20"/>
                <w:szCs w:val="20"/>
              </w:rPr>
            </w:pPr>
          </w:p>
        </w:tc>
      </w:tr>
      <w:tr w:rsidR="007D2463" w:rsidRPr="007D2463" w14:paraId="1D43EF22" w14:textId="77777777" w:rsidTr="007D2463">
        <w:trPr>
          <w:trHeight w:val="926"/>
        </w:trPr>
        <w:tc>
          <w:tcPr>
            <w:tcW w:w="1858" w:type="pct"/>
          </w:tcPr>
          <w:p w14:paraId="6681B19B" w14:textId="77777777" w:rsidR="007D2463" w:rsidRPr="007D2463" w:rsidRDefault="007D2463" w:rsidP="007D2463">
            <w:pPr>
              <w:tabs>
                <w:tab w:val="decimal" w:pos="360"/>
              </w:tabs>
              <w:jc w:val="both"/>
              <w:rPr>
                <w:rFonts w:ascii="Times New Roman" w:hAnsi="Times New Roman"/>
                <w:color w:val="auto"/>
                <w:sz w:val="20"/>
                <w:szCs w:val="20"/>
              </w:rPr>
            </w:pPr>
            <w:r w:rsidRPr="007D2463">
              <w:rPr>
                <w:rFonts w:ascii="Times New Roman" w:hAnsi="Times New Roman"/>
                <w:color w:val="auto"/>
                <w:sz w:val="20"/>
                <w:szCs w:val="20"/>
              </w:rPr>
              <w:t>Me considero apto para o planejamento e desenvolvimento de sequências didáticas que envolvam o uso de espaços não formais.</w:t>
            </w:r>
          </w:p>
        </w:tc>
        <w:tc>
          <w:tcPr>
            <w:tcW w:w="704" w:type="pct"/>
            <w:vAlign w:val="center"/>
          </w:tcPr>
          <w:p w14:paraId="18877C6D"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42%</w:t>
            </w:r>
          </w:p>
        </w:tc>
        <w:tc>
          <w:tcPr>
            <w:tcW w:w="624" w:type="pct"/>
            <w:vAlign w:val="center"/>
          </w:tcPr>
          <w:p w14:paraId="20BD1167"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54%</w:t>
            </w:r>
          </w:p>
        </w:tc>
        <w:tc>
          <w:tcPr>
            <w:tcW w:w="532" w:type="pct"/>
            <w:vAlign w:val="center"/>
          </w:tcPr>
          <w:p w14:paraId="105171EA"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4%</w:t>
            </w:r>
          </w:p>
        </w:tc>
        <w:tc>
          <w:tcPr>
            <w:tcW w:w="704" w:type="pct"/>
            <w:vAlign w:val="center"/>
          </w:tcPr>
          <w:p w14:paraId="1F8BDB27"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578" w:type="pct"/>
            <w:vAlign w:val="center"/>
          </w:tcPr>
          <w:p w14:paraId="53632309"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r>
      <w:tr w:rsidR="007D2463" w:rsidRPr="007D2463" w14:paraId="64DB478D" w14:textId="77777777" w:rsidTr="007D2463">
        <w:trPr>
          <w:trHeight w:val="234"/>
        </w:trPr>
        <w:tc>
          <w:tcPr>
            <w:tcW w:w="1858" w:type="pct"/>
          </w:tcPr>
          <w:p w14:paraId="52399D2E" w14:textId="77777777" w:rsidR="007D2463" w:rsidRPr="007D2463" w:rsidRDefault="007D2463" w:rsidP="007D2463">
            <w:pPr>
              <w:tabs>
                <w:tab w:val="decimal" w:pos="360"/>
              </w:tabs>
              <w:jc w:val="both"/>
              <w:rPr>
                <w:rFonts w:ascii="Times New Roman" w:hAnsi="Times New Roman"/>
                <w:color w:val="auto"/>
                <w:sz w:val="20"/>
                <w:szCs w:val="20"/>
              </w:rPr>
            </w:pPr>
          </w:p>
        </w:tc>
        <w:tc>
          <w:tcPr>
            <w:tcW w:w="704" w:type="pct"/>
            <w:vAlign w:val="center"/>
          </w:tcPr>
          <w:p w14:paraId="074FBF89" w14:textId="77777777" w:rsidR="007D2463" w:rsidRPr="007D2463" w:rsidRDefault="007D2463" w:rsidP="007D2463">
            <w:pPr>
              <w:tabs>
                <w:tab w:val="decimal" w:pos="360"/>
              </w:tabs>
              <w:jc w:val="center"/>
              <w:rPr>
                <w:rFonts w:ascii="Times New Roman" w:hAnsi="Times New Roman"/>
                <w:color w:val="auto"/>
                <w:sz w:val="20"/>
                <w:szCs w:val="20"/>
              </w:rPr>
            </w:pPr>
          </w:p>
        </w:tc>
        <w:tc>
          <w:tcPr>
            <w:tcW w:w="624" w:type="pct"/>
            <w:vAlign w:val="center"/>
          </w:tcPr>
          <w:p w14:paraId="1973ABBC" w14:textId="77777777" w:rsidR="007D2463" w:rsidRPr="007D2463" w:rsidRDefault="007D2463" w:rsidP="007D2463">
            <w:pPr>
              <w:tabs>
                <w:tab w:val="decimal" w:pos="360"/>
              </w:tabs>
              <w:jc w:val="center"/>
              <w:rPr>
                <w:rFonts w:ascii="Times New Roman" w:hAnsi="Times New Roman"/>
                <w:color w:val="auto"/>
                <w:sz w:val="20"/>
                <w:szCs w:val="20"/>
              </w:rPr>
            </w:pPr>
          </w:p>
        </w:tc>
        <w:tc>
          <w:tcPr>
            <w:tcW w:w="532" w:type="pct"/>
            <w:vAlign w:val="center"/>
          </w:tcPr>
          <w:p w14:paraId="05901149" w14:textId="77777777" w:rsidR="007D2463" w:rsidRPr="007D2463" w:rsidRDefault="007D2463" w:rsidP="007D2463">
            <w:pPr>
              <w:tabs>
                <w:tab w:val="decimal" w:pos="360"/>
              </w:tabs>
              <w:jc w:val="center"/>
              <w:rPr>
                <w:rFonts w:ascii="Times New Roman" w:hAnsi="Times New Roman"/>
                <w:color w:val="auto"/>
                <w:sz w:val="20"/>
                <w:szCs w:val="20"/>
              </w:rPr>
            </w:pPr>
          </w:p>
        </w:tc>
        <w:tc>
          <w:tcPr>
            <w:tcW w:w="704" w:type="pct"/>
            <w:vAlign w:val="center"/>
          </w:tcPr>
          <w:p w14:paraId="02F3C3A9" w14:textId="77777777" w:rsidR="007D2463" w:rsidRPr="007D2463" w:rsidRDefault="007D2463" w:rsidP="007D2463">
            <w:pPr>
              <w:tabs>
                <w:tab w:val="decimal" w:pos="360"/>
              </w:tabs>
              <w:jc w:val="center"/>
              <w:rPr>
                <w:rFonts w:ascii="Times New Roman" w:hAnsi="Times New Roman"/>
                <w:color w:val="auto"/>
                <w:sz w:val="20"/>
                <w:szCs w:val="20"/>
              </w:rPr>
            </w:pPr>
          </w:p>
        </w:tc>
        <w:tc>
          <w:tcPr>
            <w:tcW w:w="578" w:type="pct"/>
            <w:vAlign w:val="center"/>
          </w:tcPr>
          <w:p w14:paraId="5CA5EF54" w14:textId="77777777" w:rsidR="007D2463" w:rsidRPr="007D2463" w:rsidRDefault="007D2463" w:rsidP="007D2463">
            <w:pPr>
              <w:tabs>
                <w:tab w:val="decimal" w:pos="360"/>
              </w:tabs>
              <w:jc w:val="center"/>
              <w:rPr>
                <w:rFonts w:ascii="Times New Roman" w:hAnsi="Times New Roman"/>
                <w:color w:val="auto"/>
                <w:sz w:val="20"/>
                <w:szCs w:val="20"/>
              </w:rPr>
            </w:pPr>
          </w:p>
        </w:tc>
      </w:tr>
      <w:tr w:rsidR="007D2463" w:rsidRPr="007D2463" w14:paraId="0F860BFC" w14:textId="77777777" w:rsidTr="007D2463">
        <w:trPr>
          <w:trHeight w:val="926"/>
        </w:trPr>
        <w:tc>
          <w:tcPr>
            <w:tcW w:w="1858" w:type="pct"/>
          </w:tcPr>
          <w:p w14:paraId="4B54DB7E" w14:textId="77777777" w:rsidR="007D2463" w:rsidRPr="007D2463" w:rsidRDefault="007D2463" w:rsidP="007D2463">
            <w:pPr>
              <w:jc w:val="both"/>
              <w:rPr>
                <w:rFonts w:ascii="Times New Roman" w:hAnsi="Times New Roman"/>
                <w:color w:val="auto"/>
                <w:sz w:val="20"/>
                <w:szCs w:val="20"/>
              </w:rPr>
            </w:pPr>
            <w:r w:rsidRPr="007D2463">
              <w:rPr>
                <w:rFonts w:ascii="Times New Roman" w:hAnsi="Times New Roman"/>
                <w:color w:val="auto"/>
                <w:sz w:val="20"/>
                <w:szCs w:val="20"/>
              </w:rPr>
              <w:t>O conhecimento científico é desenvolvido a partir de conhecimentos e saberes prévios, além de vivências em espaços educativos não formais.</w:t>
            </w:r>
          </w:p>
        </w:tc>
        <w:tc>
          <w:tcPr>
            <w:tcW w:w="704" w:type="pct"/>
            <w:vAlign w:val="center"/>
          </w:tcPr>
          <w:p w14:paraId="11754080"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83%</w:t>
            </w:r>
          </w:p>
        </w:tc>
        <w:tc>
          <w:tcPr>
            <w:tcW w:w="624" w:type="pct"/>
            <w:vAlign w:val="center"/>
          </w:tcPr>
          <w:p w14:paraId="5A382C2A"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13%</w:t>
            </w:r>
          </w:p>
        </w:tc>
        <w:tc>
          <w:tcPr>
            <w:tcW w:w="532" w:type="pct"/>
            <w:vAlign w:val="center"/>
          </w:tcPr>
          <w:p w14:paraId="380333E8"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4%</w:t>
            </w:r>
          </w:p>
        </w:tc>
        <w:tc>
          <w:tcPr>
            <w:tcW w:w="704" w:type="pct"/>
            <w:vAlign w:val="center"/>
          </w:tcPr>
          <w:p w14:paraId="6DEB0D4A"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c>
          <w:tcPr>
            <w:tcW w:w="578" w:type="pct"/>
            <w:vAlign w:val="center"/>
          </w:tcPr>
          <w:p w14:paraId="6D69D10F" w14:textId="77777777" w:rsidR="007D2463" w:rsidRPr="007D2463" w:rsidRDefault="007D2463" w:rsidP="007D2463">
            <w:pPr>
              <w:jc w:val="center"/>
              <w:rPr>
                <w:rFonts w:ascii="Times New Roman" w:hAnsi="Times New Roman"/>
                <w:color w:val="auto"/>
                <w:sz w:val="20"/>
                <w:szCs w:val="20"/>
              </w:rPr>
            </w:pPr>
            <w:r w:rsidRPr="007D2463">
              <w:rPr>
                <w:rFonts w:ascii="Times New Roman" w:hAnsi="Times New Roman"/>
                <w:color w:val="auto"/>
                <w:sz w:val="20"/>
                <w:szCs w:val="20"/>
              </w:rPr>
              <w:t>-</w:t>
            </w:r>
          </w:p>
        </w:tc>
      </w:tr>
      <w:tr w:rsidR="007D2463" w:rsidRPr="007D2463" w14:paraId="3E9B9DC9" w14:textId="77777777" w:rsidTr="007D2463">
        <w:trPr>
          <w:trHeight w:val="234"/>
        </w:trPr>
        <w:tc>
          <w:tcPr>
            <w:tcW w:w="1858" w:type="pct"/>
          </w:tcPr>
          <w:p w14:paraId="24868CCE" w14:textId="77777777" w:rsidR="007D2463" w:rsidRPr="007D2463" w:rsidRDefault="007D2463" w:rsidP="007D2463">
            <w:pPr>
              <w:tabs>
                <w:tab w:val="decimal" w:pos="360"/>
              </w:tabs>
              <w:jc w:val="both"/>
              <w:rPr>
                <w:rFonts w:ascii="Times New Roman" w:hAnsi="Times New Roman"/>
                <w:color w:val="auto"/>
                <w:sz w:val="20"/>
                <w:szCs w:val="20"/>
              </w:rPr>
            </w:pPr>
          </w:p>
        </w:tc>
        <w:tc>
          <w:tcPr>
            <w:tcW w:w="704" w:type="pct"/>
            <w:vAlign w:val="center"/>
          </w:tcPr>
          <w:p w14:paraId="58D46E89" w14:textId="77777777" w:rsidR="007D2463" w:rsidRPr="007D2463" w:rsidRDefault="007D2463" w:rsidP="007D2463">
            <w:pPr>
              <w:tabs>
                <w:tab w:val="decimal" w:pos="360"/>
              </w:tabs>
              <w:jc w:val="center"/>
              <w:rPr>
                <w:rFonts w:ascii="Times New Roman" w:hAnsi="Times New Roman"/>
                <w:color w:val="auto"/>
                <w:sz w:val="20"/>
                <w:szCs w:val="20"/>
              </w:rPr>
            </w:pPr>
          </w:p>
        </w:tc>
        <w:tc>
          <w:tcPr>
            <w:tcW w:w="624" w:type="pct"/>
            <w:vAlign w:val="center"/>
          </w:tcPr>
          <w:p w14:paraId="68A16458" w14:textId="77777777" w:rsidR="007D2463" w:rsidRPr="007D2463" w:rsidRDefault="007D2463" w:rsidP="007D2463">
            <w:pPr>
              <w:tabs>
                <w:tab w:val="decimal" w:pos="360"/>
              </w:tabs>
              <w:jc w:val="center"/>
              <w:rPr>
                <w:rFonts w:ascii="Times New Roman" w:hAnsi="Times New Roman"/>
                <w:color w:val="auto"/>
                <w:sz w:val="20"/>
                <w:szCs w:val="20"/>
              </w:rPr>
            </w:pPr>
          </w:p>
        </w:tc>
        <w:tc>
          <w:tcPr>
            <w:tcW w:w="532" w:type="pct"/>
            <w:vAlign w:val="center"/>
          </w:tcPr>
          <w:p w14:paraId="1293775D" w14:textId="77777777" w:rsidR="007D2463" w:rsidRPr="007D2463" w:rsidRDefault="007D2463" w:rsidP="007D2463">
            <w:pPr>
              <w:tabs>
                <w:tab w:val="decimal" w:pos="360"/>
              </w:tabs>
              <w:jc w:val="center"/>
              <w:rPr>
                <w:rFonts w:ascii="Times New Roman" w:hAnsi="Times New Roman"/>
                <w:color w:val="auto"/>
                <w:sz w:val="20"/>
                <w:szCs w:val="20"/>
              </w:rPr>
            </w:pPr>
          </w:p>
        </w:tc>
        <w:tc>
          <w:tcPr>
            <w:tcW w:w="704" w:type="pct"/>
            <w:vAlign w:val="center"/>
          </w:tcPr>
          <w:p w14:paraId="3E56D3C5" w14:textId="77777777" w:rsidR="007D2463" w:rsidRPr="007D2463" w:rsidRDefault="007D2463" w:rsidP="007D2463">
            <w:pPr>
              <w:tabs>
                <w:tab w:val="decimal" w:pos="360"/>
              </w:tabs>
              <w:jc w:val="center"/>
              <w:rPr>
                <w:rFonts w:ascii="Times New Roman" w:hAnsi="Times New Roman"/>
                <w:color w:val="auto"/>
                <w:sz w:val="20"/>
                <w:szCs w:val="20"/>
              </w:rPr>
            </w:pPr>
          </w:p>
        </w:tc>
        <w:tc>
          <w:tcPr>
            <w:tcW w:w="578" w:type="pct"/>
            <w:vAlign w:val="center"/>
          </w:tcPr>
          <w:p w14:paraId="2407141F" w14:textId="77777777" w:rsidR="007D2463" w:rsidRPr="007D2463" w:rsidRDefault="007D2463" w:rsidP="007D2463">
            <w:pPr>
              <w:tabs>
                <w:tab w:val="decimal" w:pos="360"/>
              </w:tabs>
              <w:jc w:val="center"/>
              <w:rPr>
                <w:rFonts w:ascii="Times New Roman" w:hAnsi="Times New Roman"/>
                <w:color w:val="auto"/>
                <w:sz w:val="20"/>
                <w:szCs w:val="20"/>
              </w:rPr>
            </w:pPr>
          </w:p>
        </w:tc>
      </w:tr>
      <w:tr w:rsidR="007D2463" w:rsidRPr="007D2463" w14:paraId="470EA834" w14:textId="77777777" w:rsidTr="007D2463">
        <w:trPr>
          <w:trHeight w:val="1396"/>
        </w:trPr>
        <w:tc>
          <w:tcPr>
            <w:tcW w:w="1858" w:type="pct"/>
          </w:tcPr>
          <w:p w14:paraId="73010E85" w14:textId="77777777" w:rsidR="007D2463" w:rsidRPr="007D2463" w:rsidRDefault="007D2463" w:rsidP="007D2463">
            <w:pPr>
              <w:tabs>
                <w:tab w:val="decimal" w:pos="360"/>
              </w:tabs>
              <w:jc w:val="both"/>
              <w:rPr>
                <w:rFonts w:ascii="Times New Roman" w:hAnsi="Times New Roman"/>
                <w:color w:val="auto"/>
                <w:sz w:val="20"/>
                <w:szCs w:val="20"/>
              </w:rPr>
            </w:pPr>
            <w:r w:rsidRPr="007D2463">
              <w:rPr>
                <w:rFonts w:ascii="Times New Roman" w:hAnsi="Times New Roman"/>
                <w:color w:val="auto"/>
                <w:sz w:val="20"/>
                <w:szCs w:val="20"/>
              </w:rPr>
              <w:t>O ensino vai além de aulas prontas e repetições de conhecimentos científicos. Acredito que ambientes como, praças, jardins, zoológicos, museus, bosques, dentre outros, podem contribuir como laboratórios de aprendizagem.</w:t>
            </w:r>
          </w:p>
        </w:tc>
        <w:tc>
          <w:tcPr>
            <w:tcW w:w="704" w:type="pct"/>
            <w:vAlign w:val="center"/>
          </w:tcPr>
          <w:p w14:paraId="0A96F0BE"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100%</w:t>
            </w:r>
          </w:p>
        </w:tc>
        <w:tc>
          <w:tcPr>
            <w:tcW w:w="624" w:type="pct"/>
            <w:vAlign w:val="center"/>
          </w:tcPr>
          <w:p w14:paraId="5B9E5634"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532" w:type="pct"/>
            <w:vAlign w:val="center"/>
          </w:tcPr>
          <w:p w14:paraId="645DF709"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704" w:type="pct"/>
            <w:vAlign w:val="center"/>
          </w:tcPr>
          <w:p w14:paraId="03DAEE90"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c>
          <w:tcPr>
            <w:tcW w:w="578" w:type="pct"/>
            <w:vAlign w:val="center"/>
          </w:tcPr>
          <w:p w14:paraId="00FEB912" w14:textId="77777777" w:rsidR="007D2463" w:rsidRPr="007D2463" w:rsidRDefault="007D2463" w:rsidP="007D2463">
            <w:pPr>
              <w:tabs>
                <w:tab w:val="decimal" w:pos="360"/>
              </w:tabs>
              <w:jc w:val="center"/>
              <w:rPr>
                <w:rFonts w:ascii="Times New Roman" w:hAnsi="Times New Roman"/>
                <w:color w:val="auto"/>
                <w:sz w:val="20"/>
                <w:szCs w:val="20"/>
              </w:rPr>
            </w:pPr>
            <w:r w:rsidRPr="007D2463">
              <w:rPr>
                <w:rFonts w:ascii="Times New Roman" w:hAnsi="Times New Roman"/>
                <w:color w:val="auto"/>
                <w:sz w:val="20"/>
                <w:szCs w:val="20"/>
              </w:rPr>
              <w:t>-</w:t>
            </w:r>
          </w:p>
        </w:tc>
      </w:tr>
      <w:tr w:rsidR="007D2463" w:rsidRPr="007D2463" w14:paraId="392A502A" w14:textId="77777777" w:rsidTr="007D2463">
        <w:trPr>
          <w:trHeight w:val="247"/>
        </w:trPr>
        <w:tc>
          <w:tcPr>
            <w:tcW w:w="1858" w:type="pct"/>
          </w:tcPr>
          <w:p w14:paraId="1857A35E" w14:textId="77777777" w:rsidR="007D2463" w:rsidRPr="007D2463" w:rsidRDefault="007D2463" w:rsidP="007D2463">
            <w:pPr>
              <w:tabs>
                <w:tab w:val="decimal" w:pos="360"/>
              </w:tabs>
              <w:rPr>
                <w:color w:val="auto"/>
                <w:sz w:val="20"/>
                <w:szCs w:val="20"/>
              </w:rPr>
            </w:pPr>
          </w:p>
        </w:tc>
        <w:tc>
          <w:tcPr>
            <w:tcW w:w="704" w:type="pct"/>
            <w:vAlign w:val="center"/>
          </w:tcPr>
          <w:p w14:paraId="75230F3B" w14:textId="77777777" w:rsidR="007D2463" w:rsidRPr="007D2463" w:rsidRDefault="007D2463" w:rsidP="007D2463">
            <w:pPr>
              <w:tabs>
                <w:tab w:val="decimal" w:pos="360"/>
              </w:tabs>
              <w:jc w:val="center"/>
              <w:rPr>
                <w:color w:val="auto"/>
                <w:sz w:val="20"/>
                <w:szCs w:val="20"/>
              </w:rPr>
            </w:pPr>
          </w:p>
        </w:tc>
        <w:tc>
          <w:tcPr>
            <w:tcW w:w="624" w:type="pct"/>
            <w:vAlign w:val="center"/>
          </w:tcPr>
          <w:p w14:paraId="5D0C5294" w14:textId="77777777" w:rsidR="007D2463" w:rsidRPr="007D2463" w:rsidRDefault="007D2463" w:rsidP="007D2463">
            <w:pPr>
              <w:tabs>
                <w:tab w:val="decimal" w:pos="360"/>
              </w:tabs>
              <w:jc w:val="center"/>
              <w:rPr>
                <w:color w:val="auto"/>
                <w:sz w:val="20"/>
                <w:szCs w:val="20"/>
              </w:rPr>
            </w:pPr>
          </w:p>
        </w:tc>
        <w:tc>
          <w:tcPr>
            <w:tcW w:w="532" w:type="pct"/>
            <w:vAlign w:val="center"/>
          </w:tcPr>
          <w:p w14:paraId="3CC8D341" w14:textId="77777777" w:rsidR="007D2463" w:rsidRPr="007D2463" w:rsidRDefault="007D2463" w:rsidP="007D2463">
            <w:pPr>
              <w:tabs>
                <w:tab w:val="decimal" w:pos="360"/>
              </w:tabs>
              <w:jc w:val="center"/>
              <w:rPr>
                <w:color w:val="auto"/>
                <w:sz w:val="20"/>
                <w:szCs w:val="20"/>
              </w:rPr>
            </w:pPr>
          </w:p>
        </w:tc>
        <w:tc>
          <w:tcPr>
            <w:tcW w:w="704" w:type="pct"/>
            <w:vAlign w:val="center"/>
          </w:tcPr>
          <w:p w14:paraId="7F5D3622" w14:textId="77777777" w:rsidR="007D2463" w:rsidRPr="007D2463" w:rsidRDefault="007D2463" w:rsidP="007D2463">
            <w:pPr>
              <w:tabs>
                <w:tab w:val="decimal" w:pos="360"/>
              </w:tabs>
              <w:jc w:val="center"/>
              <w:rPr>
                <w:color w:val="auto"/>
                <w:sz w:val="20"/>
                <w:szCs w:val="20"/>
              </w:rPr>
            </w:pPr>
          </w:p>
        </w:tc>
        <w:tc>
          <w:tcPr>
            <w:tcW w:w="578" w:type="pct"/>
            <w:vAlign w:val="center"/>
          </w:tcPr>
          <w:p w14:paraId="35F2A82B" w14:textId="77777777" w:rsidR="007D2463" w:rsidRPr="007D2463" w:rsidRDefault="007D2463" w:rsidP="007D2463">
            <w:pPr>
              <w:tabs>
                <w:tab w:val="decimal" w:pos="360"/>
              </w:tabs>
              <w:jc w:val="center"/>
              <w:rPr>
                <w:color w:val="auto"/>
                <w:sz w:val="20"/>
                <w:szCs w:val="20"/>
              </w:rPr>
            </w:pPr>
          </w:p>
        </w:tc>
      </w:tr>
      <w:tr w:rsidR="007D2463" w:rsidRPr="007D2463" w14:paraId="5478B778" w14:textId="77777777" w:rsidTr="007D2463">
        <w:trPr>
          <w:cnfStyle w:val="010000000000" w:firstRow="0" w:lastRow="1" w:firstColumn="0" w:lastColumn="0" w:oddVBand="0" w:evenVBand="0" w:oddHBand="0" w:evenHBand="0" w:firstRowFirstColumn="0" w:firstRowLastColumn="0" w:lastRowFirstColumn="0" w:lastRowLastColumn="0"/>
          <w:trHeight w:val="234"/>
        </w:trPr>
        <w:tc>
          <w:tcPr>
            <w:tcW w:w="1858" w:type="pct"/>
          </w:tcPr>
          <w:p w14:paraId="27522D3B" w14:textId="77777777" w:rsidR="007D2463" w:rsidRPr="007D2463" w:rsidRDefault="007D2463" w:rsidP="007D2463">
            <w:pPr>
              <w:tabs>
                <w:tab w:val="decimal" w:pos="360"/>
              </w:tabs>
              <w:rPr>
                <w:color w:val="auto"/>
                <w:sz w:val="20"/>
                <w:szCs w:val="20"/>
              </w:rPr>
            </w:pPr>
          </w:p>
        </w:tc>
        <w:tc>
          <w:tcPr>
            <w:tcW w:w="704" w:type="pct"/>
          </w:tcPr>
          <w:p w14:paraId="169DFF56" w14:textId="77777777" w:rsidR="007D2463" w:rsidRPr="007D2463" w:rsidRDefault="007D2463" w:rsidP="007D2463">
            <w:pPr>
              <w:tabs>
                <w:tab w:val="decimal" w:pos="360"/>
              </w:tabs>
              <w:rPr>
                <w:color w:val="auto"/>
                <w:sz w:val="20"/>
                <w:szCs w:val="20"/>
              </w:rPr>
            </w:pPr>
          </w:p>
        </w:tc>
        <w:tc>
          <w:tcPr>
            <w:tcW w:w="624" w:type="pct"/>
          </w:tcPr>
          <w:p w14:paraId="465943FC" w14:textId="77777777" w:rsidR="007D2463" w:rsidRPr="007D2463" w:rsidRDefault="007D2463" w:rsidP="007D2463">
            <w:pPr>
              <w:tabs>
                <w:tab w:val="decimal" w:pos="360"/>
              </w:tabs>
              <w:rPr>
                <w:color w:val="auto"/>
                <w:sz w:val="20"/>
                <w:szCs w:val="20"/>
              </w:rPr>
            </w:pPr>
          </w:p>
        </w:tc>
        <w:tc>
          <w:tcPr>
            <w:tcW w:w="532" w:type="pct"/>
          </w:tcPr>
          <w:p w14:paraId="6991E7CC" w14:textId="77777777" w:rsidR="007D2463" w:rsidRPr="007D2463" w:rsidRDefault="007D2463" w:rsidP="007D2463">
            <w:pPr>
              <w:tabs>
                <w:tab w:val="decimal" w:pos="360"/>
              </w:tabs>
              <w:rPr>
                <w:color w:val="auto"/>
                <w:sz w:val="20"/>
                <w:szCs w:val="20"/>
              </w:rPr>
            </w:pPr>
          </w:p>
        </w:tc>
        <w:tc>
          <w:tcPr>
            <w:tcW w:w="704" w:type="pct"/>
          </w:tcPr>
          <w:p w14:paraId="1D76615E" w14:textId="77777777" w:rsidR="007D2463" w:rsidRPr="007D2463" w:rsidRDefault="007D2463" w:rsidP="007D2463">
            <w:pPr>
              <w:tabs>
                <w:tab w:val="decimal" w:pos="360"/>
              </w:tabs>
              <w:rPr>
                <w:color w:val="auto"/>
                <w:sz w:val="20"/>
                <w:szCs w:val="20"/>
              </w:rPr>
            </w:pPr>
          </w:p>
        </w:tc>
        <w:tc>
          <w:tcPr>
            <w:tcW w:w="578" w:type="pct"/>
          </w:tcPr>
          <w:p w14:paraId="618207F9" w14:textId="77777777" w:rsidR="007D2463" w:rsidRPr="007D2463" w:rsidRDefault="007D2463" w:rsidP="007D2463">
            <w:pPr>
              <w:tabs>
                <w:tab w:val="decimal" w:pos="360"/>
              </w:tabs>
              <w:rPr>
                <w:color w:val="auto"/>
                <w:sz w:val="20"/>
                <w:szCs w:val="20"/>
              </w:rPr>
            </w:pPr>
          </w:p>
        </w:tc>
      </w:tr>
    </w:tbl>
    <w:p w14:paraId="0F8C0EB1" w14:textId="6CAA8A43" w:rsidR="003E4032" w:rsidRPr="004960D1" w:rsidRDefault="003E4032" w:rsidP="003E4032">
      <w:pPr>
        <w:pStyle w:val="Textodenotaderodap"/>
        <w:rPr>
          <w:rFonts w:ascii="Times New Roman" w:hAnsi="Times New Roman" w:cs="Times New Roman"/>
        </w:rPr>
      </w:pPr>
      <w:r w:rsidRPr="004960D1">
        <w:rPr>
          <w:rStyle w:val="nfaseSutil"/>
          <w:rFonts w:ascii="Times New Roman" w:hAnsi="Times New Roman" w:cs="Times New Roman"/>
          <w:i w:val="0"/>
          <w:iCs w:val="0"/>
          <w:color w:val="auto"/>
        </w:rPr>
        <w:t>Fonte:</w:t>
      </w:r>
      <w:r w:rsidRPr="004960D1">
        <w:rPr>
          <w:rFonts w:ascii="Times New Roman" w:hAnsi="Times New Roman" w:cs="Times New Roman"/>
        </w:rPr>
        <w:t xml:space="preserve"> </w:t>
      </w:r>
      <w:r>
        <w:rPr>
          <w:rFonts w:ascii="Times New Roman" w:hAnsi="Times New Roman" w:cs="Times New Roman"/>
        </w:rPr>
        <w:t>Dados da Pesquisa</w:t>
      </w:r>
      <w:r w:rsidRPr="004960D1">
        <w:rPr>
          <w:rFonts w:ascii="Times New Roman" w:hAnsi="Times New Roman" w:cs="Times New Roman"/>
        </w:rPr>
        <w:t>, 2020.</w:t>
      </w:r>
    </w:p>
    <w:p w14:paraId="67C06CD1" w14:textId="77777777" w:rsidR="00DF4F5C" w:rsidRPr="006178E5" w:rsidRDefault="00DF4F5C" w:rsidP="003B7373">
      <w:pPr>
        <w:spacing w:line="360" w:lineRule="auto"/>
        <w:ind w:firstLine="709"/>
        <w:jc w:val="both"/>
      </w:pPr>
    </w:p>
    <w:p w14:paraId="71C9361D" w14:textId="1FC03D44" w:rsidR="00B8336B" w:rsidRDefault="00A86033" w:rsidP="00B8336B">
      <w:pPr>
        <w:spacing w:line="360" w:lineRule="auto"/>
        <w:ind w:firstLine="709"/>
        <w:jc w:val="both"/>
      </w:pPr>
      <w:r>
        <w:t>A primeira assertiva alcançou totalidade entre as opiniões dos respondentes e versa sobre a essencialidade da disciplina “Educação em Espaços Não Formais” no âmbito do curso</w:t>
      </w:r>
      <w:r w:rsidR="00F7711F">
        <w:t xml:space="preserve"> de Pedagogia. Sobre isso, retomamos o conteúdo expresso nas Diretrizes Curriculares Nacionais </w:t>
      </w:r>
      <w:r w:rsidR="000D63DA">
        <w:t xml:space="preserve">(DCN) </w:t>
      </w:r>
      <w:r w:rsidR="00F7711F">
        <w:t xml:space="preserve">do </w:t>
      </w:r>
      <w:r w:rsidR="001C5492">
        <w:t xml:space="preserve">curso supracitado em que </w:t>
      </w:r>
      <w:r w:rsidR="0088683D">
        <w:t>trata</w:t>
      </w:r>
      <w:r w:rsidR="00780169">
        <w:t xml:space="preserve"> </w:t>
      </w:r>
      <w:r w:rsidR="00F67F9D">
        <w:t xml:space="preserve">a atuação do pedagogo em ambientes escolares e não-escolares </w:t>
      </w:r>
      <w:r w:rsidR="0088683D">
        <w:t>como uma</w:t>
      </w:r>
      <w:r w:rsidR="001C5492">
        <w:t xml:space="preserve"> competência </w:t>
      </w:r>
      <w:r w:rsidR="000D63DA">
        <w:t>profissional</w:t>
      </w:r>
      <w:r w:rsidR="00F67F9D">
        <w:t>.</w:t>
      </w:r>
    </w:p>
    <w:p w14:paraId="735C8D8B" w14:textId="4D219F70" w:rsidR="001C5492" w:rsidRDefault="001C5492" w:rsidP="00B8336B">
      <w:pPr>
        <w:spacing w:line="360" w:lineRule="auto"/>
        <w:ind w:firstLine="709"/>
        <w:jc w:val="both"/>
      </w:pPr>
      <w:r>
        <w:t xml:space="preserve">O trabalho pedagógico para além da sala de aula é uma prática </w:t>
      </w:r>
      <w:r w:rsidR="00894DED">
        <w:t>que traz novas aprendizagens</w:t>
      </w:r>
      <w:r w:rsidR="00306D7F">
        <w:t xml:space="preserve">, </w:t>
      </w:r>
      <w:r w:rsidR="00E45E0E">
        <w:t>g</w:t>
      </w:r>
      <w:r w:rsidR="00306D7F">
        <w:t>era</w:t>
      </w:r>
      <w:r w:rsidR="00E45E0E">
        <w:t>ndo</w:t>
      </w:r>
      <w:r w:rsidR="00306D7F">
        <w:t xml:space="preserve"> ganhos cognitivos ao propor relações </w:t>
      </w:r>
      <w:r w:rsidR="00F770E1">
        <w:t xml:space="preserve">significativas </w:t>
      </w:r>
      <w:r w:rsidR="00B832CA">
        <w:t xml:space="preserve">entre os conteúdos curriculares e a vida cotidiana. </w:t>
      </w:r>
      <w:r w:rsidR="00F15131">
        <w:t>A disciplina foi incl</w:t>
      </w:r>
      <w:r w:rsidR="00237FF0">
        <w:t>uí</w:t>
      </w:r>
      <w:r w:rsidR="00F15131">
        <w:t xml:space="preserve">da no ano de 2018 na matriz curricular do </w:t>
      </w:r>
      <w:r w:rsidR="00F15131">
        <w:lastRenderedPageBreak/>
        <w:t>curso, sendo ofertada pela primeira vez no primeiro semestre de 2019</w:t>
      </w:r>
      <w:r w:rsidR="00237FF0">
        <w:t xml:space="preserve"> </w:t>
      </w:r>
      <w:r w:rsidR="00310C73">
        <w:t>com</w:t>
      </w:r>
      <w:r w:rsidR="00237FF0">
        <w:t xml:space="preserve"> a carga horária de 40 horas/aula.</w:t>
      </w:r>
    </w:p>
    <w:p w14:paraId="3F8A0C3A" w14:textId="67071DCF" w:rsidR="008D58E1" w:rsidRDefault="003726A1" w:rsidP="00B8336B">
      <w:pPr>
        <w:spacing w:line="360" w:lineRule="auto"/>
        <w:ind w:firstLine="709"/>
        <w:jc w:val="both"/>
      </w:pPr>
      <w:r>
        <w:t>A</w:t>
      </w:r>
      <w:r w:rsidR="0031321E">
        <w:t xml:space="preserve"> </w:t>
      </w:r>
      <w:r>
        <w:t xml:space="preserve">inserção da </w:t>
      </w:r>
      <w:r w:rsidR="0031321E">
        <w:t>disciplina de Espaços Não Formais</w:t>
      </w:r>
      <w:r w:rsidR="00DE3192">
        <w:t xml:space="preserve"> no currículo do pedagogo</w:t>
      </w:r>
      <w:r w:rsidR="004563E1">
        <w:t xml:space="preserve"> </w:t>
      </w:r>
      <w:r w:rsidR="007C796A">
        <w:t>viabiliza</w:t>
      </w:r>
      <w:r w:rsidR="001D356A">
        <w:t xml:space="preserve"> </w:t>
      </w:r>
      <w:r w:rsidR="00A10DD6">
        <w:t xml:space="preserve">o trabalho transversal e interdisciplinar, </w:t>
      </w:r>
      <w:r w:rsidR="00D874F7">
        <w:t xml:space="preserve">pois </w:t>
      </w:r>
      <w:r w:rsidR="00A10DD6">
        <w:t xml:space="preserve">conecta </w:t>
      </w:r>
      <w:r w:rsidR="00FC0A26">
        <w:t xml:space="preserve">conteúdos disciplinares </w:t>
      </w:r>
      <w:r w:rsidR="00AB6886">
        <w:t>às relações subjetivas vivenciadas por cada indivíduo nesses ambientes.</w:t>
      </w:r>
    </w:p>
    <w:p w14:paraId="75F74733" w14:textId="262D1065" w:rsidR="003726A1" w:rsidRDefault="00B1277A" w:rsidP="00B8336B">
      <w:pPr>
        <w:spacing w:line="360" w:lineRule="auto"/>
        <w:ind w:firstLine="709"/>
        <w:jc w:val="both"/>
      </w:pPr>
      <w:r>
        <w:t>Sobre a adesão da disciplina nos cursos de formação de professores, Negrão e Morhy (2019, p.</w:t>
      </w:r>
      <w:r w:rsidR="00BA19AF">
        <w:t xml:space="preserve"> 246</w:t>
      </w:r>
      <w:r>
        <w:t>) afirmam que:</w:t>
      </w:r>
    </w:p>
    <w:p w14:paraId="3323F0F5" w14:textId="77777777" w:rsidR="008A1C9C" w:rsidRDefault="008A1C9C" w:rsidP="008A1C9C">
      <w:pPr>
        <w:ind w:left="2268"/>
        <w:jc w:val="both"/>
        <w:rPr>
          <w:sz w:val="20"/>
          <w:szCs w:val="20"/>
        </w:rPr>
      </w:pPr>
    </w:p>
    <w:p w14:paraId="1FB618B1" w14:textId="2FB0F994" w:rsidR="00B1277A" w:rsidRPr="008A1C9C" w:rsidRDefault="008A1C9C" w:rsidP="008A1C9C">
      <w:pPr>
        <w:ind w:left="2268"/>
        <w:jc w:val="both"/>
        <w:rPr>
          <w:sz w:val="20"/>
          <w:szCs w:val="20"/>
        </w:rPr>
      </w:pPr>
      <w:r w:rsidRPr="008A1C9C">
        <w:rPr>
          <w:sz w:val="20"/>
          <w:szCs w:val="20"/>
        </w:rPr>
        <w:t xml:space="preserve">A formação do pedagogo, principalmente no setor privado, é carente de discussões científicas acerca do uso de espaços não formais. Esse comportamento acentua a dificuldade que os acadêmicos encontram para reconhecer as potencialidades dos espaços externos à sala de aula. É fundamental entender que esses ambientes propiciam o desenvolvimento de competências e habilidades do docente e do aluno, pois enriquecem as descobertas, possibilitam a investigação e são verdadeiros laboratórios-vivos. </w:t>
      </w:r>
    </w:p>
    <w:p w14:paraId="39888BF1" w14:textId="466D5F50" w:rsidR="00191A71" w:rsidRDefault="00191A71" w:rsidP="00B8336B">
      <w:pPr>
        <w:spacing w:line="360" w:lineRule="auto"/>
        <w:ind w:firstLine="709"/>
        <w:jc w:val="both"/>
      </w:pPr>
    </w:p>
    <w:p w14:paraId="709660D7" w14:textId="306A302E" w:rsidR="00EC3FFA" w:rsidRDefault="00F501AE" w:rsidP="00EC3FFA">
      <w:pPr>
        <w:spacing w:line="360" w:lineRule="auto"/>
        <w:ind w:firstLine="709"/>
        <w:jc w:val="both"/>
      </w:pPr>
      <w:r>
        <w:t xml:space="preserve">A experiência na condução da disciplina oportunizou discussões </w:t>
      </w:r>
      <w:r w:rsidR="00724672">
        <w:t xml:space="preserve">sobre o conceito de espaço formal e não formal, enfatizando o papel do pedagogo </w:t>
      </w:r>
      <w:r w:rsidR="00DB0780">
        <w:t>n</w:t>
      </w:r>
      <w:r w:rsidR="00DF0EAB">
        <w:t>a condução de um</w:t>
      </w:r>
      <w:r w:rsidR="00C95DA5">
        <w:t>a</w:t>
      </w:r>
      <w:r w:rsidR="00DF0EAB">
        <w:t xml:space="preserve"> aprendizagem significativa</w:t>
      </w:r>
      <w:r w:rsidR="002D4FFD">
        <w:t xml:space="preserve"> em ambientes não escolares</w:t>
      </w:r>
      <w:r w:rsidR="00DF0EAB">
        <w:t xml:space="preserve">. </w:t>
      </w:r>
      <w:r w:rsidR="00F968AF">
        <w:t>A</w:t>
      </w:r>
      <w:r w:rsidR="006E3ECA">
        <w:t xml:space="preserve"> disciplina também apresentou </w:t>
      </w:r>
      <w:r w:rsidR="00DF0EAB">
        <w:t xml:space="preserve">formas de trabalho </w:t>
      </w:r>
      <w:r w:rsidR="009443A5">
        <w:t>vinculadas</w:t>
      </w:r>
      <w:r w:rsidR="006E3ECA">
        <w:t xml:space="preserve"> a</w:t>
      </w:r>
      <w:r w:rsidR="00DF0EAB">
        <w:t xml:space="preserve"> </w:t>
      </w:r>
      <w:r w:rsidR="00142276">
        <w:t xml:space="preserve">todos </w:t>
      </w:r>
      <w:r w:rsidR="00DF0EAB">
        <w:t>os componentes curriculares da Educação Básica</w:t>
      </w:r>
      <w:r w:rsidR="006E3ECA">
        <w:t xml:space="preserve">, </w:t>
      </w:r>
      <w:r w:rsidR="009443A5">
        <w:t>visto que</w:t>
      </w:r>
      <w:r w:rsidR="00CD569E">
        <w:t xml:space="preserve"> </w:t>
      </w:r>
      <w:r w:rsidR="009443A5">
        <w:t>há</w:t>
      </w:r>
      <w:r w:rsidR="00CD569E">
        <w:t xml:space="preserve"> </w:t>
      </w:r>
      <w:r w:rsidR="00C52A78">
        <w:t xml:space="preserve">muitos estudos que </w:t>
      </w:r>
      <w:r w:rsidR="00DD0408">
        <w:t>v</w:t>
      </w:r>
      <w:r w:rsidR="00C52A78">
        <w:t>i</w:t>
      </w:r>
      <w:r w:rsidR="00DD0408">
        <w:t>ncul</w:t>
      </w:r>
      <w:r w:rsidR="00C52A78">
        <w:t>am essa prática somente</w:t>
      </w:r>
      <w:r w:rsidR="00CD569E">
        <w:t xml:space="preserve"> ao ensino de ciências</w:t>
      </w:r>
      <w:r w:rsidR="00C52A78">
        <w:t>.</w:t>
      </w:r>
    </w:p>
    <w:p w14:paraId="566E7D79" w14:textId="5C226327" w:rsidR="00142276" w:rsidRDefault="00142276" w:rsidP="00EC3FFA">
      <w:pPr>
        <w:spacing w:line="360" w:lineRule="auto"/>
        <w:ind w:firstLine="709"/>
        <w:jc w:val="both"/>
      </w:pPr>
      <w:r>
        <w:t xml:space="preserve">O uso de espaços não formais </w:t>
      </w:r>
      <w:r w:rsidR="00A15EB8">
        <w:t xml:space="preserve">no ensino de outras disciplinas além de ciências é </w:t>
      </w:r>
      <w:r w:rsidR="002E4516">
        <w:t>alvo de nosso estudos nos último</w:t>
      </w:r>
      <w:r w:rsidR="005332E3">
        <w:t>s</w:t>
      </w:r>
      <w:r w:rsidR="002E4516">
        <w:t xml:space="preserve"> anos, dado que reiteramos a viabilidade do docente planejar e executar aulas práticas</w:t>
      </w:r>
      <w:r w:rsidR="005332E3">
        <w:t xml:space="preserve"> sobre conteúdos de </w:t>
      </w:r>
      <w:r w:rsidR="00307FB6" w:rsidRPr="00307FB6">
        <w:t>matemática (NEGRÃO; MORHY; AMORIM NETO; FACHÍN-TERÁN, 2016), educação física (NEGRÃO; RAMOS; SOUZA, 2016),  geografia (NEGRÃO; REIS, 2017) e língua portuguesa (NEGRÃO, 2018).</w:t>
      </w:r>
      <w:r w:rsidR="0043284E">
        <w:t xml:space="preserve"> Nesse sentido, nossas pesquisas ancoram-se na l</w:t>
      </w:r>
      <w:r w:rsidR="00C21ADD">
        <w:t xml:space="preserve">iteratura sobre espaços não formais, mas sobretudo no mapeamento de bosques, parques, museus e centros de ciência da cidade de Manaus que abrigam potenciais pedagógicos para um ensino </w:t>
      </w:r>
      <w:r w:rsidR="00D70C7F">
        <w:t>holístico e mais próximo a realidade do educando.</w:t>
      </w:r>
    </w:p>
    <w:p w14:paraId="2E42C435" w14:textId="33743E33" w:rsidR="00F955CA" w:rsidRDefault="002E7FAA" w:rsidP="00EC3FFA">
      <w:pPr>
        <w:spacing w:line="360" w:lineRule="auto"/>
        <w:ind w:firstLine="709"/>
        <w:jc w:val="both"/>
        <w:rPr>
          <w:lang w:val="pt-BR"/>
        </w:rPr>
      </w:pPr>
      <w:r>
        <w:rPr>
          <w:lang w:val="pt-BR"/>
        </w:rPr>
        <w:t>O alto índice de opiniões concordantes reflete na organização didático-pedagógica da disciplina que permitiu a visita a muitos espaços não formais</w:t>
      </w:r>
      <w:r w:rsidR="00BA78B8">
        <w:rPr>
          <w:lang w:val="pt-BR"/>
        </w:rPr>
        <w:t xml:space="preserve"> locais</w:t>
      </w:r>
      <w:r>
        <w:rPr>
          <w:lang w:val="pt-BR"/>
        </w:rPr>
        <w:t xml:space="preserve"> </w:t>
      </w:r>
      <w:r w:rsidR="005F6BE1">
        <w:rPr>
          <w:lang w:val="pt-BR"/>
        </w:rPr>
        <w:t xml:space="preserve">com o objetivo de traçar um planejamento de aulas diversas, </w:t>
      </w:r>
      <w:r w:rsidR="00DE150F">
        <w:rPr>
          <w:lang w:val="pt-BR"/>
        </w:rPr>
        <w:t>oportunizando que o pedagogo transcenda suas concepções de ensino, metodologias e avaliação.</w:t>
      </w:r>
    </w:p>
    <w:p w14:paraId="616AA06C" w14:textId="77777777" w:rsidR="007549E0" w:rsidRDefault="007549E0" w:rsidP="007549E0">
      <w:pPr>
        <w:pStyle w:val="Default"/>
      </w:pPr>
    </w:p>
    <w:p w14:paraId="52992819" w14:textId="1C63314F" w:rsidR="007549E0" w:rsidRPr="007549E0" w:rsidRDefault="007549E0" w:rsidP="007549E0">
      <w:pPr>
        <w:ind w:left="2268"/>
        <w:jc w:val="both"/>
        <w:rPr>
          <w:sz w:val="20"/>
          <w:szCs w:val="20"/>
        </w:rPr>
      </w:pPr>
      <w:r w:rsidRPr="007549E0">
        <w:rPr>
          <w:sz w:val="20"/>
          <w:szCs w:val="20"/>
        </w:rPr>
        <w:t xml:space="preserve">Além do mapeamento de possibilidades pedagógicas, os estudantes apresentaram pontos positivos e negativos do ambiente, a fim de gerar discussão em sala de aula, munidos de argumentos compatíveis à crítica. Essa ação permite que o educador em </w:t>
      </w:r>
      <w:r w:rsidRPr="007549E0">
        <w:rPr>
          <w:sz w:val="20"/>
          <w:szCs w:val="20"/>
        </w:rPr>
        <w:lastRenderedPageBreak/>
        <w:t>formação se preocupe com a escolha do espaço não formal em que pretende desenvolver uma aula prática, tendo em vista todas as especificidades daquele ambiente, que incluem aspectos vinculados à infraestrutura, acessibilidade, preço, ausência ou presença de guias/monitores, dentre outros</w:t>
      </w:r>
      <w:r w:rsidR="00010A8D">
        <w:rPr>
          <w:sz w:val="20"/>
          <w:szCs w:val="20"/>
        </w:rPr>
        <w:t xml:space="preserve"> (NEGRÃO; MORHY, </w:t>
      </w:r>
      <w:r w:rsidR="00757087">
        <w:rPr>
          <w:sz w:val="20"/>
          <w:szCs w:val="20"/>
        </w:rPr>
        <w:t>2019, p. 250)</w:t>
      </w:r>
      <w:r w:rsidRPr="007549E0">
        <w:rPr>
          <w:sz w:val="20"/>
          <w:szCs w:val="20"/>
        </w:rPr>
        <w:t xml:space="preserve">. </w:t>
      </w:r>
    </w:p>
    <w:p w14:paraId="2874FEEE" w14:textId="77777777" w:rsidR="007549E0" w:rsidRPr="00757087" w:rsidRDefault="007549E0" w:rsidP="00EC3FFA">
      <w:pPr>
        <w:spacing w:line="360" w:lineRule="auto"/>
        <w:ind w:firstLine="709"/>
        <w:jc w:val="both"/>
      </w:pPr>
    </w:p>
    <w:p w14:paraId="313E43E4" w14:textId="7611B861" w:rsidR="00D209BC" w:rsidRDefault="008048BD" w:rsidP="00EC3FFA">
      <w:pPr>
        <w:spacing w:line="360" w:lineRule="auto"/>
        <w:ind w:firstLine="709"/>
        <w:jc w:val="both"/>
        <w:rPr>
          <w:sz w:val="23"/>
          <w:szCs w:val="23"/>
        </w:rPr>
      </w:pPr>
      <w:r>
        <w:t>A visita a esses espaços para fins de planejamento</w:t>
      </w:r>
      <w:r w:rsidR="00D209BC">
        <w:t xml:space="preserve"> pedagógico</w:t>
      </w:r>
      <w:r>
        <w:t xml:space="preserve"> desperta </w:t>
      </w:r>
      <w:r w:rsidR="00BF3544">
        <w:t xml:space="preserve">o sentimento de pertença </w:t>
      </w:r>
      <w:r>
        <w:t>no futuro professor</w:t>
      </w:r>
      <w:r w:rsidR="00BF3544">
        <w:t xml:space="preserve">, </w:t>
      </w:r>
      <w:r w:rsidR="00D209BC">
        <w:t>propicia</w:t>
      </w:r>
      <w:r w:rsidR="009442F9">
        <w:t>ndo também o seu</w:t>
      </w:r>
      <w:r w:rsidR="00D209BC">
        <w:t xml:space="preserve"> enriquecimento do capital cultural</w:t>
      </w:r>
      <w:r w:rsidR="009442F9">
        <w:t>,</w:t>
      </w:r>
      <w:r w:rsidR="00D209BC">
        <w:t xml:space="preserve"> visto que muitos nunca tinham ido a esses lugares</w:t>
      </w:r>
      <w:r w:rsidR="004E17F8">
        <w:t>, reforçando que “o</w:t>
      </w:r>
      <w:r w:rsidR="004E17F8">
        <w:rPr>
          <w:sz w:val="23"/>
          <w:szCs w:val="23"/>
        </w:rPr>
        <w:t xml:space="preserve"> reconhecimento dos potenciais pedagógicos em espaços fora da sala de aula é o primeiro passo para o desenvolvimento de práticas pedagógicas diferenciadas</w:t>
      </w:r>
      <w:r w:rsidR="0057381D">
        <w:rPr>
          <w:sz w:val="23"/>
          <w:szCs w:val="23"/>
        </w:rPr>
        <w:t>” (NEGRÃO e MORHY, 2019, p. 252).</w:t>
      </w:r>
    </w:p>
    <w:p w14:paraId="20DB5D66" w14:textId="42D67452" w:rsidR="009442F9" w:rsidRDefault="004C7C6F" w:rsidP="00EC3FFA">
      <w:pPr>
        <w:spacing w:line="360" w:lineRule="auto"/>
        <w:ind w:firstLine="709"/>
        <w:jc w:val="both"/>
        <w:rPr>
          <w:sz w:val="23"/>
          <w:szCs w:val="23"/>
        </w:rPr>
      </w:pPr>
      <w:r>
        <w:rPr>
          <w:sz w:val="23"/>
          <w:szCs w:val="23"/>
        </w:rPr>
        <w:t>A terceira assertiva versa sobre a capacidade de planejar e desenvolver sequências didáticas em espaços não formais</w:t>
      </w:r>
      <w:r w:rsidR="003F53A4">
        <w:rPr>
          <w:sz w:val="23"/>
          <w:szCs w:val="23"/>
        </w:rPr>
        <w:t>, de modo que os respondentes manteram um bom índice de concordâncias, embora</w:t>
      </w:r>
      <w:r w:rsidR="00AE4928">
        <w:rPr>
          <w:sz w:val="23"/>
          <w:szCs w:val="23"/>
        </w:rPr>
        <w:t xml:space="preserve"> os resultados estejam equilibrados entre as duas opções.</w:t>
      </w:r>
    </w:p>
    <w:p w14:paraId="008CEA03" w14:textId="7C0658EB" w:rsidR="00D61F47" w:rsidRDefault="00D61F47" w:rsidP="002B197A">
      <w:pPr>
        <w:spacing w:line="360" w:lineRule="auto"/>
        <w:ind w:firstLine="709"/>
        <w:jc w:val="both"/>
        <w:rPr>
          <w:sz w:val="23"/>
          <w:szCs w:val="23"/>
        </w:rPr>
      </w:pPr>
      <w:r>
        <w:rPr>
          <w:sz w:val="23"/>
          <w:szCs w:val="23"/>
        </w:rPr>
        <w:t>As se</w:t>
      </w:r>
      <w:r w:rsidR="002B197A">
        <w:rPr>
          <w:sz w:val="23"/>
          <w:szCs w:val="23"/>
        </w:rPr>
        <w:t>quências didáticas são ações</w:t>
      </w:r>
      <w:r w:rsidR="00D4373D">
        <w:rPr>
          <w:sz w:val="23"/>
          <w:szCs w:val="23"/>
        </w:rPr>
        <w:t xml:space="preserve"> intencionais, organizadas</w:t>
      </w:r>
      <w:r w:rsidR="002B197A">
        <w:rPr>
          <w:sz w:val="23"/>
          <w:szCs w:val="23"/>
        </w:rPr>
        <w:t xml:space="preserve"> </w:t>
      </w:r>
      <w:r w:rsidR="00D4373D">
        <w:rPr>
          <w:sz w:val="23"/>
          <w:szCs w:val="23"/>
        </w:rPr>
        <w:t xml:space="preserve">e </w:t>
      </w:r>
      <w:r w:rsidR="002B197A">
        <w:rPr>
          <w:sz w:val="23"/>
          <w:szCs w:val="23"/>
        </w:rPr>
        <w:t xml:space="preserve">elaboradas pelo professor </w:t>
      </w:r>
      <w:r w:rsidR="00D4373D">
        <w:rPr>
          <w:sz w:val="23"/>
          <w:szCs w:val="23"/>
        </w:rPr>
        <w:t>com o objetivo de reforçar, explorar e dinamizar os conhecimentos de seus alunos dentro e/ou fora da sala de aula</w:t>
      </w:r>
      <w:r w:rsidR="002B197A">
        <w:rPr>
          <w:sz w:val="23"/>
          <w:szCs w:val="23"/>
        </w:rPr>
        <w:t xml:space="preserve"> </w:t>
      </w:r>
      <w:r w:rsidR="00D4373D">
        <w:rPr>
          <w:sz w:val="23"/>
          <w:szCs w:val="23"/>
        </w:rPr>
        <w:t xml:space="preserve">(NEGRÃO, 2018). No contexto da disciplina, propusemos que os acadêmicos </w:t>
      </w:r>
      <w:r w:rsidR="000D04BD">
        <w:rPr>
          <w:sz w:val="23"/>
          <w:szCs w:val="23"/>
        </w:rPr>
        <w:t xml:space="preserve">montassem uma sequência didática </w:t>
      </w:r>
      <w:r w:rsidR="008545DC">
        <w:rPr>
          <w:sz w:val="23"/>
          <w:szCs w:val="23"/>
        </w:rPr>
        <w:t>que atendesse a uma disciplina</w:t>
      </w:r>
      <w:r w:rsidR="00AA6ABE">
        <w:rPr>
          <w:sz w:val="23"/>
          <w:szCs w:val="23"/>
        </w:rPr>
        <w:t xml:space="preserve"> específica</w:t>
      </w:r>
      <w:r w:rsidR="008545DC">
        <w:rPr>
          <w:sz w:val="23"/>
          <w:szCs w:val="23"/>
        </w:rPr>
        <w:t xml:space="preserve"> em um espaço não formal. O desafio dos estudantes era buscar potencialidades e conteúdos que pudessem ser efetivados n</w:t>
      </w:r>
      <w:r w:rsidR="009E4D79">
        <w:rPr>
          <w:sz w:val="23"/>
          <w:szCs w:val="23"/>
        </w:rPr>
        <w:t>aquele ambiente a fim de propor uma aprendizagem significativa.</w:t>
      </w:r>
      <w:r>
        <w:rPr>
          <w:sz w:val="23"/>
          <w:szCs w:val="23"/>
        </w:rPr>
        <w:t xml:space="preserve"> </w:t>
      </w:r>
    </w:p>
    <w:p w14:paraId="1969BD87" w14:textId="77777777" w:rsidR="00602281" w:rsidRPr="00D61F47" w:rsidRDefault="00602281" w:rsidP="00EC3FFA">
      <w:pPr>
        <w:spacing w:line="360" w:lineRule="auto"/>
        <w:ind w:firstLine="709"/>
        <w:jc w:val="both"/>
        <w:rPr>
          <w:sz w:val="23"/>
          <w:szCs w:val="23"/>
          <w:lang w:val="pt-BR"/>
        </w:rPr>
      </w:pPr>
    </w:p>
    <w:p w14:paraId="086B458F" w14:textId="14687CB5" w:rsidR="006445F4" w:rsidRPr="00AA6ABE" w:rsidRDefault="00AA6ABE" w:rsidP="00AA6ABE">
      <w:pPr>
        <w:ind w:left="2268"/>
        <w:jc w:val="both"/>
        <w:rPr>
          <w:sz w:val="20"/>
          <w:szCs w:val="20"/>
        </w:rPr>
      </w:pPr>
      <w:r w:rsidRPr="00AA6ABE">
        <w:rPr>
          <w:sz w:val="20"/>
          <w:szCs w:val="20"/>
        </w:rPr>
        <w:t>As sequências didáticas são ótimas opções para avaliar o conhecimento didático-pedagógico do aluno de pedagogia, tendo em vista que a função docente exige o planejamento dos mais diversos tipos de aula, seja através de planos, projetos ou sequências didáticas. Logo, é importante que durante o curso de formação os alunos sejam preparados para a produção desse tipo de atividade</w:t>
      </w:r>
      <w:r w:rsidR="002C076D">
        <w:rPr>
          <w:sz w:val="20"/>
          <w:szCs w:val="20"/>
        </w:rPr>
        <w:t xml:space="preserve"> (NEGRÃO e MORHY, 2019, p. 255)</w:t>
      </w:r>
      <w:r w:rsidRPr="00AA6ABE">
        <w:rPr>
          <w:sz w:val="20"/>
          <w:szCs w:val="20"/>
        </w:rPr>
        <w:t>.</w:t>
      </w:r>
    </w:p>
    <w:p w14:paraId="72C4F3A8" w14:textId="77777777" w:rsidR="005E434B" w:rsidRPr="005E434B" w:rsidRDefault="005E434B" w:rsidP="00EC3FFA">
      <w:pPr>
        <w:spacing w:line="360" w:lineRule="auto"/>
        <w:ind w:firstLine="709"/>
        <w:jc w:val="both"/>
        <w:rPr>
          <w:lang w:val="pt-BR"/>
        </w:rPr>
      </w:pPr>
    </w:p>
    <w:p w14:paraId="3E533558" w14:textId="7C14A97B" w:rsidR="00826735" w:rsidRDefault="00137578" w:rsidP="00826735">
      <w:pPr>
        <w:spacing w:line="360" w:lineRule="auto"/>
        <w:ind w:firstLine="709"/>
        <w:jc w:val="both"/>
        <w:rPr>
          <w:sz w:val="23"/>
          <w:szCs w:val="23"/>
        </w:rPr>
      </w:pPr>
      <w:r>
        <w:rPr>
          <w:sz w:val="23"/>
          <w:szCs w:val="23"/>
        </w:rPr>
        <w:t xml:space="preserve">As sequências didáticas </w:t>
      </w:r>
      <w:r w:rsidR="00043567">
        <w:rPr>
          <w:sz w:val="23"/>
          <w:szCs w:val="23"/>
        </w:rPr>
        <w:t>contruídas</w:t>
      </w:r>
      <w:r>
        <w:rPr>
          <w:sz w:val="23"/>
          <w:szCs w:val="23"/>
        </w:rPr>
        <w:t xml:space="preserve"> pelos </w:t>
      </w:r>
      <w:r w:rsidR="00043567">
        <w:rPr>
          <w:sz w:val="23"/>
          <w:szCs w:val="23"/>
        </w:rPr>
        <w:t xml:space="preserve">acadêmicos </w:t>
      </w:r>
      <w:r>
        <w:rPr>
          <w:sz w:val="23"/>
          <w:szCs w:val="23"/>
        </w:rPr>
        <w:t xml:space="preserve">revelaram o despreparo para </w:t>
      </w:r>
      <w:r w:rsidR="00197E7D">
        <w:rPr>
          <w:sz w:val="23"/>
          <w:szCs w:val="23"/>
        </w:rPr>
        <w:t>o planejamento de ações sequenciais, principalmente no que se refere aos aspectos metodológicos e avaliativos. Apesar de vivenciarem situações semelhantes no decorrer d</w:t>
      </w:r>
      <w:r w:rsidR="00B278B1">
        <w:rPr>
          <w:sz w:val="23"/>
          <w:szCs w:val="23"/>
        </w:rPr>
        <w:t>o curso,</w:t>
      </w:r>
      <w:r w:rsidR="00197E7D">
        <w:rPr>
          <w:sz w:val="23"/>
          <w:szCs w:val="23"/>
        </w:rPr>
        <w:t xml:space="preserve"> </w:t>
      </w:r>
      <w:r w:rsidR="00B278B1">
        <w:rPr>
          <w:sz w:val="23"/>
          <w:szCs w:val="23"/>
        </w:rPr>
        <w:t xml:space="preserve">os participantes da pesquisa ainda carecem de </w:t>
      </w:r>
      <w:r w:rsidR="00197E7D">
        <w:rPr>
          <w:sz w:val="23"/>
          <w:szCs w:val="23"/>
        </w:rPr>
        <w:t xml:space="preserve">maturação </w:t>
      </w:r>
      <w:r w:rsidR="00B278B1">
        <w:rPr>
          <w:sz w:val="23"/>
          <w:szCs w:val="23"/>
        </w:rPr>
        <w:t xml:space="preserve">para </w:t>
      </w:r>
      <w:r w:rsidR="00B51C3A">
        <w:rPr>
          <w:sz w:val="23"/>
          <w:szCs w:val="23"/>
        </w:rPr>
        <w:t>apontar atividades e práticas que se</w:t>
      </w:r>
      <w:r w:rsidR="00C02499">
        <w:rPr>
          <w:sz w:val="23"/>
          <w:szCs w:val="23"/>
        </w:rPr>
        <w:t>jam</w:t>
      </w:r>
      <w:r w:rsidR="00B51C3A">
        <w:rPr>
          <w:sz w:val="23"/>
          <w:szCs w:val="23"/>
        </w:rPr>
        <w:t xml:space="preserve"> significativas no espaços não formal, visto que muitas propostas metodológicas </w:t>
      </w:r>
      <w:r w:rsidR="004E423A">
        <w:rPr>
          <w:sz w:val="23"/>
          <w:szCs w:val="23"/>
        </w:rPr>
        <w:t>sugeridas nos planos</w:t>
      </w:r>
      <w:r w:rsidR="00A034C5">
        <w:rPr>
          <w:sz w:val="23"/>
          <w:szCs w:val="23"/>
        </w:rPr>
        <w:t>, poderiam ser realizadas no espaço da própria escola, por exemplo.</w:t>
      </w:r>
    </w:p>
    <w:p w14:paraId="4F9D51B8" w14:textId="48EBB73C" w:rsidR="004D7F2E" w:rsidRDefault="008C651E" w:rsidP="004D7F2E">
      <w:pPr>
        <w:spacing w:line="360" w:lineRule="auto"/>
        <w:ind w:firstLine="709"/>
        <w:jc w:val="both"/>
        <w:rPr>
          <w:sz w:val="23"/>
          <w:szCs w:val="23"/>
        </w:rPr>
      </w:pPr>
      <w:r>
        <w:rPr>
          <w:sz w:val="23"/>
          <w:szCs w:val="23"/>
        </w:rPr>
        <w:t>A quarta assertiva</w:t>
      </w:r>
      <w:r w:rsidR="00744042">
        <w:rPr>
          <w:sz w:val="23"/>
          <w:szCs w:val="23"/>
        </w:rPr>
        <w:t xml:space="preserve"> referencia a presença de conhecimento científico em atividades em espaços não formais</w:t>
      </w:r>
      <w:r w:rsidR="00B30107">
        <w:rPr>
          <w:sz w:val="23"/>
          <w:szCs w:val="23"/>
        </w:rPr>
        <w:t xml:space="preserve">. </w:t>
      </w:r>
      <w:r w:rsidR="00B31264">
        <w:rPr>
          <w:sz w:val="23"/>
          <w:szCs w:val="23"/>
        </w:rPr>
        <w:t>Esse item deve ser reafirmado</w:t>
      </w:r>
      <w:r w:rsidR="00923B67">
        <w:rPr>
          <w:sz w:val="23"/>
          <w:szCs w:val="23"/>
        </w:rPr>
        <w:t xml:space="preserve"> aos alunos</w:t>
      </w:r>
      <w:r w:rsidR="00B31264">
        <w:rPr>
          <w:sz w:val="23"/>
          <w:szCs w:val="23"/>
        </w:rPr>
        <w:t xml:space="preserve">, pois as ações </w:t>
      </w:r>
      <w:r w:rsidR="008E4ABE">
        <w:rPr>
          <w:sz w:val="23"/>
          <w:szCs w:val="23"/>
        </w:rPr>
        <w:t xml:space="preserve">nesses </w:t>
      </w:r>
      <w:r w:rsidR="00E11708">
        <w:rPr>
          <w:sz w:val="23"/>
          <w:szCs w:val="23"/>
        </w:rPr>
        <w:t>lugares</w:t>
      </w:r>
      <w:r w:rsidR="008E4ABE">
        <w:rPr>
          <w:sz w:val="23"/>
          <w:szCs w:val="23"/>
        </w:rPr>
        <w:t xml:space="preserve"> </w:t>
      </w:r>
      <w:r w:rsidR="00B31264">
        <w:rPr>
          <w:sz w:val="23"/>
          <w:szCs w:val="23"/>
        </w:rPr>
        <w:t xml:space="preserve">não podem ser </w:t>
      </w:r>
      <w:r w:rsidR="00923B67">
        <w:rPr>
          <w:sz w:val="23"/>
          <w:szCs w:val="23"/>
        </w:rPr>
        <w:t xml:space="preserve">confudidas com aulas-passeio, por exemplo. A </w:t>
      </w:r>
      <w:r w:rsidR="00A651D9">
        <w:rPr>
          <w:sz w:val="23"/>
          <w:szCs w:val="23"/>
        </w:rPr>
        <w:t>intencionalidade pedadógica deve sobrepor qualquer ideia que limite os potenciais do espaço a mera visitação.</w:t>
      </w:r>
      <w:r w:rsidR="004D7F2E">
        <w:rPr>
          <w:sz w:val="23"/>
          <w:szCs w:val="23"/>
        </w:rPr>
        <w:t xml:space="preserve"> Com essa fala, não anulamos a eficiência das aulas-passeio, contudo no cenário atual em que é cada vez mais difícil </w:t>
      </w:r>
      <w:r w:rsidR="00877467">
        <w:rPr>
          <w:sz w:val="23"/>
          <w:szCs w:val="23"/>
        </w:rPr>
        <w:lastRenderedPageBreak/>
        <w:t>sair</w:t>
      </w:r>
      <w:r w:rsidR="009F6947">
        <w:rPr>
          <w:sz w:val="23"/>
          <w:szCs w:val="23"/>
        </w:rPr>
        <w:t>mos</w:t>
      </w:r>
      <w:r w:rsidR="00877467">
        <w:rPr>
          <w:sz w:val="23"/>
          <w:szCs w:val="23"/>
        </w:rPr>
        <w:t xml:space="preserve"> com as crianças para ambiente</w:t>
      </w:r>
      <w:r w:rsidR="009F6947">
        <w:rPr>
          <w:sz w:val="23"/>
          <w:szCs w:val="23"/>
        </w:rPr>
        <w:t>s</w:t>
      </w:r>
      <w:r w:rsidR="00877467">
        <w:rPr>
          <w:sz w:val="23"/>
          <w:szCs w:val="23"/>
        </w:rPr>
        <w:t xml:space="preserve"> </w:t>
      </w:r>
      <w:r w:rsidR="009F6947">
        <w:rPr>
          <w:sz w:val="23"/>
          <w:szCs w:val="23"/>
        </w:rPr>
        <w:t>externos</w:t>
      </w:r>
      <w:r w:rsidR="00877467">
        <w:rPr>
          <w:sz w:val="23"/>
          <w:szCs w:val="23"/>
        </w:rPr>
        <w:t xml:space="preserve">, é primordial </w:t>
      </w:r>
      <w:r w:rsidR="009F6947">
        <w:rPr>
          <w:sz w:val="23"/>
          <w:szCs w:val="23"/>
        </w:rPr>
        <w:t>que</w:t>
      </w:r>
      <w:r w:rsidR="00877467">
        <w:rPr>
          <w:sz w:val="23"/>
          <w:szCs w:val="23"/>
        </w:rPr>
        <w:t xml:space="preserve"> docentes execut</w:t>
      </w:r>
      <w:r w:rsidR="008D7708">
        <w:rPr>
          <w:sz w:val="23"/>
          <w:szCs w:val="23"/>
        </w:rPr>
        <w:t>em</w:t>
      </w:r>
      <w:r w:rsidR="00877467">
        <w:rPr>
          <w:sz w:val="23"/>
          <w:szCs w:val="23"/>
        </w:rPr>
        <w:t xml:space="preserve"> planos e sequências didáticas que permitam o al</w:t>
      </w:r>
      <w:r w:rsidR="008E4ABE">
        <w:rPr>
          <w:sz w:val="23"/>
          <w:szCs w:val="23"/>
        </w:rPr>
        <w:t>cance de aprendizagens significativas</w:t>
      </w:r>
      <w:r w:rsidR="008D7708">
        <w:rPr>
          <w:sz w:val="23"/>
          <w:szCs w:val="23"/>
        </w:rPr>
        <w:t xml:space="preserve">. Sendo assim, o conhecimento científico é a gênese da elaboração de uma aula nesses moldes, pois exige do professor uma pesquisa </w:t>
      </w:r>
      <w:r w:rsidR="00C45C4A">
        <w:rPr>
          <w:sz w:val="23"/>
          <w:szCs w:val="23"/>
        </w:rPr>
        <w:t xml:space="preserve">e visita </w:t>
      </w:r>
      <w:r w:rsidR="008D7708">
        <w:rPr>
          <w:sz w:val="23"/>
          <w:szCs w:val="23"/>
        </w:rPr>
        <w:t>prévia</w:t>
      </w:r>
      <w:r w:rsidR="00C45C4A">
        <w:rPr>
          <w:sz w:val="23"/>
          <w:szCs w:val="23"/>
        </w:rPr>
        <w:t xml:space="preserve"> ao espaço, a fim de elencar conteúdos e</w:t>
      </w:r>
      <w:r w:rsidR="00494875">
        <w:rPr>
          <w:sz w:val="23"/>
          <w:szCs w:val="23"/>
        </w:rPr>
        <w:t xml:space="preserve"> temas que podem ser abordados durante a visita.</w:t>
      </w:r>
    </w:p>
    <w:p w14:paraId="15E15C74" w14:textId="3281F7A8" w:rsidR="008F1780" w:rsidRDefault="008F1780" w:rsidP="004D7F2E">
      <w:pPr>
        <w:spacing w:line="360" w:lineRule="auto"/>
        <w:ind w:firstLine="709"/>
        <w:jc w:val="both"/>
        <w:rPr>
          <w:sz w:val="23"/>
          <w:szCs w:val="23"/>
        </w:rPr>
      </w:pPr>
      <w:r>
        <w:rPr>
          <w:sz w:val="23"/>
          <w:szCs w:val="23"/>
        </w:rPr>
        <w:t>E por fim, o</w:t>
      </w:r>
      <w:r w:rsidR="00742D2D">
        <w:rPr>
          <w:sz w:val="23"/>
          <w:szCs w:val="23"/>
        </w:rPr>
        <w:t xml:space="preserve"> último item reforça a ideia dos espaços não formais enquanto laboratórios de aprendizagens</w:t>
      </w:r>
      <w:r w:rsidR="001E1EB0">
        <w:rPr>
          <w:sz w:val="23"/>
          <w:szCs w:val="23"/>
        </w:rPr>
        <w:t xml:space="preserve"> que superam a concepção de aulas engessadas, tradicionais e ancoradas em padrões mnemônicos. </w:t>
      </w:r>
      <w:r w:rsidR="00DA0782">
        <w:rPr>
          <w:sz w:val="23"/>
          <w:szCs w:val="23"/>
        </w:rPr>
        <w:t>Nessa assertiva também temos um resultados expressivo de concordantes, evidenciando o êxito da disciplina supracitada</w:t>
      </w:r>
      <w:r w:rsidR="00070110">
        <w:rPr>
          <w:sz w:val="23"/>
          <w:szCs w:val="23"/>
        </w:rPr>
        <w:t xml:space="preserve">, uma vez que amplia as possibilidade de trabalho docente, permitindo que o educador em formação compreenda </w:t>
      </w:r>
      <w:r w:rsidR="004A131B">
        <w:rPr>
          <w:sz w:val="23"/>
          <w:szCs w:val="23"/>
        </w:rPr>
        <w:t>seu papel social frente as</w:t>
      </w:r>
      <w:r w:rsidR="003D1C20">
        <w:rPr>
          <w:sz w:val="23"/>
          <w:szCs w:val="23"/>
        </w:rPr>
        <w:t xml:space="preserve"> diversas</w:t>
      </w:r>
      <w:r w:rsidR="004A131B">
        <w:rPr>
          <w:sz w:val="23"/>
          <w:szCs w:val="23"/>
        </w:rPr>
        <w:t xml:space="preserve"> demandas d</w:t>
      </w:r>
      <w:r w:rsidR="003D1C20">
        <w:rPr>
          <w:sz w:val="23"/>
          <w:szCs w:val="23"/>
        </w:rPr>
        <w:t xml:space="preserve">o processo de </w:t>
      </w:r>
      <w:r w:rsidR="004A131B">
        <w:rPr>
          <w:sz w:val="23"/>
          <w:szCs w:val="23"/>
        </w:rPr>
        <w:t>ensino</w:t>
      </w:r>
      <w:r w:rsidR="003D1C20">
        <w:rPr>
          <w:sz w:val="23"/>
          <w:szCs w:val="23"/>
        </w:rPr>
        <w:t xml:space="preserve"> e aprendizagem</w:t>
      </w:r>
      <w:r w:rsidR="004A131B">
        <w:rPr>
          <w:sz w:val="23"/>
          <w:szCs w:val="23"/>
        </w:rPr>
        <w:t>.</w:t>
      </w:r>
    </w:p>
    <w:p w14:paraId="68EE8051" w14:textId="77777777" w:rsidR="003D1C20" w:rsidRDefault="003D1C20" w:rsidP="003D1C20">
      <w:pPr>
        <w:pStyle w:val="Default"/>
      </w:pPr>
    </w:p>
    <w:p w14:paraId="5DFA3A8A" w14:textId="77777777" w:rsidR="00132865" w:rsidRDefault="003D1C20" w:rsidP="00052691">
      <w:pPr>
        <w:ind w:left="2268"/>
        <w:jc w:val="both"/>
        <w:rPr>
          <w:sz w:val="20"/>
          <w:szCs w:val="20"/>
        </w:rPr>
      </w:pPr>
      <w:r w:rsidRPr="00052691">
        <w:rPr>
          <w:sz w:val="20"/>
          <w:szCs w:val="20"/>
        </w:rPr>
        <w:t>A disciplina de Educação em espaços não formais emerge num contexto de reestruturação curricular dos cursos de Pedagogia, na tentativa de aproximar a formação do professor da realidade educacional contemporânea. Nesse viés, a valorização dos espaços para além da sala de aula geram impactos positivos ao ensino dos componentes curriculares da educação básica, tendo em vista a necessidade de aproximar o conteúdo dos livros didáticos com as vivências diárias dos indivíduos, possibilitando a construção do conhecimento a partir do palpável, da realidade que é construída socialmente por aspectos econômicos, culturais, políticos e ambientais</w:t>
      </w:r>
      <w:r w:rsidR="00052691">
        <w:rPr>
          <w:sz w:val="20"/>
          <w:szCs w:val="20"/>
        </w:rPr>
        <w:t xml:space="preserve"> (NEGRÃO e MORHY, 2020, p. </w:t>
      </w:r>
      <w:r w:rsidR="00132865">
        <w:rPr>
          <w:sz w:val="20"/>
          <w:szCs w:val="20"/>
        </w:rPr>
        <w:t>255)</w:t>
      </w:r>
      <w:r w:rsidRPr="00052691">
        <w:rPr>
          <w:sz w:val="20"/>
          <w:szCs w:val="20"/>
        </w:rPr>
        <w:t>.</w:t>
      </w:r>
    </w:p>
    <w:p w14:paraId="20BD9CBD" w14:textId="7A02F191" w:rsidR="003D1C20" w:rsidRPr="00052691" w:rsidRDefault="003D1C20" w:rsidP="00052691">
      <w:pPr>
        <w:ind w:left="2268"/>
        <w:jc w:val="both"/>
        <w:rPr>
          <w:sz w:val="20"/>
          <w:szCs w:val="20"/>
        </w:rPr>
      </w:pPr>
      <w:r w:rsidRPr="00052691">
        <w:rPr>
          <w:sz w:val="20"/>
          <w:szCs w:val="20"/>
        </w:rPr>
        <w:t xml:space="preserve"> </w:t>
      </w:r>
    </w:p>
    <w:p w14:paraId="3F5458DE" w14:textId="4C526956" w:rsidR="00132865" w:rsidRDefault="004D007F" w:rsidP="00132865">
      <w:pPr>
        <w:spacing w:line="360" w:lineRule="auto"/>
        <w:ind w:firstLine="709"/>
        <w:jc w:val="both"/>
        <w:rPr>
          <w:sz w:val="23"/>
          <w:szCs w:val="23"/>
        </w:rPr>
      </w:pPr>
      <w:r>
        <w:rPr>
          <w:sz w:val="23"/>
          <w:szCs w:val="23"/>
        </w:rPr>
        <w:t xml:space="preserve">Sendo assim, os resultados </w:t>
      </w:r>
      <w:r w:rsidR="005558DD">
        <w:rPr>
          <w:sz w:val="23"/>
          <w:szCs w:val="23"/>
        </w:rPr>
        <w:t xml:space="preserve">obtidos por meio dos questionários contribuem na consolidação da disciplina no curso de Pedagogia, </w:t>
      </w:r>
      <w:r w:rsidR="004D2BD3">
        <w:rPr>
          <w:sz w:val="23"/>
          <w:szCs w:val="23"/>
        </w:rPr>
        <w:t>reforçando o discurso do</w:t>
      </w:r>
      <w:r w:rsidR="00240971">
        <w:rPr>
          <w:sz w:val="23"/>
          <w:szCs w:val="23"/>
        </w:rPr>
        <w:t xml:space="preserve"> colegiado que aprovou sua inclusão na matriz</w:t>
      </w:r>
      <w:r w:rsidR="004D2BD3">
        <w:rPr>
          <w:sz w:val="23"/>
          <w:szCs w:val="23"/>
        </w:rPr>
        <w:t xml:space="preserve"> curricular</w:t>
      </w:r>
      <w:r w:rsidR="00D7047B">
        <w:rPr>
          <w:sz w:val="23"/>
          <w:szCs w:val="23"/>
        </w:rPr>
        <w:t xml:space="preserve">. A pesquisa também revela o comprometimento de apresentar uma disciplina que atenda os requisitos dispostos nas DCN, mas que também traduza os saberes oriundos dos espaços não formais em ações e práticas que </w:t>
      </w:r>
      <w:r w:rsidR="00C96379">
        <w:rPr>
          <w:sz w:val="23"/>
          <w:szCs w:val="23"/>
        </w:rPr>
        <w:t>possibilitem o alcance da aprendizagem significativa.</w:t>
      </w:r>
    </w:p>
    <w:p w14:paraId="3C240AE6" w14:textId="77777777" w:rsidR="003D1C20" w:rsidRPr="00132865" w:rsidRDefault="003D1C20" w:rsidP="004D7F2E">
      <w:pPr>
        <w:spacing w:line="360" w:lineRule="auto"/>
        <w:ind w:firstLine="709"/>
        <w:jc w:val="both"/>
        <w:rPr>
          <w:sz w:val="23"/>
          <w:szCs w:val="23"/>
        </w:rPr>
      </w:pPr>
    </w:p>
    <w:p w14:paraId="7CD9BC97" w14:textId="540DFC22" w:rsidR="001A4827" w:rsidRDefault="000E1288">
      <w:pPr>
        <w:spacing w:line="360" w:lineRule="auto"/>
        <w:jc w:val="both"/>
        <w:rPr>
          <w:b/>
        </w:rPr>
      </w:pPr>
      <w:r>
        <w:rPr>
          <w:b/>
        </w:rPr>
        <w:t xml:space="preserve">Considerações Finais </w:t>
      </w:r>
    </w:p>
    <w:p w14:paraId="3CCD755B" w14:textId="7747960D" w:rsidR="00575C40" w:rsidRDefault="00575C40">
      <w:pPr>
        <w:spacing w:line="360" w:lineRule="auto"/>
        <w:jc w:val="both"/>
      </w:pPr>
    </w:p>
    <w:p w14:paraId="447DC8A2" w14:textId="78331F4B" w:rsidR="00F128E7" w:rsidRDefault="00AE517F" w:rsidP="00F128E7">
      <w:pPr>
        <w:spacing w:line="360" w:lineRule="auto"/>
        <w:ind w:firstLine="709"/>
        <w:jc w:val="both"/>
        <w:rPr>
          <w:sz w:val="23"/>
          <w:szCs w:val="23"/>
        </w:rPr>
      </w:pPr>
      <w:r>
        <w:rPr>
          <w:sz w:val="23"/>
          <w:szCs w:val="23"/>
        </w:rPr>
        <w:t xml:space="preserve">A disciplina “Educação em Espaços Não Formais” inserida no curso de Pedagogia endossa o discurso de que </w:t>
      </w:r>
      <w:r w:rsidR="00860546">
        <w:rPr>
          <w:sz w:val="23"/>
          <w:szCs w:val="23"/>
        </w:rPr>
        <w:t>ambientes externos à sala de aula podem ser palco para e</w:t>
      </w:r>
      <w:r w:rsidR="00B3667C">
        <w:rPr>
          <w:sz w:val="23"/>
          <w:szCs w:val="23"/>
        </w:rPr>
        <w:t xml:space="preserve">xperiências exitosas de ensino contextualizado, dinâmico e significativo. Para isso, é fundamental </w:t>
      </w:r>
      <w:r w:rsidR="006F7291">
        <w:rPr>
          <w:sz w:val="23"/>
          <w:szCs w:val="23"/>
        </w:rPr>
        <w:t>que a disciplina não fundamente-se apenas na articulação teórica que tal vertente está ancorada, mas que viabiliz</w:t>
      </w:r>
      <w:r w:rsidR="003B7F3D">
        <w:rPr>
          <w:sz w:val="23"/>
          <w:szCs w:val="23"/>
        </w:rPr>
        <w:t>e</w:t>
      </w:r>
      <w:r w:rsidR="006F7291">
        <w:rPr>
          <w:sz w:val="23"/>
          <w:szCs w:val="23"/>
        </w:rPr>
        <w:t xml:space="preserve"> que os graduando</w:t>
      </w:r>
      <w:r w:rsidR="003B7F3D">
        <w:rPr>
          <w:sz w:val="23"/>
          <w:szCs w:val="23"/>
        </w:rPr>
        <w:t>s</w:t>
      </w:r>
      <w:r w:rsidR="006F7291">
        <w:rPr>
          <w:sz w:val="23"/>
          <w:szCs w:val="23"/>
        </w:rPr>
        <w:t xml:space="preserve"> saiam da universidade e explorem outros ambientes a fim de vislumbrarem os pontenciais pedagógicos presentes em bosques, museus, centros de ciência e demais cenários que </w:t>
      </w:r>
      <w:r w:rsidR="00D228AC">
        <w:rPr>
          <w:sz w:val="23"/>
          <w:szCs w:val="23"/>
        </w:rPr>
        <w:t>encatam por sua beleza, requinte e histórico cultural.</w:t>
      </w:r>
    </w:p>
    <w:p w14:paraId="7D18D2C5" w14:textId="564E8058" w:rsidR="00D228AC" w:rsidRDefault="00D228AC" w:rsidP="00F128E7">
      <w:pPr>
        <w:spacing w:line="360" w:lineRule="auto"/>
        <w:ind w:firstLine="709"/>
        <w:jc w:val="both"/>
        <w:rPr>
          <w:sz w:val="23"/>
          <w:szCs w:val="23"/>
        </w:rPr>
      </w:pPr>
      <w:r>
        <w:rPr>
          <w:sz w:val="23"/>
          <w:szCs w:val="23"/>
        </w:rPr>
        <w:t xml:space="preserve">Os resultados emitidos </w:t>
      </w:r>
      <w:r w:rsidR="007E6274">
        <w:rPr>
          <w:sz w:val="23"/>
          <w:szCs w:val="23"/>
        </w:rPr>
        <w:t xml:space="preserve">através desta pesquisa mostram a eficácia da inserção da disciplina no contexto de um curso que forma novos professores, responsáveis por transformarem a educação </w:t>
      </w:r>
      <w:r w:rsidR="007E6274">
        <w:rPr>
          <w:sz w:val="23"/>
          <w:szCs w:val="23"/>
        </w:rPr>
        <w:lastRenderedPageBreak/>
        <w:t>básica em uma educação de qualidade e mais próxima ao estudante, reverberando saberes que se adquirem ainda na graduação por meio de aulas e experiências, mas principalmente</w:t>
      </w:r>
      <w:r w:rsidR="005328E0">
        <w:rPr>
          <w:sz w:val="23"/>
          <w:szCs w:val="23"/>
        </w:rPr>
        <w:t>,</w:t>
      </w:r>
      <w:r w:rsidR="007E6274">
        <w:rPr>
          <w:sz w:val="23"/>
          <w:szCs w:val="23"/>
        </w:rPr>
        <w:t xml:space="preserve"> pelo exemplo.</w:t>
      </w:r>
    </w:p>
    <w:p w14:paraId="24724A11" w14:textId="47703D62" w:rsidR="009D4763" w:rsidRDefault="009D4763" w:rsidP="00F128E7">
      <w:pPr>
        <w:spacing w:line="360" w:lineRule="auto"/>
        <w:ind w:firstLine="709"/>
        <w:jc w:val="both"/>
        <w:rPr>
          <w:sz w:val="23"/>
          <w:szCs w:val="23"/>
        </w:rPr>
      </w:pPr>
      <w:r>
        <w:rPr>
          <w:sz w:val="23"/>
          <w:szCs w:val="23"/>
        </w:rPr>
        <w:t xml:space="preserve">Por fim, defendemos que a disciplina de “Educação em Espaços Não Formais” é uma conquista no cenário de formação de professores, visto que explora </w:t>
      </w:r>
      <w:r w:rsidR="00A85451">
        <w:rPr>
          <w:sz w:val="23"/>
          <w:szCs w:val="23"/>
        </w:rPr>
        <w:t>novos ambientes em prol de um processo de ensino e aprendizagem que valoriza a aplicabilidade dos conteúdos, a cultura local e a dinâmica relação entre professor-aluno-natureza-cidade</w:t>
      </w:r>
      <w:r w:rsidR="002A5335">
        <w:rPr>
          <w:sz w:val="23"/>
          <w:szCs w:val="23"/>
        </w:rPr>
        <w:t>.</w:t>
      </w:r>
    </w:p>
    <w:p w14:paraId="46EEBAD2" w14:textId="77777777" w:rsidR="00C740FD" w:rsidRPr="00F128E7" w:rsidRDefault="00C740FD" w:rsidP="00C740FD">
      <w:pPr>
        <w:pStyle w:val="Default"/>
        <w:rPr>
          <w:lang w:val="pt-PT"/>
        </w:rPr>
      </w:pPr>
    </w:p>
    <w:p w14:paraId="7CD9BC9D" w14:textId="63D6D630" w:rsidR="001A4827" w:rsidRDefault="000E1288">
      <w:pPr>
        <w:spacing w:line="360" w:lineRule="auto"/>
        <w:jc w:val="both"/>
        <w:rPr>
          <w:b/>
        </w:rPr>
      </w:pPr>
      <w:r>
        <w:rPr>
          <w:b/>
        </w:rPr>
        <w:t>Referências</w:t>
      </w:r>
    </w:p>
    <w:p w14:paraId="2FFB4682" w14:textId="135C2B81" w:rsidR="00FC2B03" w:rsidRDefault="00FC2B03" w:rsidP="00FC2B03">
      <w:pPr>
        <w:jc w:val="both"/>
      </w:pPr>
      <w:r>
        <w:t>BRASIL</w:t>
      </w:r>
      <w:r w:rsidRPr="00FC2B03">
        <w:rPr>
          <w:b/>
          <w:bCs/>
        </w:rPr>
        <w:t>. Lei nº 9.394, de 20 de dezembro de 1996.</w:t>
      </w:r>
      <w:r w:rsidRPr="00BB06C5">
        <w:t xml:space="preserve"> </w:t>
      </w:r>
      <w:r w:rsidRPr="00FC2B03">
        <w:rPr>
          <w:bCs/>
        </w:rPr>
        <w:t>LDB: Lei de Diretrizes e Bases da Educação Nacional</w:t>
      </w:r>
      <w:r w:rsidRPr="00BB06C5">
        <w:t xml:space="preserve">, que estabelece as diretrizes e bases da educação nacional. nº 13. 10. ed. Brasília, DF: Câmara dos Deputados, </w:t>
      </w:r>
      <w:r>
        <w:t>1996.</w:t>
      </w:r>
    </w:p>
    <w:p w14:paraId="55CCBAE6" w14:textId="77777777" w:rsidR="00FC2B03" w:rsidRDefault="00FC2B03" w:rsidP="00FC2B03">
      <w:pPr>
        <w:jc w:val="both"/>
      </w:pPr>
    </w:p>
    <w:p w14:paraId="4A512C24" w14:textId="3796C3B4" w:rsidR="00FC2B03" w:rsidRDefault="00FC2B03" w:rsidP="00FC2B03">
      <w:pPr>
        <w:jc w:val="both"/>
      </w:pPr>
      <w:r>
        <w:t>________</w:t>
      </w:r>
      <w:r w:rsidRPr="00D41BD2">
        <w:t xml:space="preserve">. Constituição. </w:t>
      </w:r>
      <w:r w:rsidRPr="00F547BF">
        <w:rPr>
          <w:b/>
          <w:iCs/>
        </w:rPr>
        <w:t>Constituição</w:t>
      </w:r>
      <w:r>
        <w:rPr>
          <w:i/>
          <w:iCs/>
        </w:rPr>
        <w:t xml:space="preserve">: </w:t>
      </w:r>
      <w:r w:rsidRPr="00D41BD2">
        <w:t>República Federativa do Brasil</w:t>
      </w:r>
      <w:r w:rsidRPr="00D41BD2">
        <w:rPr>
          <w:i/>
          <w:iCs/>
        </w:rPr>
        <w:t>.</w:t>
      </w:r>
      <w:r w:rsidRPr="00D41BD2">
        <w:t xml:space="preserve"> Brasília, DF: Senado Federal, </w:t>
      </w:r>
      <w:r>
        <w:t>1988.</w:t>
      </w:r>
    </w:p>
    <w:p w14:paraId="4F489EA7" w14:textId="77777777" w:rsidR="00FC2B03" w:rsidRDefault="00FC2B03" w:rsidP="00FC2B03">
      <w:pPr>
        <w:jc w:val="both"/>
      </w:pPr>
    </w:p>
    <w:p w14:paraId="4F83CFCD" w14:textId="10A8B73D" w:rsidR="00146444" w:rsidRDefault="00146444" w:rsidP="00FC2B03">
      <w:pPr>
        <w:jc w:val="both"/>
      </w:pPr>
      <w:r>
        <w:t xml:space="preserve">CUNHA, A. M. O. Ensino de Ecologia em espaços não formais. In: III CLAE e IXCEB, 10 a 17 de setembro de 2009. </w:t>
      </w:r>
      <w:r w:rsidRPr="00146444">
        <w:rPr>
          <w:b/>
          <w:bCs/>
        </w:rPr>
        <w:t>Anais...</w:t>
      </w:r>
      <w:r>
        <w:t xml:space="preserve"> São Lourenço, MG</w:t>
      </w:r>
      <w:r>
        <w:t>, 2009.</w:t>
      </w:r>
      <w:r w:rsidRPr="002A3DA9">
        <w:t xml:space="preserve"> </w:t>
      </w:r>
    </w:p>
    <w:p w14:paraId="2205F2EF" w14:textId="77777777" w:rsidR="00146444" w:rsidRDefault="00146444" w:rsidP="00FC2B03">
      <w:pPr>
        <w:jc w:val="both"/>
      </w:pPr>
    </w:p>
    <w:p w14:paraId="794A1CAA" w14:textId="0EC7CCBC" w:rsidR="00A07605" w:rsidRDefault="00A07605" w:rsidP="00FC2B03">
      <w:pPr>
        <w:jc w:val="both"/>
      </w:pPr>
      <w:r w:rsidRPr="002A3DA9">
        <w:t>FONSECA, L.</w:t>
      </w:r>
      <w:r>
        <w:t xml:space="preserve"> </w:t>
      </w:r>
      <w:r w:rsidRPr="002A3DA9">
        <w:t>A.</w:t>
      </w:r>
      <w:r>
        <w:t xml:space="preserve"> </w:t>
      </w:r>
      <w:r w:rsidRPr="002A3DA9">
        <w:t xml:space="preserve">M. </w:t>
      </w:r>
      <w:r w:rsidRPr="002A3DA9">
        <w:rPr>
          <w:b/>
        </w:rPr>
        <w:t>Metodologia científica ao alcance de todos</w:t>
      </w:r>
      <w:r w:rsidRPr="002A3DA9">
        <w:t>. Manaus: Editora Valer, 2010.</w:t>
      </w:r>
    </w:p>
    <w:p w14:paraId="129BAD0A" w14:textId="77777777" w:rsidR="00A07605" w:rsidRDefault="00A07605" w:rsidP="00FC2B03">
      <w:pPr>
        <w:pStyle w:val="Default"/>
        <w:jc w:val="both"/>
      </w:pPr>
    </w:p>
    <w:p w14:paraId="194A5D48" w14:textId="4DEFCCFA" w:rsidR="00FC2B03" w:rsidRDefault="00FC2B03" w:rsidP="00FC2B03">
      <w:pPr>
        <w:jc w:val="both"/>
      </w:pPr>
      <w:r>
        <w:t>GHANEM, E</w:t>
      </w:r>
      <w:r w:rsidR="00F366A4">
        <w:t>.</w:t>
      </w:r>
      <w:r>
        <w:t xml:space="preserve">; TRILLA, J. </w:t>
      </w:r>
      <w:r w:rsidRPr="00F547BF">
        <w:rPr>
          <w:b/>
        </w:rPr>
        <w:t>Educação formal e não-formal</w:t>
      </w:r>
      <w:r>
        <w:t>: pontos e contrapontos. São Paulo: Summus, 2008.</w:t>
      </w:r>
    </w:p>
    <w:p w14:paraId="54E94A9A" w14:textId="77777777" w:rsidR="00FC2B03" w:rsidRDefault="00FC2B03" w:rsidP="00FC2B03">
      <w:pPr>
        <w:jc w:val="both"/>
      </w:pPr>
    </w:p>
    <w:p w14:paraId="6D4DC475" w14:textId="2D627DD1" w:rsidR="00FC2B03" w:rsidRDefault="00FC2B03" w:rsidP="00FC2B03">
      <w:pPr>
        <w:jc w:val="both"/>
      </w:pPr>
      <w:r>
        <w:t>GOHN, M</w:t>
      </w:r>
      <w:r w:rsidR="00F366A4">
        <w:t>.</w:t>
      </w:r>
      <w:r>
        <w:t xml:space="preserve"> da G. </w:t>
      </w:r>
      <w:r w:rsidRPr="00F366A4">
        <w:rPr>
          <w:bCs/>
        </w:rPr>
        <w:t>Educação não-formal, participação da sociedade civil e estruturas</w:t>
      </w:r>
      <w:r w:rsidR="00F366A4">
        <w:rPr>
          <w:bCs/>
        </w:rPr>
        <w:t xml:space="preserve"> </w:t>
      </w:r>
      <w:r w:rsidRPr="00F366A4">
        <w:rPr>
          <w:bCs/>
        </w:rPr>
        <w:t>colegiadas nas escolas.</w:t>
      </w:r>
      <w:r>
        <w:t xml:space="preserve"> </w:t>
      </w:r>
      <w:r w:rsidRPr="00F366A4">
        <w:rPr>
          <w:b/>
          <w:bCs/>
        </w:rPr>
        <w:t>Ensaio:</w:t>
      </w:r>
      <w:r>
        <w:t xml:space="preserve"> aval. pol. públ. Educ., Rio de Janeiro, v.14, n.</w:t>
      </w:r>
      <w:r w:rsidR="00F366A4">
        <w:t xml:space="preserve"> </w:t>
      </w:r>
      <w:r>
        <w:t>50, p. 27-38, jan./mar. 2006</w:t>
      </w:r>
      <w:r>
        <w:t>.</w:t>
      </w:r>
    </w:p>
    <w:p w14:paraId="65F7DABC" w14:textId="708F3A4E" w:rsidR="00FC2B03" w:rsidRDefault="00FC2B03" w:rsidP="00FC2B03">
      <w:pPr>
        <w:jc w:val="both"/>
      </w:pPr>
    </w:p>
    <w:p w14:paraId="01D07643" w14:textId="6376C250" w:rsidR="00FC2B03" w:rsidRDefault="00FC2B03" w:rsidP="00FC2B03">
      <w:pPr>
        <w:jc w:val="both"/>
      </w:pPr>
      <w:r>
        <w:t xml:space="preserve">JACOBUCCI, </w:t>
      </w:r>
      <w:r w:rsidR="00F12E68">
        <w:t>D. F. C</w:t>
      </w:r>
      <w:r>
        <w:t>.</w:t>
      </w:r>
      <w:r w:rsidRPr="006B7DD9">
        <w:t xml:space="preserve"> </w:t>
      </w:r>
      <w:r w:rsidRPr="00F366A4">
        <w:rPr>
          <w:bCs/>
        </w:rPr>
        <w:t>Contribuições dos espaços não-formais de educação para a formação da cultura científica.</w:t>
      </w:r>
      <w:r>
        <w:t xml:space="preserve"> </w:t>
      </w:r>
      <w:r w:rsidRPr="00F366A4">
        <w:rPr>
          <w:b/>
          <w:bCs/>
        </w:rPr>
        <w:t>EM EXTENSÃO</w:t>
      </w:r>
      <w:r>
        <w:t xml:space="preserve">, Uberlândia, </w:t>
      </w:r>
      <w:r w:rsidR="00F366A4">
        <w:t>v</w:t>
      </w:r>
      <w:r>
        <w:t>. 7, 2008.</w:t>
      </w:r>
    </w:p>
    <w:p w14:paraId="0150F16C" w14:textId="77777777" w:rsidR="00FC2B03" w:rsidRPr="00FC2B03" w:rsidRDefault="00FC2B03" w:rsidP="00FC2B03">
      <w:pPr>
        <w:pStyle w:val="Default"/>
        <w:jc w:val="both"/>
        <w:rPr>
          <w:lang w:val="pt-PT"/>
        </w:rPr>
      </w:pPr>
    </w:p>
    <w:p w14:paraId="1B009B43" w14:textId="0B2764C1" w:rsidR="00A54650" w:rsidRDefault="00024AA9" w:rsidP="00FC2B03">
      <w:pPr>
        <w:pStyle w:val="Default"/>
        <w:jc w:val="both"/>
      </w:pPr>
      <w:r w:rsidRPr="00A54650">
        <w:t xml:space="preserve">NEGRÃO, F. C.. O ensino de língua portuguesa em espaços não formais: sequências didáticas e a cultura amazônica na educação infantil. In: SOUSA, I. D. de. (Org.). </w:t>
      </w:r>
      <w:r w:rsidRPr="00A54650">
        <w:rPr>
          <w:b/>
          <w:bCs/>
        </w:rPr>
        <w:t xml:space="preserve">Sequências Didáticas no Ensino de Línguas: </w:t>
      </w:r>
      <w:r w:rsidRPr="00A54650">
        <w:t>Experiências, Reflexões e Propostas. Jundiaí: Paco Editorial, 2018. p. 105-118.</w:t>
      </w:r>
    </w:p>
    <w:p w14:paraId="04EB27A5" w14:textId="77777777" w:rsidR="00A54650" w:rsidRPr="00A54650" w:rsidRDefault="00A54650" w:rsidP="00FC2B03">
      <w:pPr>
        <w:pStyle w:val="Default"/>
        <w:jc w:val="both"/>
      </w:pPr>
    </w:p>
    <w:p w14:paraId="013A54FE" w14:textId="3659BE17" w:rsidR="00344922" w:rsidRDefault="00344922" w:rsidP="00FC2B03">
      <w:pPr>
        <w:pStyle w:val="Default"/>
        <w:jc w:val="both"/>
      </w:pPr>
      <w:r w:rsidRPr="00A54650">
        <w:t xml:space="preserve">NEGRÃO, F. C.; MORHY, P. E. D.; AMORIM NETO, A. C.; FACHÍN-TERAN, A. Possibilidades para o ensino e aprendizagem da matemática no Bosque da Ciência (INPA). In: 6º SIMPÓSIO DE EDUCAÇÃO EM CIÊNCIAS NA AMAZÔNIA, 2016, Manaus. </w:t>
      </w:r>
      <w:r w:rsidRPr="00A54650">
        <w:rPr>
          <w:b/>
          <w:bCs/>
        </w:rPr>
        <w:t xml:space="preserve">Anais... </w:t>
      </w:r>
      <w:r w:rsidRPr="00A54650">
        <w:t xml:space="preserve">Manaus: UEA Edições, 2016. p. 01-10. </w:t>
      </w:r>
    </w:p>
    <w:p w14:paraId="2BDE4CBA" w14:textId="0A324348" w:rsidR="00344922" w:rsidRDefault="00344922" w:rsidP="00FC2B03">
      <w:pPr>
        <w:pStyle w:val="Default"/>
        <w:jc w:val="both"/>
      </w:pPr>
    </w:p>
    <w:p w14:paraId="454BCE1D" w14:textId="3E6B2AA8" w:rsidR="00344922" w:rsidRPr="00344922" w:rsidRDefault="00344922" w:rsidP="00FC2B03">
      <w:pPr>
        <w:pStyle w:val="Default"/>
        <w:jc w:val="both"/>
        <w:rPr>
          <w:color w:val="auto"/>
        </w:rPr>
      </w:pPr>
      <w:r w:rsidRPr="00344922">
        <w:rPr>
          <w:rStyle w:val="nfase"/>
          <w:i w:val="0"/>
          <w:iCs w:val="0"/>
          <w:color w:val="auto"/>
          <w:shd w:val="clear" w:color="auto" w:fill="FFFFFF"/>
        </w:rPr>
        <w:t>NEGR</w:t>
      </w:r>
      <w:r>
        <w:rPr>
          <w:rStyle w:val="nfase"/>
          <w:i w:val="0"/>
          <w:iCs w:val="0"/>
          <w:color w:val="auto"/>
          <w:shd w:val="clear" w:color="auto" w:fill="FFFFFF"/>
        </w:rPr>
        <w:t>Ã</w:t>
      </w:r>
      <w:r w:rsidRPr="00344922">
        <w:rPr>
          <w:rStyle w:val="nfase"/>
          <w:i w:val="0"/>
          <w:iCs w:val="0"/>
          <w:color w:val="auto"/>
          <w:shd w:val="clear" w:color="auto" w:fill="FFFFFF"/>
        </w:rPr>
        <w:t>O</w:t>
      </w:r>
      <w:r w:rsidRPr="00344922">
        <w:rPr>
          <w:color w:val="auto"/>
          <w:shd w:val="clear" w:color="auto" w:fill="FFFFFF"/>
        </w:rPr>
        <w:t>, F. C.; </w:t>
      </w:r>
      <w:r w:rsidRPr="00344922">
        <w:rPr>
          <w:rStyle w:val="nfase"/>
          <w:i w:val="0"/>
          <w:iCs w:val="0"/>
          <w:color w:val="auto"/>
          <w:shd w:val="clear" w:color="auto" w:fill="FFFFFF"/>
        </w:rPr>
        <w:t>MORHY</w:t>
      </w:r>
      <w:r w:rsidRPr="00344922">
        <w:rPr>
          <w:color w:val="auto"/>
          <w:shd w:val="clear" w:color="auto" w:fill="FFFFFF"/>
        </w:rPr>
        <w:t>, P. E. D. A inserção da disciplina de educação em </w:t>
      </w:r>
      <w:r w:rsidRPr="00344922">
        <w:rPr>
          <w:rStyle w:val="nfase"/>
          <w:i w:val="0"/>
          <w:iCs w:val="0"/>
          <w:color w:val="auto"/>
          <w:shd w:val="clear" w:color="auto" w:fill="FFFFFF"/>
        </w:rPr>
        <w:t>espaços não formais</w:t>
      </w:r>
      <w:r w:rsidRPr="00344922">
        <w:rPr>
          <w:color w:val="auto"/>
          <w:shd w:val="clear" w:color="auto" w:fill="FFFFFF"/>
        </w:rPr>
        <w:t xml:space="preserve"> no curso de pedagogia. </w:t>
      </w:r>
      <w:r w:rsidR="001776D2" w:rsidRPr="00344922">
        <w:rPr>
          <w:b/>
          <w:bCs/>
          <w:color w:val="auto"/>
          <w:shd w:val="clear" w:color="auto" w:fill="FFFFFF"/>
        </w:rPr>
        <w:t>REAMEC</w:t>
      </w:r>
      <w:r w:rsidRPr="00344922">
        <w:rPr>
          <w:color w:val="auto"/>
          <w:shd w:val="clear" w:color="auto" w:fill="FFFFFF"/>
        </w:rPr>
        <w:t>, v. 7, p. 1-16, 2019</w:t>
      </w:r>
      <w:r w:rsidR="001776D2">
        <w:rPr>
          <w:color w:val="auto"/>
          <w:shd w:val="clear" w:color="auto" w:fill="FFFFFF"/>
        </w:rPr>
        <w:t>.</w:t>
      </w:r>
    </w:p>
    <w:p w14:paraId="39972443" w14:textId="77777777" w:rsidR="00344922" w:rsidRPr="00344922" w:rsidRDefault="00344922" w:rsidP="00FC2B03">
      <w:pPr>
        <w:pStyle w:val="Default"/>
        <w:jc w:val="both"/>
      </w:pPr>
    </w:p>
    <w:p w14:paraId="3741F7CD" w14:textId="78CC46DD" w:rsidR="00344922" w:rsidRDefault="00344922" w:rsidP="00FC2B03">
      <w:pPr>
        <w:jc w:val="both"/>
      </w:pPr>
      <w:r w:rsidRPr="00A54650">
        <w:t xml:space="preserve">NEGRÃO, F. C.; RAMOS, E. S.; SOUZA, A. M. Transversalidade na educação psicomotora: desenvolvendo a docência em espaços não formais. In: III CONGRESSO NACIONAL DE EDUCAÇÃO, 2016, Natal. </w:t>
      </w:r>
      <w:r w:rsidRPr="00A54650">
        <w:rPr>
          <w:b/>
          <w:bCs/>
        </w:rPr>
        <w:t xml:space="preserve">Anais... </w:t>
      </w:r>
      <w:r w:rsidRPr="00A54650">
        <w:t>Natal: Realize Eventos e Editora, 2016. p. 01-10.</w:t>
      </w:r>
    </w:p>
    <w:p w14:paraId="4FC792DB" w14:textId="77777777" w:rsidR="00344922" w:rsidRPr="00A54650" w:rsidRDefault="00344922" w:rsidP="00FC2B03">
      <w:pPr>
        <w:jc w:val="both"/>
        <w:rPr>
          <w:color w:val="FF0000"/>
        </w:rPr>
      </w:pPr>
    </w:p>
    <w:p w14:paraId="5C83E914" w14:textId="4C5CA7B4" w:rsidR="00024AA9" w:rsidRDefault="00024AA9" w:rsidP="00FC2B03">
      <w:pPr>
        <w:pStyle w:val="Default"/>
        <w:jc w:val="both"/>
      </w:pPr>
      <w:r w:rsidRPr="00A54650">
        <w:t xml:space="preserve">NEGRÃO, F. C.; REIS, A. R. H. A cultura amazônica e o ensino de geografia no Centro Histórico de Manaus (AM). In: I CONGRESSO NORTE NORDESTE DE EDUCAÇÃO, 2017, Fortaleza. </w:t>
      </w:r>
      <w:r w:rsidRPr="00A54650">
        <w:rPr>
          <w:b/>
          <w:bCs/>
        </w:rPr>
        <w:t xml:space="preserve">Anais... </w:t>
      </w:r>
      <w:r w:rsidRPr="00A54650">
        <w:t xml:space="preserve">Campina Grande: Editora Realize, 2017. p. 147-159. </w:t>
      </w:r>
    </w:p>
    <w:p w14:paraId="199A782A" w14:textId="3686D1C4" w:rsidR="00A54650" w:rsidRDefault="00A54650" w:rsidP="00A54650">
      <w:pPr>
        <w:pStyle w:val="Default"/>
        <w:jc w:val="both"/>
      </w:pPr>
    </w:p>
    <w:p w14:paraId="6D2A2870" w14:textId="3449FAFE" w:rsidR="009F4E43" w:rsidRPr="00A54650" w:rsidRDefault="009F4E43" w:rsidP="00A54650">
      <w:pPr>
        <w:pStyle w:val="Default"/>
        <w:jc w:val="both"/>
      </w:pPr>
      <w:r>
        <w:t xml:space="preserve">MARANDINO, M. Educação em Museus de História Natural: Possibilidades e Desafios de um Programa de Pesquisa. </w:t>
      </w:r>
      <w:r w:rsidRPr="009F4E43">
        <w:rPr>
          <w:b/>
          <w:bCs/>
        </w:rPr>
        <w:t>Enseñanza de las Ciencias</w:t>
      </w:r>
      <w:r>
        <w:t>, Número Extra, 2005</w:t>
      </w:r>
      <w:r>
        <w:t>.</w:t>
      </w:r>
    </w:p>
    <w:p w14:paraId="597231B2" w14:textId="77777777" w:rsidR="009174D9" w:rsidRDefault="009174D9" w:rsidP="009174D9">
      <w:pPr>
        <w:spacing w:line="360" w:lineRule="auto"/>
        <w:jc w:val="both"/>
      </w:pPr>
    </w:p>
    <w:p w14:paraId="725FBD8D" w14:textId="77777777" w:rsidR="009174D9" w:rsidRDefault="009174D9" w:rsidP="009174D9">
      <w:pPr>
        <w:spacing w:line="360" w:lineRule="auto"/>
        <w:jc w:val="both"/>
      </w:pPr>
    </w:p>
    <w:p w14:paraId="1F3CBFA6" w14:textId="77777777" w:rsidR="00344922" w:rsidRPr="00A54650" w:rsidRDefault="00344922">
      <w:pPr>
        <w:jc w:val="both"/>
        <w:rPr>
          <w:color w:val="FF0000"/>
        </w:rPr>
      </w:pPr>
    </w:p>
    <w:sectPr w:rsidR="00344922" w:rsidRPr="00A54650">
      <w:footerReference w:type="default" r:id="rId8"/>
      <w:headerReference w:type="first" r:id="rId9"/>
      <w:footerReference w:type="first" r:id="rId10"/>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0648" w14:textId="77777777" w:rsidR="003D07F7" w:rsidRDefault="003D07F7">
      <w:r>
        <w:separator/>
      </w:r>
    </w:p>
  </w:endnote>
  <w:endnote w:type="continuationSeparator" w:id="0">
    <w:p w14:paraId="1BF6CEEB" w14:textId="77777777" w:rsidR="003D07F7" w:rsidRDefault="003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AF" w14:textId="77777777" w:rsidR="001A4827" w:rsidRDefault="001A4827">
    <w:pPr>
      <w:pBdr>
        <w:top w:val="nil"/>
        <w:left w:val="nil"/>
        <w:bottom w:val="nil"/>
        <w:right w:val="nil"/>
        <w:between w:val="nil"/>
      </w:pBdr>
      <w:tabs>
        <w:tab w:val="center" w:pos="4252"/>
        <w:tab w:val="right" w:pos="8504"/>
      </w:tabs>
      <w:jc w:val="center"/>
      <w:rPr>
        <w:color w:val="000000"/>
      </w:rPr>
    </w:pPr>
  </w:p>
  <w:p w14:paraId="7CD9BCB0" w14:textId="3800C9B3" w:rsidR="001A4827" w:rsidRDefault="000E128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93C4C">
      <w:rPr>
        <w:noProof/>
        <w:color w:val="000000"/>
      </w:rPr>
      <w:t>12</w:t>
    </w:r>
    <w:r>
      <w:rPr>
        <w:color w:val="000000"/>
      </w:rPr>
      <w:fldChar w:fldCharType="end"/>
    </w:r>
  </w:p>
  <w:p w14:paraId="7CD9BCB1" w14:textId="77777777" w:rsidR="001A4827" w:rsidRDefault="001A4827">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B3" w14:textId="77777777" w:rsidR="001A4827" w:rsidRDefault="001A4827">
    <w:pPr>
      <w:pBdr>
        <w:top w:val="nil"/>
        <w:left w:val="nil"/>
        <w:bottom w:val="nil"/>
        <w:right w:val="nil"/>
        <w:between w:val="nil"/>
      </w:pBdr>
      <w:tabs>
        <w:tab w:val="center" w:pos="4252"/>
        <w:tab w:val="right" w:pos="8504"/>
      </w:tabs>
      <w:jc w:val="center"/>
      <w:rPr>
        <w:color w:val="000000"/>
      </w:rPr>
    </w:pPr>
  </w:p>
  <w:p w14:paraId="7CD9BCB4" w14:textId="4ADA5BF5" w:rsidR="001A4827" w:rsidRDefault="000E128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93C4C">
      <w:rPr>
        <w:noProof/>
        <w:color w:val="000000"/>
      </w:rPr>
      <w:t>1</w:t>
    </w:r>
    <w:r>
      <w:rPr>
        <w:color w:val="000000"/>
      </w:rPr>
      <w:fldChar w:fldCharType="end"/>
    </w:r>
  </w:p>
  <w:p w14:paraId="7CD9BCB5" w14:textId="77777777" w:rsidR="001A4827" w:rsidRDefault="001A4827">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EB2F5" w14:textId="77777777" w:rsidR="003D07F7" w:rsidRDefault="003D07F7">
      <w:r>
        <w:separator/>
      </w:r>
    </w:p>
  </w:footnote>
  <w:footnote w:type="continuationSeparator" w:id="0">
    <w:p w14:paraId="27717F4C" w14:textId="77777777" w:rsidR="003D07F7" w:rsidRDefault="003D07F7">
      <w:r>
        <w:continuationSeparator/>
      </w:r>
    </w:p>
  </w:footnote>
  <w:footnote w:id="1">
    <w:p w14:paraId="7E5DB666" w14:textId="642422E4" w:rsidR="002B2DF5" w:rsidRPr="000A78CB" w:rsidRDefault="002B2DF5" w:rsidP="002B2DF5">
      <w:pPr>
        <w:pBdr>
          <w:top w:val="nil"/>
          <w:left w:val="nil"/>
          <w:bottom w:val="nil"/>
          <w:right w:val="nil"/>
          <w:between w:val="nil"/>
        </w:pBdr>
        <w:jc w:val="both"/>
        <w:rPr>
          <w:color w:val="000000"/>
          <w:sz w:val="20"/>
          <w:szCs w:val="20"/>
        </w:rPr>
      </w:pPr>
      <w:r w:rsidRPr="000A78CB">
        <w:rPr>
          <w:sz w:val="20"/>
          <w:szCs w:val="20"/>
          <w:vertAlign w:val="superscript"/>
        </w:rPr>
        <w:footnoteRef/>
      </w:r>
      <w:r w:rsidRPr="000A78CB">
        <w:rPr>
          <w:color w:val="000000"/>
          <w:sz w:val="20"/>
          <w:szCs w:val="20"/>
        </w:rPr>
        <w:t xml:space="preserve"> </w:t>
      </w:r>
      <w:r w:rsidR="00A07E7D" w:rsidRPr="000A78CB">
        <w:rPr>
          <w:color w:val="000000"/>
          <w:sz w:val="20"/>
          <w:szCs w:val="20"/>
        </w:rPr>
        <w:t>P</w:t>
      </w:r>
      <w:r w:rsidRPr="000A78CB">
        <w:rPr>
          <w:color w:val="000000"/>
          <w:sz w:val="20"/>
          <w:szCs w:val="20"/>
        </w:rPr>
        <w:t xml:space="preserve">rofessor do curso </w:t>
      </w:r>
      <w:r w:rsidR="00A07E7D" w:rsidRPr="000A78CB">
        <w:rPr>
          <w:color w:val="000000"/>
          <w:sz w:val="20"/>
          <w:szCs w:val="20"/>
        </w:rPr>
        <w:t>de Pedagogia</w:t>
      </w:r>
      <w:r w:rsidR="001C64C2" w:rsidRPr="000A78CB">
        <w:rPr>
          <w:color w:val="000000"/>
          <w:sz w:val="20"/>
          <w:szCs w:val="20"/>
        </w:rPr>
        <w:t xml:space="preserve"> d</w:t>
      </w:r>
      <w:r w:rsidRPr="000A78CB">
        <w:rPr>
          <w:color w:val="000000"/>
          <w:sz w:val="20"/>
          <w:szCs w:val="20"/>
        </w:rPr>
        <w:t xml:space="preserve">a Universidade </w:t>
      </w:r>
      <w:r w:rsidR="001C64C2" w:rsidRPr="000A78CB">
        <w:rPr>
          <w:color w:val="000000"/>
          <w:sz w:val="20"/>
          <w:szCs w:val="20"/>
        </w:rPr>
        <w:t>Federal do Amazonas.</w:t>
      </w:r>
      <w:r w:rsidRPr="000A78CB">
        <w:rPr>
          <w:color w:val="000000"/>
          <w:sz w:val="20"/>
          <w:szCs w:val="20"/>
        </w:rPr>
        <w:t xml:space="preserve"> Pesquisa sobre</w:t>
      </w:r>
      <w:r w:rsidR="00373449" w:rsidRPr="000A78CB">
        <w:rPr>
          <w:color w:val="000000"/>
          <w:sz w:val="20"/>
          <w:szCs w:val="20"/>
        </w:rPr>
        <w:t xml:space="preserve"> </w:t>
      </w:r>
      <w:r w:rsidR="000A78CB" w:rsidRPr="000A78CB">
        <w:rPr>
          <w:color w:val="000000"/>
          <w:sz w:val="20"/>
          <w:szCs w:val="20"/>
        </w:rPr>
        <w:t>Espaços formais e informais</w:t>
      </w:r>
      <w:r w:rsidR="008A051D" w:rsidRPr="000A78CB">
        <w:rPr>
          <w:color w:val="000000"/>
          <w:sz w:val="20"/>
          <w:szCs w:val="20"/>
        </w:rPr>
        <w:t xml:space="preserve">. E-mail: </w:t>
      </w:r>
      <w:hyperlink r:id="rId1" w:history="1">
        <w:r w:rsidR="008A051D" w:rsidRPr="000A78CB">
          <w:rPr>
            <w:rStyle w:val="Hyperlink"/>
            <w:sz w:val="20"/>
            <w:szCs w:val="20"/>
          </w:rPr>
          <w:t>felipe.unl@hotmail.com</w:t>
        </w:r>
      </w:hyperlink>
      <w:r w:rsidR="008A051D" w:rsidRPr="000A78CB">
        <w:rPr>
          <w:color w:val="000000"/>
          <w:sz w:val="20"/>
          <w:szCs w:val="20"/>
        </w:rPr>
        <w:t xml:space="preserve"> </w:t>
      </w:r>
    </w:p>
  </w:footnote>
  <w:footnote w:id="2">
    <w:p w14:paraId="46C40C22" w14:textId="68E24262" w:rsidR="00296124" w:rsidRDefault="00296124" w:rsidP="009628E5">
      <w:pPr>
        <w:pStyle w:val="Textodenotaderodap"/>
        <w:jc w:val="both"/>
      </w:pPr>
      <w:r w:rsidRPr="000A78CB">
        <w:rPr>
          <w:rStyle w:val="Refdenotaderodap"/>
          <w:rFonts w:ascii="Times New Roman" w:hAnsi="Times New Roman" w:cs="Times New Roman"/>
        </w:rPr>
        <w:footnoteRef/>
      </w:r>
      <w:r w:rsidRPr="000A78CB">
        <w:rPr>
          <w:rFonts w:ascii="Times New Roman" w:hAnsi="Times New Roman" w:cs="Times New Roman"/>
        </w:rPr>
        <w:t xml:space="preserve"> </w:t>
      </w:r>
      <w:r w:rsidR="00387A33" w:rsidRPr="000A78CB">
        <w:rPr>
          <w:rFonts w:ascii="Times New Roman" w:hAnsi="Times New Roman" w:cs="Times New Roman"/>
          <w:color w:val="000000"/>
        </w:rPr>
        <w:t xml:space="preserve">Professora do curso de Dança da Universidade do Estado do Amazonas. Pesquisa </w:t>
      </w:r>
      <w:r w:rsidR="000A78CB" w:rsidRPr="000A78CB">
        <w:rPr>
          <w:rFonts w:ascii="Times New Roman" w:hAnsi="Times New Roman" w:cs="Times New Roman"/>
          <w:color w:val="000000"/>
        </w:rPr>
        <w:t xml:space="preserve">sobre </w:t>
      </w:r>
      <w:r w:rsidR="000A78CB" w:rsidRPr="000A78CB">
        <w:rPr>
          <w:rFonts w:ascii="Times New Roman" w:hAnsi="Times New Roman" w:cs="Times New Roman"/>
          <w:color w:val="000000"/>
        </w:rPr>
        <w:t>Espaços formais e informais</w:t>
      </w:r>
      <w:r w:rsidR="00387A33" w:rsidRPr="000A78CB">
        <w:rPr>
          <w:rFonts w:ascii="Times New Roman" w:hAnsi="Times New Roman" w:cs="Times New Roman"/>
          <w:color w:val="000000"/>
        </w:rPr>
        <w:t xml:space="preserve">. E-mail: </w:t>
      </w:r>
      <w:hyperlink r:id="rId2" w:history="1">
        <w:r w:rsidR="00445CF9" w:rsidRPr="000A78CB">
          <w:rPr>
            <w:rStyle w:val="Hyperlink"/>
            <w:rFonts w:ascii="Times New Roman" w:hAnsi="Times New Roman" w:cs="Times New Roman"/>
          </w:rPr>
          <w:t>profa.erika.ramos@gmail.com</w:t>
        </w:r>
      </w:hyperlink>
      <w:r w:rsidR="00445CF9" w:rsidRPr="000A78CB">
        <w:rPr>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B2" w14:textId="77777777" w:rsidR="001A4827" w:rsidRDefault="001A4827">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27"/>
    <w:rsid w:val="00000DA0"/>
    <w:rsid w:val="00010A8D"/>
    <w:rsid w:val="000221BF"/>
    <w:rsid w:val="00024AA9"/>
    <w:rsid w:val="00025597"/>
    <w:rsid w:val="00040ADC"/>
    <w:rsid w:val="00043567"/>
    <w:rsid w:val="00052691"/>
    <w:rsid w:val="00066AB1"/>
    <w:rsid w:val="00067034"/>
    <w:rsid w:val="00070110"/>
    <w:rsid w:val="0008227A"/>
    <w:rsid w:val="000844CB"/>
    <w:rsid w:val="00094754"/>
    <w:rsid w:val="00095446"/>
    <w:rsid w:val="000A78CB"/>
    <w:rsid w:val="000A7A64"/>
    <w:rsid w:val="000D04BD"/>
    <w:rsid w:val="000D51D5"/>
    <w:rsid w:val="000D63DA"/>
    <w:rsid w:val="000E1288"/>
    <w:rsid w:val="000E4784"/>
    <w:rsid w:val="0010508B"/>
    <w:rsid w:val="00132865"/>
    <w:rsid w:val="00137578"/>
    <w:rsid w:val="00142276"/>
    <w:rsid w:val="001461EC"/>
    <w:rsid w:val="00146444"/>
    <w:rsid w:val="00147559"/>
    <w:rsid w:val="00153CC8"/>
    <w:rsid w:val="001621F4"/>
    <w:rsid w:val="00174F5F"/>
    <w:rsid w:val="001776D2"/>
    <w:rsid w:val="001840EA"/>
    <w:rsid w:val="00191A71"/>
    <w:rsid w:val="00195D44"/>
    <w:rsid w:val="00197E7D"/>
    <w:rsid w:val="001A4827"/>
    <w:rsid w:val="001C5492"/>
    <w:rsid w:val="001C64C2"/>
    <w:rsid w:val="001D356A"/>
    <w:rsid w:val="001D58DE"/>
    <w:rsid w:val="001E1EB0"/>
    <w:rsid w:val="001E1F42"/>
    <w:rsid w:val="001E55B6"/>
    <w:rsid w:val="001E64AD"/>
    <w:rsid w:val="001F28AF"/>
    <w:rsid w:val="001F3315"/>
    <w:rsid w:val="001F6020"/>
    <w:rsid w:val="00226AEE"/>
    <w:rsid w:val="00230041"/>
    <w:rsid w:val="00237FF0"/>
    <w:rsid w:val="00240971"/>
    <w:rsid w:val="00240F2E"/>
    <w:rsid w:val="00244B51"/>
    <w:rsid w:val="0027125E"/>
    <w:rsid w:val="0027158B"/>
    <w:rsid w:val="00296124"/>
    <w:rsid w:val="00296CF8"/>
    <w:rsid w:val="002975AC"/>
    <w:rsid w:val="002A284C"/>
    <w:rsid w:val="002A47CA"/>
    <w:rsid w:val="002A5335"/>
    <w:rsid w:val="002B197A"/>
    <w:rsid w:val="002B2DF5"/>
    <w:rsid w:val="002B4BD5"/>
    <w:rsid w:val="002C076D"/>
    <w:rsid w:val="002C4DF0"/>
    <w:rsid w:val="002D2B0B"/>
    <w:rsid w:val="002D4FFD"/>
    <w:rsid w:val="002E4516"/>
    <w:rsid w:val="002E7FAA"/>
    <w:rsid w:val="002F5F8F"/>
    <w:rsid w:val="00306D7F"/>
    <w:rsid w:val="00307FB6"/>
    <w:rsid w:val="00310C73"/>
    <w:rsid w:val="0031321E"/>
    <w:rsid w:val="00320C5F"/>
    <w:rsid w:val="00344922"/>
    <w:rsid w:val="0034508A"/>
    <w:rsid w:val="003476C9"/>
    <w:rsid w:val="003511BB"/>
    <w:rsid w:val="003726A1"/>
    <w:rsid w:val="00373449"/>
    <w:rsid w:val="00384227"/>
    <w:rsid w:val="00387A33"/>
    <w:rsid w:val="003B7373"/>
    <w:rsid w:val="003B7B5C"/>
    <w:rsid w:val="003B7F3D"/>
    <w:rsid w:val="003C5686"/>
    <w:rsid w:val="003D07F7"/>
    <w:rsid w:val="003D1C20"/>
    <w:rsid w:val="003D62CD"/>
    <w:rsid w:val="003E4032"/>
    <w:rsid w:val="003F12B8"/>
    <w:rsid w:val="003F53A4"/>
    <w:rsid w:val="0043284E"/>
    <w:rsid w:val="00435D10"/>
    <w:rsid w:val="0044542A"/>
    <w:rsid w:val="00445CF9"/>
    <w:rsid w:val="004563E1"/>
    <w:rsid w:val="00473E3A"/>
    <w:rsid w:val="00482937"/>
    <w:rsid w:val="0049029C"/>
    <w:rsid w:val="00493B8F"/>
    <w:rsid w:val="00493C4C"/>
    <w:rsid w:val="00494875"/>
    <w:rsid w:val="004A131B"/>
    <w:rsid w:val="004A3E71"/>
    <w:rsid w:val="004C7C6F"/>
    <w:rsid w:val="004D007F"/>
    <w:rsid w:val="004D2BD3"/>
    <w:rsid w:val="004D31F9"/>
    <w:rsid w:val="004D7F2E"/>
    <w:rsid w:val="004E17F8"/>
    <w:rsid w:val="004E423A"/>
    <w:rsid w:val="004E533E"/>
    <w:rsid w:val="004F4396"/>
    <w:rsid w:val="004F4E31"/>
    <w:rsid w:val="00510603"/>
    <w:rsid w:val="0051160B"/>
    <w:rsid w:val="00517F5D"/>
    <w:rsid w:val="00530264"/>
    <w:rsid w:val="005328E0"/>
    <w:rsid w:val="005332E3"/>
    <w:rsid w:val="005453E5"/>
    <w:rsid w:val="005558DD"/>
    <w:rsid w:val="00571874"/>
    <w:rsid w:val="0057381D"/>
    <w:rsid w:val="00575C40"/>
    <w:rsid w:val="0058773C"/>
    <w:rsid w:val="005E434B"/>
    <w:rsid w:val="005E6DB6"/>
    <w:rsid w:val="005F3EC9"/>
    <w:rsid w:val="005F6BE1"/>
    <w:rsid w:val="005F6E2A"/>
    <w:rsid w:val="00600E8E"/>
    <w:rsid w:val="00601F3C"/>
    <w:rsid w:val="00602281"/>
    <w:rsid w:val="00614BD8"/>
    <w:rsid w:val="006445F4"/>
    <w:rsid w:val="0064653E"/>
    <w:rsid w:val="00651845"/>
    <w:rsid w:val="00663FBB"/>
    <w:rsid w:val="006666F3"/>
    <w:rsid w:val="00681A16"/>
    <w:rsid w:val="006825AD"/>
    <w:rsid w:val="00684D91"/>
    <w:rsid w:val="00694F4C"/>
    <w:rsid w:val="006A080D"/>
    <w:rsid w:val="006A4BCD"/>
    <w:rsid w:val="006A5A32"/>
    <w:rsid w:val="006E3ECA"/>
    <w:rsid w:val="006F7291"/>
    <w:rsid w:val="007031CA"/>
    <w:rsid w:val="00703B30"/>
    <w:rsid w:val="00724672"/>
    <w:rsid w:val="00742D2D"/>
    <w:rsid w:val="00744042"/>
    <w:rsid w:val="007549E0"/>
    <w:rsid w:val="00757087"/>
    <w:rsid w:val="00762DE4"/>
    <w:rsid w:val="00780169"/>
    <w:rsid w:val="00795EE9"/>
    <w:rsid w:val="007A2537"/>
    <w:rsid w:val="007C50DA"/>
    <w:rsid w:val="007C796A"/>
    <w:rsid w:val="007D2463"/>
    <w:rsid w:val="007E6274"/>
    <w:rsid w:val="008048BD"/>
    <w:rsid w:val="00826735"/>
    <w:rsid w:val="008356A6"/>
    <w:rsid w:val="0083613A"/>
    <w:rsid w:val="00851A04"/>
    <w:rsid w:val="008545DC"/>
    <w:rsid w:val="00855083"/>
    <w:rsid w:val="008562CE"/>
    <w:rsid w:val="00860546"/>
    <w:rsid w:val="00860D2E"/>
    <w:rsid w:val="008636BB"/>
    <w:rsid w:val="0086600D"/>
    <w:rsid w:val="00877467"/>
    <w:rsid w:val="00885C13"/>
    <w:rsid w:val="0088683D"/>
    <w:rsid w:val="00894DED"/>
    <w:rsid w:val="008A051D"/>
    <w:rsid w:val="008A1C9C"/>
    <w:rsid w:val="008C3F37"/>
    <w:rsid w:val="008C651E"/>
    <w:rsid w:val="008D58E1"/>
    <w:rsid w:val="008D7708"/>
    <w:rsid w:val="008E4ABE"/>
    <w:rsid w:val="008F1780"/>
    <w:rsid w:val="00910F49"/>
    <w:rsid w:val="009127F7"/>
    <w:rsid w:val="00913E21"/>
    <w:rsid w:val="009174D9"/>
    <w:rsid w:val="0092360E"/>
    <w:rsid w:val="00923B67"/>
    <w:rsid w:val="00924127"/>
    <w:rsid w:val="0093360B"/>
    <w:rsid w:val="009442E4"/>
    <w:rsid w:val="009442F9"/>
    <w:rsid w:val="009443A5"/>
    <w:rsid w:val="0095192C"/>
    <w:rsid w:val="009628E5"/>
    <w:rsid w:val="00974D5F"/>
    <w:rsid w:val="00981651"/>
    <w:rsid w:val="009863C3"/>
    <w:rsid w:val="009874C2"/>
    <w:rsid w:val="009B6571"/>
    <w:rsid w:val="009C25FE"/>
    <w:rsid w:val="009D2B87"/>
    <w:rsid w:val="009D4763"/>
    <w:rsid w:val="009E4D79"/>
    <w:rsid w:val="009F4E43"/>
    <w:rsid w:val="009F6947"/>
    <w:rsid w:val="009F6CCF"/>
    <w:rsid w:val="00A034C5"/>
    <w:rsid w:val="00A07605"/>
    <w:rsid w:val="00A07E7D"/>
    <w:rsid w:val="00A10DD6"/>
    <w:rsid w:val="00A15A12"/>
    <w:rsid w:val="00A15EB8"/>
    <w:rsid w:val="00A3305E"/>
    <w:rsid w:val="00A35893"/>
    <w:rsid w:val="00A462E5"/>
    <w:rsid w:val="00A47EA4"/>
    <w:rsid w:val="00A50DC4"/>
    <w:rsid w:val="00A54650"/>
    <w:rsid w:val="00A55FB9"/>
    <w:rsid w:val="00A651D9"/>
    <w:rsid w:val="00A65680"/>
    <w:rsid w:val="00A660DF"/>
    <w:rsid w:val="00A85451"/>
    <w:rsid w:val="00A86033"/>
    <w:rsid w:val="00A92BD1"/>
    <w:rsid w:val="00A968CC"/>
    <w:rsid w:val="00AA0CAE"/>
    <w:rsid w:val="00AA3661"/>
    <w:rsid w:val="00AA6ABE"/>
    <w:rsid w:val="00AB6886"/>
    <w:rsid w:val="00AC1F20"/>
    <w:rsid w:val="00AC5CFB"/>
    <w:rsid w:val="00AC5F5F"/>
    <w:rsid w:val="00AE4928"/>
    <w:rsid w:val="00AE517F"/>
    <w:rsid w:val="00AF163F"/>
    <w:rsid w:val="00B01267"/>
    <w:rsid w:val="00B032EF"/>
    <w:rsid w:val="00B1277A"/>
    <w:rsid w:val="00B278B1"/>
    <w:rsid w:val="00B30107"/>
    <w:rsid w:val="00B31264"/>
    <w:rsid w:val="00B32833"/>
    <w:rsid w:val="00B3667C"/>
    <w:rsid w:val="00B40399"/>
    <w:rsid w:val="00B51C3A"/>
    <w:rsid w:val="00B80F27"/>
    <w:rsid w:val="00B832CA"/>
    <w:rsid w:val="00B8336B"/>
    <w:rsid w:val="00B8770F"/>
    <w:rsid w:val="00B9533F"/>
    <w:rsid w:val="00BA19AF"/>
    <w:rsid w:val="00BA78B8"/>
    <w:rsid w:val="00BB5247"/>
    <w:rsid w:val="00BC7927"/>
    <w:rsid w:val="00BF3544"/>
    <w:rsid w:val="00C02499"/>
    <w:rsid w:val="00C1278F"/>
    <w:rsid w:val="00C21ADD"/>
    <w:rsid w:val="00C33BC7"/>
    <w:rsid w:val="00C35CF0"/>
    <w:rsid w:val="00C37339"/>
    <w:rsid w:val="00C45C4A"/>
    <w:rsid w:val="00C52A78"/>
    <w:rsid w:val="00C56EB5"/>
    <w:rsid w:val="00C71D69"/>
    <w:rsid w:val="00C740FD"/>
    <w:rsid w:val="00C95DA5"/>
    <w:rsid w:val="00C96379"/>
    <w:rsid w:val="00CB0188"/>
    <w:rsid w:val="00CD569E"/>
    <w:rsid w:val="00CE16C7"/>
    <w:rsid w:val="00CE3EB1"/>
    <w:rsid w:val="00D209BC"/>
    <w:rsid w:val="00D228AC"/>
    <w:rsid w:val="00D24563"/>
    <w:rsid w:val="00D4373D"/>
    <w:rsid w:val="00D45238"/>
    <w:rsid w:val="00D50617"/>
    <w:rsid w:val="00D61F47"/>
    <w:rsid w:val="00D7047B"/>
    <w:rsid w:val="00D70C7F"/>
    <w:rsid w:val="00D7168C"/>
    <w:rsid w:val="00D83BE1"/>
    <w:rsid w:val="00D874F7"/>
    <w:rsid w:val="00DA0782"/>
    <w:rsid w:val="00DB0780"/>
    <w:rsid w:val="00DC7A22"/>
    <w:rsid w:val="00DD0408"/>
    <w:rsid w:val="00DD2586"/>
    <w:rsid w:val="00DE150F"/>
    <w:rsid w:val="00DE3192"/>
    <w:rsid w:val="00DF0EAB"/>
    <w:rsid w:val="00DF4F5C"/>
    <w:rsid w:val="00E03A2C"/>
    <w:rsid w:val="00E0400B"/>
    <w:rsid w:val="00E11708"/>
    <w:rsid w:val="00E21B5C"/>
    <w:rsid w:val="00E3097F"/>
    <w:rsid w:val="00E351D1"/>
    <w:rsid w:val="00E37B96"/>
    <w:rsid w:val="00E42F64"/>
    <w:rsid w:val="00E45E0E"/>
    <w:rsid w:val="00E71391"/>
    <w:rsid w:val="00E74086"/>
    <w:rsid w:val="00E80215"/>
    <w:rsid w:val="00EC3FFA"/>
    <w:rsid w:val="00EF13FC"/>
    <w:rsid w:val="00EF1585"/>
    <w:rsid w:val="00F01ADA"/>
    <w:rsid w:val="00F128E7"/>
    <w:rsid w:val="00F12E68"/>
    <w:rsid w:val="00F15131"/>
    <w:rsid w:val="00F17CA4"/>
    <w:rsid w:val="00F3171D"/>
    <w:rsid w:val="00F32CFE"/>
    <w:rsid w:val="00F33996"/>
    <w:rsid w:val="00F366A4"/>
    <w:rsid w:val="00F4429E"/>
    <w:rsid w:val="00F501AE"/>
    <w:rsid w:val="00F539AD"/>
    <w:rsid w:val="00F67F9D"/>
    <w:rsid w:val="00F70C78"/>
    <w:rsid w:val="00F770E1"/>
    <w:rsid w:val="00F7711F"/>
    <w:rsid w:val="00F948C3"/>
    <w:rsid w:val="00F955CA"/>
    <w:rsid w:val="00F968AF"/>
    <w:rsid w:val="00FA14AB"/>
    <w:rsid w:val="00FA33A3"/>
    <w:rsid w:val="00FA6F4E"/>
    <w:rsid w:val="00FB05CE"/>
    <w:rsid w:val="00FB2755"/>
    <w:rsid w:val="00FB28D9"/>
    <w:rsid w:val="00FC0A26"/>
    <w:rsid w:val="00FC2B03"/>
    <w:rsid w:val="00FC481F"/>
    <w:rsid w:val="00FD7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BC54"/>
  <w15:docId w15:val="{F7E5D837-36FC-4721-B019-B58D2BB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Char">
    <w:name w:val="Título Char"/>
    <w:link w:val="Ttulo"/>
    <w:rsid w:val="00E74086"/>
    <w:rPr>
      <w:b/>
      <w:sz w:val="72"/>
      <w:szCs w:val="72"/>
    </w:rPr>
  </w:style>
  <w:style w:type="paragraph" w:styleId="NormalWeb">
    <w:name w:val="Normal (Web)"/>
    <w:basedOn w:val="Normal"/>
    <w:uiPriority w:val="99"/>
    <w:unhideWhenUsed/>
    <w:rsid w:val="00601F3C"/>
    <w:pPr>
      <w:spacing w:before="100" w:beforeAutospacing="1" w:after="100" w:afterAutospacing="1"/>
    </w:pPr>
    <w:rPr>
      <w:lang w:val="pt-BR"/>
    </w:rPr>
  </w:style>
  <w:style w:type="character" w:customStyle="1" w:styleId="apple-converted-space">
    <w:name w:val="apple-converted-space"/>
    <w:rsid w:val="00601F3C"/>
  </w:style>
  <w:style w:type="character" w:styleId="Hyperlink">
    <w:name w:val="Hyperlink"/>
    <w:basedOn w:val="Fontepargpadro"/>
    <w:uiPriority w:val="99"/>
    <w:unhideWhenUsed/>
    <w:rsid w:val="008A051D"/>
    <w:rPr>
      <w:color w:val="0000FF" w:themeColor="hyperlink"/>
      <w:u w:val="single"/>
    </w:rPr>
  </w:style>
  <w:style w:type="character" w:customStyle="1" w:styleId="MenoPendente1">
    <w:name w:val="Menção Pendente1"/>
    <w:basedOn w:val="Fontepargpadro"/>
    <w:uiPriority w:val="99"/>
    <w:semiHidden/>
    <w:unhideWhenUsed/>
    <w:rsid w:val="008A051D"/>
    <w:rPr>
      <w:color w:val="605E5C"/>
      <w:shd w:val="clear" w:color="auto" w:fill="E1DFDD"/>
    </w:rPr>
  </w:style>
  <w:style w:type="paragraph" w:styleId="Textodenotaderodap">
    <w:name w:val="footnote text"/>
    <w:basedOn w:val="Normal"/>
    <w:link w:val="TextodenotaderodapChar"/>
    <w:uiPriority w:val="99"/>
    <w:unhideWhenUsed/>
    <w:rsid w:val="003B7373"/>
    <w:rPr>
      <w:rFonts w:asciiTheme="minorHAnsi" w:eastAsia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uiPriority w:val="99"/>
    <w:rsid w:val="003B7373"/>
    <w:rPr>
      <w:rFonts w:asciiTheme="minorHAnsi" w:eastAsiaTheme="minorHAnsi" w:hAnsiTheme="minorHAnsi" w:cstheme="minorBidi"/>
      <w:sz w:val="20"/>
      <w:szCs w:val="20"/>
      <w:lang w:val="pt-BR" w:eastAsia="en-US"/>
    </w:rPr>
  </w:style>
  <w:style w:type="character" w:styleId="Refdenotaderodap">
    <w:name w:val="footnote reference"/>
    <w:basedOn w:val="Fontepargpadro"/>
    <w:uiPriority w:val="99"/>
    <w:semiHidden/>
    <w:unhideWhenUsed/>
    <w:rsid w:val="003B7373"/>
    <w:rPr>
      <w:vertAlign w:val="superscript"/>
    </w:rPr>
  </w:style>
  <w:style w:type="paragraph" w:styleId="Cabealho">
    <w:name w:val="header"/>
    <w:basedOn w:val="Normal"/>
    <w:link w:val="CabealhoChar"/>
    <w:uiPriority w:val="99"/>
    <w:unhideWhenUsed/>
    <w:rsid w:val="00571874"/>
    <w:pPr>
      <w:tabs>
        <w:tab w:val="center" w:pos="4252"/>
        <w:tab w:val="right" w:pos="8504"/>
      </w:tabs>
    </w:pPr>
  </w:style>
  <w:style w:type="character" w:customStyle="1" w:styleId="CabealhoChar">
    <w:name w:val="Cabeçalho Char"/>
    <w:basedOn w:val="Fontepargpadro"/>
    <w:link w:val="Cabealho"/>
    <w:uiPriority w:val="99"/>
    <w:rsid w:val="00571874"/>
  </w:style>
  <w:style w:type="paragraph" w:styleId="Rodap">
    <w:name w:val="footer"/>
    <w:basedOn w:val="Normal"/>
    <w:link w:val="RodapChar"/>
    <w:uiPriority w:val="99"/>
    <w:unhideWhenUsed/>
    <w:rsid w:val="00571874"/>
    <w:pPr>
      <w:tabs>
        <w:tab w:val="center" w:pos="4252"/>
        <w:tab w:val="right" w:pos="8504"/>
      </w:tabs>
    </w:pPr>
  </w:style>
  <w:style w:type="character" w:customStyle="1" w:styleId="RodapChar">
    <w:name w:val="Rodapé Char"/>
    <w:basedOn w:val="Fontepargpadro"/>
    <w:link w:val="Rodap"/>
    <w:uiPriority w:val="99"/>
    <w:rsid w:val="00571874"/>
  </w:style>
  <w:style w:type="table" w:customStyle="1" w:styleId="SombreamentoClaro-nfase11">
    <w:name w:val="Sombreamento Claro - Ênfase 11"/>
    <w:basedOn w:val="Tabelanormal"/>
    <w:next w:val="SombreamentoClaro-nfase1"/>
    <w:uiPriority w:val="60"/>
    <w:rsid w:val="007D2463"/>
    <w:rPr>
      <w:rFonts w:ascii="Calibri" w:hAnsi="Calibri"/>
      <w:color w:val="365F91"/>
      <w:sz w:val="22"/>
      <w:szCs w:val="22"/>
      <w:lang w:val="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1">
    <w:name w:val="Light Shading Accent 1"/>
    <w:basedOn w:val="Tabelanormal"/>
    <w:uiPriority w:val="60"/>
    <w:semiHidden/>
    <w:unhideWhenUsed/>
    <w:rsid w:val="007D24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faseSutil">
    <w:name w:val="Subtle Emphasis"/>
    <w:basedOn w:val="Fontepargpadro"/>
    <w:uiPriority w:val="19"/>
    <w:qFormat/>
    <w:rsid w:val="003E4032"/>
    <w:rPr>
      <w:i/>
      <w:iCs/>
      <w:color w:val="7F7F7F" w:themeColor="text1" w:themeTint="80"/>
    </w:rPr>
  </w:style>
  <w:style w:type="paragraph" w:customStyle="1" w:styleId="Default">
    <w:name w:val="Default"/>
    <w:rsid w:val="00DD2586"/>
    <w:pPr>
      <w:autoSpaceDE w:val="0"/>
      <w:autoSpaceDN w:val="0"/>
      <w:adjustRightInd w:val="0"/>
    </w:pPr>
    <w:rPr>
      <w:color w:val="000000"/>
      <w:lang w:val="pt-BR"/>
    </w:rPr>
  </w:style>
  <w:style w:type="character" w:styleId="nfase">
    <w:name w:val="Emphasis"/>
    <w:basedOn w:val="Fontepargpadro"/>
    <w:uiPriority w:val="20"/>
    <w:qFormat/>
    <w:rsid w:val="00344922"/>
    <w:rPr>
      <w:i/>
      <w:iCs/>
    </w:rPr>
  </w:style>
  <w:style w:type="paragraph" w:styleId="PargrafodaLista">
    <w:name w:val="List Paragraph"/>
    <w:basedOn w:val="Normal"/>
    <w:link w:val="PargrafodaListaChar"/>
    <w:uiPriority w:val="34"/>
    <w:qFormat/>
    <w:rsid w:val="00B032EF"/>
    <w:pPr>
      <w:ind w:left="708"/>
    </w:pPr>
    <w:rPr>
      <w:lang w:val="pt-BR"/>
    </w:rPr>
  </w:style>
  <w:style w:type="character" w:customStyle="1" w:styleId="PargrafodaListaChar">
    <w:name w:val="Parágrafo da Lista Char"/>
    <w:link w:val="PargrafodaLista"/>
    <w:uiPriority w:val="34"/>
    <w:rsid w:val="00B032EF"/>
    <w:rPr>
      <w:lang w:val="pt-BR"/>
    </w:rPr>
  </w:style>
  <w:style w:type="character" w:customStyle="1" w:styleId="MenoPendente2">
    <w:name w:val="Menção Pendente2"/>
    <w:basedOn w:val="Fontepargpadro"/>
    <w:uiPriority w:val="99"/>
    <w:semiHidden/>
    <w:unhideWhenUsed/>
    <w:rsid w:val="0044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profa.erika.ramos@gmail.com" TargetMode="External"/><Relationship Id="rId1" Type="http://schemas.openxmlformats.org/officeDocument/2006/relationships/hyperlink" Target="mailto:felipe.un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D064-A34B-4113-A0C3-9FC97E94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4398</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Felipe Negrão</cp:lastModifiedBy>
  <cp:revision>49</cp:revision>
  <dcterms:created xsi:type="dcterms:W3CDTF">2020-05-31T20:46:00Z</dcterms:created>
  <dcterms:modified xsi:type="dcterms:W3CDTF">2020-06-01T00:16:00Z</dcterms:modified>
</cp:coreProperties>
</file>