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A1AB2" w14:textId="77777777" w:rsidR="00483094" w:rsidRPr="0009257C" w:rsidRDefault="00483094" w:rsidP="00454084">
      <w:pPr>
        <w:pStyle w:val="Corpodetexto"/>
        <w:spacing w:after="100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29E7A6" w14:textId="5A03F97A" w:rsidR="00C211DF" w:rsidRDefault="00664C8B" w:rsidP="00B30C28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ROTAVÍRUS HUMANO: COBERTURA VACINAL EM BÉLEM E ANANINDEUA</w:t>
      </w:r>
    </w:p>
    <w:p w14:paraId="6586A026" w14:textId="77777777" w:rsidR="00B30C28" w:rsidRPr="00C211DF" w:rsidRDefault="00B30C28" w:rsidP="00B30C28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2AE9A8E4" w14:textId="1A58A719" w:rsidR="00483094" w:rsidRPr="0009257C" w:rsidRDefault="00483094" w:rsidP="00483094">
      <w:pPr>
        <w:pStyle w:val="Corpodetexto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INTRODUÇÃO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9257C">
        <w:rPr>
          <w:rFonts w:ascii="Times New Roman" w:hAnsi="Times New Roman" w:cs="Times New Roman"/>
          <w:sz w:val="24"/>
          <w:szCs w:val="24"/>
        </w:rPr>
        <w:t xml:space="preserve"> </w:t>
      </w:r>
      <w:r w:rsidR="005E0B43" w:rsidRPr="005E0B43">
        <w:rPr>
          <w:rFonts w:ascii="Times New Roman" w:hAnsi="Times New Roman" w:cs="Times New Roman"/>
          <w:sz w:val="24"/>
          <w:szCs w:val="24"/>
        </w:rPr>
        <w:t>O rotavírus é um agente causador significativo das doenças diarreicas agudas, contribuindo para um alto número de casos de diarreia grave em crianças com menos de cinco anos, sobretudo em países em desenvolvimento. A elevada transmissibilidade, combinada com o risco de complicações como desidratação e até mesmo morte, faz com que o assunto seja importante para a saúde pública. Entender o agente causador, modos de transmissão, diagnóstico, sintomas, tratamento e medidas preventivas, como a vacinação, é fundamental para diminuir a morbimortalidade relacionada à infecção</w:t>
      </w:r>
      <w:r w:rsidRPr="0009257C">
        <w:rPr>
          <w:rFonts w:ascii="Times New Roman" w:hAnsi="Times New Roman" w:cs="Times New Roman"/>
          <w:sz w:val="24"/>
          <w:szCs w:val="24"/>
        </w:rPr>
        <w:t xml:space="preserve">.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OBJETIVO: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0B43" w:rsidRPr="005E0B43">
        <w:rPr>
          <w:rFonts w:ascii="Times New Roman" w:hAnsi="Times New Roman" w:cs="Times New Roman"/>
          <w:color w:val="000000" w:themeColor="text1"/>
          <w:sz w:val="24"/>
          <w:szCs w:val="24"/>
        </w:rPr>
        <w:t>Avaliar a cobertura vacinal contra o rotavírus nos municípios de Belém e Ananindeua nos anos de 2021 e 2022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MÉTODO: </w:t>
      </w:r>
      <w:r w:rsidR="005E0B43" w:rsidRPr="005E0B43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Trata-se de um estudo epidemiológico, quantitativo, retrospectivo e transversal. Com dados secundários retirados do DATASUS/TABNET, utilizando os descritores "rotavírus", "Belém e Ananindeua", "doses aplicadas nos anos de 2021 e 2022"</w:t>
      </w:r>
      <w:r w:rsidR="005E0B43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  <w:r w:rsidR="005E0B4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sz w:val="24"/>
          <w:szCs w:val="24"/>
        </w:rPr>
        <w:t>RESULTADOS:</w:t>
      </w:r>
      <w:r w:rsidRPr="0009257C">
        <w:rPr>
          <w:rFonts w:ascii="Times New Roman" w:hAnsi="Times New Roman" w:cs="Times New Roman"/>
          <w:sz w:val="24"/>
          <w:szCs w:val="24"/>
        </w:rPr>
        <w:t> </w:t>
      </w:r>
      <w:r w:rsidR="005E0B43" w:rsidRPr="005E0B43">
        <w:rPr>
          <w:rFonts w:ascii="Times New Roman" w:hAnsi="Times New Roman" w:cs="Times New Roman"/>
          <w:sz w:val="24"/>
          <w:szCs w:val="24"/>
        </w:rPr>
        <w:t xml:space="preserve">A análise dos dados do Datasus para 2021 e 2022 mostra que a cobertura vacinal contra o </w:t>
      </w:r>
      <w:r w:rsidR="000313EA">
        <w:rPr>
          <w:rFonts w:ascii="Times New Roman" w:hAnsi="Times New Roman" w:cs="Times New Roman"/>
          <w:sz w:val="24"/>
          <w:szCs w:val="24"/>
        </w:rPr>
        <w:t>R</w:t>
      </w:r>
      <w:r w:rsidR="005E0B43" w:rsidRPr="005E0B43">
        <w:rPr>
          <w:rFonts w:ascii="Times New Roman" w:hAnsi="Times New Roman" w:cs="Times New Roman"/>
          <w:sz w:val="24"/>
          <w:szCs w:val="24"/>
        </w:rPr>
        <w:t>otavírus (VORH) em Ananindeua permanece abaixo das metas do Ministério da Saúde. Em 2021, apenas 4.666 (18,19%) das doses foram aplicadas, aumentando para 6.654 (25,07%) em 2022. Em Belém, observou-se situação oposta: a cobertura passou de 20.990 (81,81%) em 2021 para 19.885 (74,93%) em 2022</w:t>
      </w:r>
      <w:r w:rsidR="005E0B43">
        <w:rPr>
          <w:rFonts w:ascii="Times New Roman" w:hAnsi="Times New Roman" w:cs="Times New Roman"/>
          <w:sz w:val="24"/>
          <w:szCs w:val="24"/>
        </w:rPr>
        <w:t>.</w:t>
      </w:r>
    </w:p>
    <w:p w14:paraId="61010EFD" w14:textId="66370DD6" w:rsidR="00483094" w:rsidRPr="0009257C" w:rsidRDefault="00483094" w:rsidP="00483094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CONSIDERAÇÕES FINAIS</w:t>
      </w:r>
      <w:r w:rsidR="00F3228A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8391C">
        <w:rPr>
          <w:rFonts w:ascii="Times New Roman" w:hAnsi="Times New Roman" w:cs="Times New Roman"/>
          <w:sz w:val="24"/>
          <w:szCs w:val="24"/>
        </w:rPr>
        <w:t xml:space="preserve"> </w:t>
      </w:r>
      <w:r w:rsidR="00E8391C" w:rsidRPr="00E8391C">
        <w:rPr>
          <w:rFonts w:ascii="Times New Roman" w:hAnsi="Times New Roman" w:cs="Times New Roman"/>
          <w:sz w:val="24"/>
          <w:szCs w:val="24"/>
        </w:rPr>
        <w:t>Os dados analisados mostram comportamentos distintos entre Ananindeua e Belém quanto à cobertura vacinal da VORH em 2021 e 2022. Ananindeua apresentou crescimento, porém manteve índices muito abaixo das metas, evidenciando fragilidades no acompanhamento vacinal. Belém, embora com cobertura superior, apresentou redução no período, apontando a necessidade de estratégias para evitar queda contínua.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CONTRIBUIÇÕES PARA A ENFERMAGEM: </w:t>
      </w:r>
      <w:r w:rsidR="00F3228A" w:rsidRPr="00F3228A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O presente estudo contribui para a prática da enfermagem ao evidenciar a importância do monitoramento contínuo da cobertura vacinal contra o rotavírus, especialmente no âmbito da Atenção Primária à Saúde</w:t>
      </w:r>
      <w:r w:rsidR="00F3228A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00A8E9C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1D90BE" w14:textId="0461BC9A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Descritores (DeCS – ID): </w:t>
      </w:r>
      <w:r w:rsidR="00C56A23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454084">
        <w:rPr>
          <w:rFonts w:ascii="Times New Roman" w:hAnsi="Times New Roman" w:cs="Times New Roman"/>
          <w:color w:val="000000" w:themeColor="text1"/>
          <w:sz w:val="24"/>
          <w:szCs w:val="24"/>
        </w:rPr>
        <w:t>otav</w:t>
      </w:r>
      <w:r w:rsidR="00C56A2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454084">
        <w:rPr>
          <w:rFonts w:ascii="Times New Roman" w:hAnsi="Times New Roman" w:cs="Times New Roman"/>
          <w:color w:val="000000" w:themeColor="text1"/>
          <w:sz w:val="24"/>
          <w:szCs w:val="24"/>
        </w:rPr>
        <w:t>rus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C56A23">
        <w:rPr>
          <w:rFonts w:ascii="Times New Roman" w:hAnsi="Times New Roman" w:cs="Times New Roman"/>
          <w:color w:val="000000" w:themeColor="text1"/>
          <w:sz w:val="24"/>
          <w:szCs w:val="24"/>
        </w:rPr>
        <w:t>D0124001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CA69B7">
        <w:rPr>
          <w:rFonts w:ascii="Times New Roman" w:hAnsi="Times New Roman" w:cs="Times New Roman"/>
          <w:color w:val="000000" w:themeColor="text1"/>
          <w:sz w:val="24"/>
          <w:szCs w:val="24"/>
        </w:rPr>
        <w:t>Cobertura vacinal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CA69B7">
        <w:rPr>
          <w:rFonts w:ascii="Times New Roman" w:hAnsi="Times New Roman" w:cs="Times New Roman"/>
          <w:color w:val="000000" w:themeColor="text1"/>
          <w:sz w:val="24"/>
          <w:szCs w:val="24"/>
        </w:rPr>
        <w:t>D000073887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4540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69B7">
        <w:rPr>
          <w:rFonts w:ascii="Times New Roman" w:hAnsi="Times New Roman" w:cs="Times New Roman"/>
          <w:color w:val="000000" w:themeColor="text1"/>
          <w:sz w:val="24"/>
          <w:szCs w:val="24"/>
        </w:rPr>
        <w:t>Vacinas contra Rotavirus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CA69B7">
        <w:rPr>
          <w:rFonts w:ascii="Times New Roman" w:hAnsi="Times New Roman" w:cs="Times New Roman"/>
          <w:color w:val="000000" w:themeColor="text1"/>
          <w:sz w:val="24"/>
          <w:szCs w:val="24"/>
        </w:rPr>
        <w:t>D022243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540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46C93A" w14:textId="0F5244F7" w:rsidR="00483094" w:rsidRPr="0009257C" w:rsidRDefault="00483094" w:rsidP="00483094">
      <w:pPr>
        <w:pStyle w:val="Corpodetexto"/>
        <w:spacing w:after="10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</w:t>
      </w:r>
      <w:r w:rsidR="00CA69B7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estudo 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 )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</w:p>
    <w:p w14:paraId="7EA2935A" w14:textId="79E68163" w:rsidR="00483094" w:rsidRPr="0009257C" w:rsidRDefault="00483094" w:rsidP="00483094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(</w:t>
      </w:r>
      <w:r w:rsidR="00CA69B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   ) revisão da literatura</w:t>
      </w:r>
    </w:p>
    <w:p w14:paraId="3DFBE95E" w14:textId="45A4D449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C56A2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Imunização/ vacinas e imunobiológicos</w:t>
      </w:r>
    </w:p>
    <w:p w14:paraId="043496CA" w14:textId="78BAC20B" w:rsidR="00483094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B323F2" w14:textId="77777777" w:rsidR="00B30C28" w:rsidRPr="0009257C" w:rsidRDefault="00B30C28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897C7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REFERÊNCIAS: </w:t>
      </w:r>
    </w:p>
    <w:p w14:paraId="65793DE4" w14:textId="4C5BCF32" w:rsidR="00483094" w:rsidRPr="00F51A59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56A2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6A23" w:rsidRPr="00F51A59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Gomes RNS, et al. Influência da vacina contra o rotavírus humano em hospitalizações por gastroenterite em crianças no Brasil. Texto Contexto Enferm. 2021;30:e20200354. doi: </w:t>
      </w:r>
      <w:hyperlink r:id="rId6" w:history="1">
        <w:r w:rsidR="00C56A23" w:rsidRPr="00F51A5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https://doi.org/10.1590/1980-265X-TCE-2020-0354</w:t>
        </w:r>
      </w:hyperlink>
      <w:r w:rsidRPr="00F51A5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723CF1" w14:textId="2FAFF2F1" w:rsidR="00C56A23" w:rsidRPr="00F51A59" w:rsidRDefault="00F51A59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A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C56A23" w:rsidRPr="00F51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Brasil. Ministério da Saúde. DATASUS. Sistema de Informações do Programa Nacional de Imunizações (SI-PNI). TABNET: Rotavírus Doses aplicadas nos municípios de Belém e Ananindeua nos anos de 2021 e 2022 [Internet]. Brasília: Ministério da Saúde; 2023 [citado 2026 maio 5]. Disponível em: </w:t>
      </w:r>
      <w:hyperlink r:id="rId7" w:history="1">
        <w:r w:rsidR="00C56A23" w:rsidRPr="00F51A59">
          <w:rPr>
            <w:rStyle w:val="Hyperlink"/>
            <w:rFonts w:ascii="Times New Roman" w:hAnsi="Times New Roman" w:cs="Times New Roman"/>
            <w:sz w:val="24"/>
            <w:szCs w:val="24"/>
          </w:rPr>
          <w:t>https://datasus.saude.gov.br/</w:t>
        </w:r>
      </w:hyperlink>
    </w:p>
    <w:p w14:paraId="1EC6AE0B" w14:textId="11758641" w:rsidR="00C56A23" w:rsidRPr="00F51A59" w:rsidRDefault="00C56A23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A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F51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Brasil. Ministério da Saúde. Rotavírus [Internet]. Brasília: Ministério da Saúde; 2025 [citado 2026 maio 5]. Disponível em: https://www.gov.br/saude/pt-br/assuntos/saude-de-a-a-z/r/rotavirus</w:t>
      </w:r>
    </w:p>
    <w:p w14:paraId="7748517B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BA77ED" w14:textId="522E2AB0" w:rsidR="00212EC8" w:rsidRPr="00B91040" w:rsidRDefault="0048309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br w:type="page"/>
      </w:r>
    </w:p>
    <w:sectPr w:rsidR="00212EC8" w:rsidRPr="00B9104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07743" w14:textId="77777777" w:rsidR="004431AA" w:rsidRDefault="004431AA" w:rsidP="0068569C">
      <w:pPr>
        <w:spacing w:before="0" w:after="0" w:line="240" w:lineRule="auto"/>
      </w:pPr>
      <w:r>
        <w:separator/>
      </w:r>
    </w:p>
  </w:endnote>
  <w:endnote w:type="continuationSeparator" w:id="0">
    <w:p w14:paraId="09D43ADE" w14:textId="77777777" w:rsidR="004431AA" w:rsidRDefault="004431AA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B25D6" w14:textId="77777777" w:rsidR="004431AA" w:rsidRDefault="004431AA" w:rsidP="0068569C">
      <w:pPr>
        <w:spacing w:before="0" w:after="0" w:line="240" w:lineRule="auto"/>
      </w:pPr>
      <w:r>
        <w:separator/>
      </w:r>
    </w:p>
  </w:footnote>
  <w:footnote w:type="continuationSeparator" w:id="0">
    <w:p w14:paraId="658A0BFF" w14:textId="77777777" w:rsidR="004431AA" w:rsidRDefault="004431AA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313EA"/>
    <w:rsid w:val="000519FD"/>
    <w:rsid w:val="001D7942"/>
    <w:rsid w:val="00212EC8"/>
    <w:rsid w:val="002177C6"/>
    <w:rsid w:val="002A4B74"/>
    <w:rsid w:val="002F6F1A"/>
    <w:rsid w:val="003817CE"/>
    <w:rsid w:val="00394382"/>
    <w:rsid w:val="004431AA"/>
    <w:rsid w:val="00454084"/>
    <w:rsid w:val="00483094"/>
    <w:rsid w:val="004B70AC"/>
    <w:rsid w:val="005E0B43"/>
    <w:rsid w:val="00664C8B"/>
    <w:rsid w:val="0068569C"/>
    <w:rsid w:val="007436FB"/>
    <w:rsid w:val="007958B3"/>
    <w:rsid w:val="00910551"/>
    <w:rsid w:val="009E1E9A"/>
    <w:rsid w:val="00AE08F5"/>
    <w:rsid w:val="00B10BE2"/>
    <w:rsid w:val="00B260CB"/>
    <w:rsid w:val="00B30C28"/>
    <w:rsid w:val="00B91040"/>
    <w:rsid w:val="00C211DF"/>
    <w:rsid w:val="00C56A23"/>
    <w:rsid w:val="00CA69B7"/>
    <w:rsid w:val="00E8391C"/>
    <w:rsid w:val="00F3228A"/>
    <w:rsid w:val="00F5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C56A2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6A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atasus.saude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590/1980-265X-TCE-2020-035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504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Hevile Brito</cp:lastModifiedBy>
  <cp:revision>5</cp:revision>
  <dcterms:created xsi:type="dcterms:W3CDTF">2026-05-05T22:24:00Z</dcterms:created>
  <dcterms:modified xsi:type="dcterms:W3CDTF">2026-05-05T22:41:00Z</dcterms:modified>
</cp:coreProperties>
</file>