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726A" w14:textId="73B37AD1" w:rsidR="00D22C20" w:rsidRPr="00D22C20" w:rsidRDefault="00D22C20" w:rsidP="00D22C20">
      <w:pPr>
        <w:jc w:val="center"/>
        <w:rPr>
          <w:rFonts w:ascii="Arial" w:hAnsi="Arial" w:cs="Arial"/>
          <w:b/>
          <w:sz w:val="24"/>
          <w:szCs w:val="24"/>
        </w:rPr>
      </w:pPr>
      <w:r w:rsidRPr="00D22C20">
        <w:rPr>
          <w:rFonts w:ascii="Arial" w:hAnsi="Arial" w:cs="Arial"/>
          <w:b/>
          <w:sz w:val="24"/>
          <w:szCs w:val="24"/>
        </w:rPr>
        <w:t>Síndrome de Guillain-Barrè induzida por Tacrolimus</w:t>
      </w:r>
    </w:p>
    <w:p w14:paraId="28C37FAF" w14:textId="77777777" w:rsidR="00D22C20" w:rsidRPr="00D22C20" w:rsidRDefault="00D22C20" w:rsidP="00D22C2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22C20">
        <w:rPr>
          <w:rFonts w:ascii="Arial" w:eastAsia="Times New Roman" w:hAnsi="Arial" w:cs="Arial"/>
          <w:sz w:val="24"/>
          <w:szCs w:val="24"/>
          <w:lang w:eastAsia="pt-BR"/>
        </w:rPr>
        <w:t>OBJETIVO: Relatar a neurotoxici</w:t>
      </w:r>
      <w:bookmarkStart w:id="0" w:name="_GoBack"/>
      <w:bookmarkEnd w:id="0"/>
      <w:r w:rsidRPr="00D22C20">
        <w:rPr>
          <w:rFonts w:ascii="Arial" w:eastAsia="Times New Roman" w:hAnsi="Arial" w:cs="Arial"/>
          <w:sz w:val="24"/>
          <w:szCs w:val="24"/>
          <w:lang w:eastAsia="pt-BR"/>
        </w:rPr>
        <w:t>dade do tacrolimus como indutor da síndrome de Guillain-Barrè (SGB). CASO: C.T.A., 58 anos, feminino, história prévia de cirrose hepática de provável etiologia NASH/esquistossomótica, internada eletivamente no Hospital Felício Rocho para transplante hepático, realizado em Junho/2023 sem intercorrências. Imunossupressão induzida com metilprednisolona e tacrolimus, o qual foi mantido na dose de 5mg 12/12 horas, além de Prednisona 20mg/dia. 20 dias após o transplante, a paciente evoluiu com tetraparesia flácida ascendente, simétrica, associada à parestesia bilateral, arreflexia, disartria. O quadro evoluiu ao longo de 48 horas, culminando em insuficiência respiratória aguda e necessidade de intubação orotraqueal. Propedêutica liquórica evidenciou dissociação proteíno-citológica e a eletroneuromiografia achados de polineuropatia sensitiva-motora mielínica primária, com leve degeneração axonal, preenchendo critérios para SGB.  Assim, iniciado imunoglobulina humana endovenosa (IgIV), por 5 dias. Levantou-se hipótese de quadro associado a resposta inflamatória pós-transplante ou associado ao tacrolimus. Por isso, o mesmo foi suspenso e substituído por ciclosporina. Existem na literatura relatos de polineuropatia induzida por inibidores da calcineurina em transplantados de órgãos sólidos, contudo, a fisiopatologia ainda não é totalmente compreendida. Há uma hipótese de que o tacrolimus poderia induzir um fenômeno inflamatório por efeitos diferenciais em subtipos de células T, o que está diretamente ligado aos altos níveis séricos da droga. O tratamento ideal nesse contexto ainda é desconhecido. Dados disponíveis na literatura sugerem melhora satisfatória da polineuropatia após IgIV e/ou plasmaférese, além da suspensão da droga. No caso em questão, a suspensão do tacrolimus e a realização IgIV possibilitou melhora neurológica importante com condições de extubação nos dias seguintes. CONCLUSÃO: A SGB após transplantes de órgãos é rara, podendo estar relacionado à resposta inflamatória, mas também aos medicamentos imunossupressores. Assim, torna-se importante o alto nível de suspeição em pacientes nesse contexto, uma vez que o subdiagnóstico e atraso do tratamento pode levar à incapacidade grave.</w:t>
      </w:r>
    </w:p>
    <w:p w14:paraId="1F774BE3" w14:textId="6BABB1E4" w:rsidR="00D22C20" w:rsidRDefault="00D22C20"/>
    <w:p w14:paraId="30B7D7A4" w14:textId="5EBE16F0" w:rsidR="00D22C20" w:rsidRDefault="00D22C20"/>
    <w:sectPr w:rsidR="00D22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44"/>
    <w:rsid w:val="000C4992"/>
    <w:rsid w:val="00112233"/>
    <w:rsid w:val="00125266"/>
    <w:rsid w:val="00196A20"/>
    <w:rsid w:val="001E7C08"/>
    <w:rsid w:val="002D41F2"/>
    <w:rsid w:val="00301AA7"/>
    <w:rsid w:val="00343DE2"/>
    <w:rsid w:val="004F5FEA"/>
    <w:rsid w:val="00532321"/>
    <w:rsid w:val="006120BA"/>
    <w:rsid w:val="00656439"/>
    <w:rsid w:val="006F488C"/>
    <w:rsid w:val="00796E95"/>
    <w:rsid w:val="007D4DF4"/>
    <w:rsid w:val="00935472"/>
    <w:rsid w:val="009E2CED"/>
    <w:rsid w:val="00A82FDA"/>
    <w:rsid w:val="00C54122"/>
    <w:rsid w:val="00CF2180"/>
    <w:rsid w:val="00CF277A"/>
    <w:rsid w:val="00D13C44"/>
    <w:rsid w:val="00D22C20"/>
    <w:rsid w:val="00F7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AAFA"/>
  <w15:chartTrackingRefBased/>
  <w15:docId w15:val="{0376C3FB-AFA2-4A49-B121-2FCCD576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43D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rsid w:val="00343DE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D22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Lacerda</dc:creator>
  <cp:keywords/>
  <dc:description/>
  <cp:lastModifiedBy>Danielle Lacerda</cp:lastModifiedBy>
  <cp:revision>13</cp:revision>
  <dcterms:created xsi:type="dcterms:W3CDTF">2023-08-21T23:01:00Z</dcterms:created>
  <dcterms:modified xsi:type="dcterms:W3CDTF">2023-08-22T01:30:00Z</dcterms:modified>
</cp:coreProperties>
</file>