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92424" w14:textId="094BEDED" w:rsidR="00DA011F" w:rsidRDefault="00EA3134" w:rsidP="00112E4D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>LONG-LASTING EFFECT</w:t>
      </w:r>
      <w:r w:rsidR="00112E4D">
        <w:rPr>
          <w:rFonts w:ascii="Times" w:hAnsi="Times"/>
          <w:b/>
          <w:sz w:val="24"/>
          <w:szCs w:val="24"/>
          <w:lang w:val="en-US"/>
        </w:rPr>
        <w:t>S</w:t>
      </w:r>
      <w:r>
        <w:rPr>
          <w:rFonts w:ascii="Times" w:hAnsi="Times"/>
          <w:b/>
          <w:sz w:val="24"/>
          <w:szCs w:val="24"/>
          <w:lang w:val="en-US"/>
        </w:rPr>
        <w:t xml:space="preserve"> OF </w:t>
      </w:r>
      <w:r w:rsidR="00112E4D" w:rsidRPr="00624F16">
        <w:rPr>
          <w:rFonts w:ascii="Times" w:hAnsi="Times"/>
          <w:b/>
          <w:iCs/>
          <w:sz w:val="24"/>
          <w:szCs w:val="24"/>
          <w:lang w:val="en-US"/>
        </w:rPr>
        <w:t>ASPICILIOID LICHENS</w:t>
      </w:r>
      <w:r>
        <w:rPr>
          <w:rFonts w:ascii="Times" w:hAnsi="Times"/>
          <w:b/>
          <w:sz w:val="24"/>
          <w:szCs w:val="24"/>
          <w:lang w:val="en-US"/>
        </w:rPr>
        <w:t xml:space="preserve"> ON </w:t>
      </w:r>
      <w:r w:rsidR="00112E4D">
        <w:rPr>
          <w:rFonts w:ascii="Times" w:hAnsi="Times"/>
          <w:b/>
          <w:sz w:val="24"/>
          <w:szCs w:val="24"/>
          <w:lang w:val="en-US"/>
        </w:rPr>
        <w:t xml:space="preserve">THE BIORECEPTIVITY OF </w:t>
      </w:r>
      <w:r>
        <w:rPr>
          <w:rFonts w:ascii="Times" w:hAnsi="Times"/>
          <w:b/>
          <w:sz w:val="24"/>
          <w:szCs w:val="24"/>
          <w:lang w:val="en-US"/>
        </w:rPr>
        <w:t>CARBONATE SUBSTRATES</w:t>
      </w:r>
    </w:p>
    <w:p w14:paraId="4B3CCE48" w14:textId="73694440" w:rsidR="002F4395" w:rsidRPr="00DA011F" w:rsidRDefault="00DA011F" w:rsidP="00B40CCD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it-IT"/>
        </w:rPr>
      </w:pPr>
      <w:r w:rsidRPr="00DA011F">
        <w:rPr>
          <w:rFonts w:ascii="Times" w:hAnsi="Times"/>
          <w:sz w:val="24"/>
          <w:szCs w:val="24"/>
          <w:lang w:val="it-IT"/>
        </w:rPr>
        <w:t>S</w:t>
      </w:r>
      <w:r>
        <w:rPr>
          <w:rFonts w:ascii="Times" w:hAnsi="Times"/>
          <w:sz w:val="24"/>
          <w:szCs w:val="24"/>
          <w:lang w:val="it-IT"/>
        </w:rPr>
        <w:t>ergio E. Favero-Longo</w:t>
      </w:r>
      <w:r w:rsidR="002F4395" w:rsidRPr="00DA011F">
        <w:rPr>
          <w:rFonts w:ascii="Times" w:hAnsi="Times"/>
          <w:sz w:val="24"/>
          <w:szCs w:val="24"/>
          <w:vertAlign w:val="superscript"/>
          <w:lang w:val="it-IT"/>
        </w:rPr>
        <w:t>1</w:t>
      </w:r>
      <w:r w:rsidR="0041562C" w:rsidRPr="00DA011F">
        <w:rPr>
          <w:rFonts w:ascii="Times" w:hAnsi="Times"/>
          <w:sz w:val="24"/>
          <w:szCs w:val="24"/>
          <w:vertAlign w:val="superscript"/>
          <w:lang w:val="it-IT"/>
        </w:rPr>
        <w:t>*</w:t>
      </w:r>
      <w:r w:rsidR="002F4395" w:rsidRPr="00DA011F">
        <w:rPr>
          <w:rFonts w:ascii="Times" w:hAnsi="Times"/>
          <w:sz w:val="24"/>
          <w:szCs w:val="24"/>
          <w:lang w:val="it-IT"/>
        </w:rPr>
        <w:t xml:space="preserve">; </w:t>
      </w:r>
      <w:r>
        <w:rPr>
          <w:rFonts w:ascii="Times" w:hAnsi="Times"/>
          <w:sz w:val="24"/>
          <w:szCs w:val="24"/>
          <w:lang w:val="it-IT"/>
        </w:rPr>
        <w:t>Chiara Tonon</w:t>
      </w:r>
      <w:r>
        <w:rPr>
          <w:rFonts w:ascii="Times" w:hAnsi="Times"/>
          <w:sz w:val="24"/>
          <w:szCs w:val="24"/>
          <w:vertAlign w:val="superscript"/>
          <w:lang w:val="it-IT"/>
        </w:rPr>
        <w:t>1</w:t>
      </w:r>
      <w:r w:rsidR="002F4395" w:rsidRPr="00DA011F">
        <w:rPr>
          <w:rFonts w:ascii="Times" w:hAnsi="Times"/>
          <w:sz w:val="24"/>
          <w:szCs w:val="24"/>
          <w:lang w:val="it-IT"/>
        </w:rPr>
        <w:t xml:space="preserve">; </w:t>
      </w:r>
      <w:r w:rsidR="00F0044D">
        <w:rPr>
          <w:rFonts w:ascii="Times" w:hAnsi="Times"/>
          <w:sz w:val="24"/>
          <w:szCs w:val="24"/>
          <w:lang w:val="it-IT"/>
        </w:rPr>
        <w:t>Davide Bernasconi</w:t>
      </w:r>
      <w:r w:rsidR="00F0044D">
        <w:rPr>
          <w:rFonts w:ascii="Times" w:hAnsi="Times"/>
          <w:sz w:val="24"/>
          <w:szCs w:val="24"/>
          <w:vertAlign w:val="superscript"/>
          <w:lang w:val="it-IT"/>
        </w:rPr>
        <w:t>1</w:t>
      </w:r>
      <w:r w:rsidR="00F0044D">
        <w:rPr>
          <w:rFonts w:ascii="Times" w:hAnsi="Times"/>
          <w:sz w:val="24"/>
          <w:szCs w:val="24"/>
          <w:lang w:val="it-IT"/>
        </w:rPr>
        <w:t xml:space="preserve">; </w:t>
      </w:r>
      <w:r w:rsidR="00B40CCD">
        <w:rPr>
          <w:rFonts w:ascii="Times" w:hAnsi="Times"/>
          <w:sz w:val="24"/>
          <w:szCs w:val="24"/>
          <w:lang w:val="it-IT"/>
        </w:rPr>
        <w:t>Maria R. Fidanza</w:t>
      </w:r>
      <w:r w:rsidR="00B40CCD" w:rsidRPr="00DA011F">
        <w:rPr>
          <w:rFonts w:ascii="Times" w:hAnsi="Times"/>
          <w:sz w:val="24"/>
          <w:szCs w:val="24"/>
          <w:vertAlign w:val="superscript"/>
          <w:lang w:val="it-IT"/>
        </w:rPr>
        <w:t>2</w:t>
      </w:r>
      <w:r w:rsidR="00B40CCD" w:rsidRPr="00DA011F">
        <w:rPr>
          <w:rFonts w:ascii="Times" w:hAnsi="Times"/>
          <w:sz w:val="24"/>
          <w:szCs w:val="24"/>
          <w:lang w:val="it-IT"/>
        </w:rPr>
        <w:t xml:space="preserve">; </w:t>
      </w:r>
      <w:r w:rsidR="00F0044D">
        <w:rPr>
          <w:rFonts w:ascii="Times" w:hAnsi="Times"/>
          <w:sz w:val="24"/>
          <w:szCs w:val="24"/>
          <w:lang w:val="it-IT"/>
        </w:rPr>
        <w:t>Linda Pastero</w:t>
      </w:r>
      <w:r w:rsidR="00F0044D">
        <w:rPr>
          <w:rFonts w:ascii="Times" w:hAnsi="Times"/>
          <w:sz w:val="24"/>
          <w:szCs w:val="24"/>
          <w:vertAlign w:val="superscript"/>
          <w:lang w:val="it-IT"/>
        </w:rPr>
        <w:t>1</w:t>
      </w:r>
      <w:r w:rsidR="00F0044D">
        <w:rPr>
          <w:rFonts w:ascii="Times" w:hAnsi="Times"/>
          <w:sz w:val="24"/>
          <w:szCs w:val="24"/>
          <w:lang w:val="it-IT"/>
        </w:rPr>
        <w:t xml:space="preserve">; </w:t>
      </w:r>
      <w:r>
        <w:rPr>
          <w:rFonts w:ascii="Times" w:hAnsi="Times"/>
          <w:sz w:val="24"/>
          <w:szCs w:val="24"/>
          <w:lang w:val="it-IT"/>
        </w:rPr>
        <w:t>Giulia Caneva</w:t>
      </w:r>
      <w:r w:rsidR="006C6BAE" w:rsidRPr="00DA011F">
        <w:rPr>
          <w:rFonts w:ascii="Times" w:hAnsi="Times"/>
          <w:sz w:val="24"/>
          <w:szCs w:val="24"/>
          <w:vertAlign w:val="superscript"/>
          <w:lang w:val="it-IT"/>
        </w:rPr>
        <w:t>2</w:t>
      </w:r>
      <w:bookmarkStart w:id="0" w:name="_GoBack"/>
      <w:bookmarkEnd w:id="0"/>
    </w:p>
    <w:p w14:paraId="76C27127" w14:textId="5241A2D7" w:rsidR="002F4395" w:rsidRPr="00DA011F" w:rsidRDefault="002F4395" w:rsidP="00FB4266">
      <w:pPr>
        <w:jc w:val="center"/>
        <w:rPr>
          <w:rStyle w:val="Collegamentoipertestuale"/>
          <w:rFonts w:ascii="Times" w:hAnsi="Times"/>
          <w:color w:val="000000" w:themeColor="text1"/>
          <w:sz w:val="24"/>
          <w:szCs w:val="24"/>
          <w:u w:val="none"/>
          <w:lang w:val="it-IT"/>
        </w:rPr>
      </w:pPr>
      <w:r w:rsidRPr="00DA011F">
        <w:rPr>
          <w:rFonts w:ascii="Times" w:hAnsi="Times"/>
          <w:sz w:val="24"/>
          <w:szCs w:val="24"/>
          <w:vertAlign w:val="superscript"/>
          <w:lang w:val="it-IT"/>
        </w:rPr>
        <w:t xml:space="preserve">1 </w:t>
      </w:r>
      <w:r w:rsidR="00BD2764" w:rsidRPr="00DA011F">
        <w:rPr>
          <w:rFonts w:ascii="Times" w:hAnsi="Times"/>
          <w:color w:val="000000"/>
          <w:sz w:val="24"/>
          <w:szCs w:val="24"/>
          <w:bdr w:val="none" w:sz="0" w:space="0" w:color="auto" w:frame="1"/>
          <w:lang w:val="it-IT"/>
        </w:rPr>
        <w:t>Universi</w:t>
      </w:r>
      <w:r w:rsidR="00DA011F">
        <w:rPr>
          <w:rFonts w:ascii="Times" w:hAnsi="Times"/>
          <w:color w:val="000000"/>
          <w:sz w:val="24"/>
          <w:szCs w:val="24"/>
          <w:bdr w:val="none" w:sz="0" w:space="0" w:color="auto" w:frame="1"/>
          <w:lang w:val="it-IT"/>
        </w:rPr>
        <w:t>tà degli Studi di Torino, Italy</w:t>
      </w:r>
      <w:r w:rsidRPr="00DA011F">
        <w:rPr>
          <w:rFonts w:ascii="Times" w:hAnsi="Times"/>
          <w:color w:val="000000" w:themeColor="text1"/>
          <w:sz w:val="24"/>
          <w:szCs w:val="24"/>
          <w:lang w:val="it-IT"/>
        </w:rPr>
        <w:t xml:space="preserve">; </w:t>
      </w:r>
      <w:r w:rsidRPr="00DA011F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 xml:space="preserve">2 </w:t>
      </w:r>
      <w:r w:rsidR="00DA011F">
        <w:rPr>
          <w:rFonts w:ascii="Times" w:hAnsi="Times"/>
          <w:color w:val="000000"/>
          <w:sz w:val="24"/>
          <w:szCs w:val="24"/>
          <w:bdr w:val="none" w:sz="0" w:space="0" w:color="auto" w:frame="1"/>
          <w:lang w:val="it-IT"/>
        </w:rPr>
        <w:t xml:space="preserve">Università Roma Tre, Italy; </w:t>
      </w:r>
      <w:r w:rsidR="0041562C" w:rsidRPr="00DA011F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 xml:space="preserve"> </w:t>
      </w:r>
      <w:r w:rsidR="0041562C" w:rsidRPr="00DA011F">
        <w:rPr>
          <w:rFonts w:ascii="Times" w:hAnsi="Times"/>
          <w:color w:val="000000"/>
          <w:sz w:val="24"/>
          <w:szCs w:val="24"/>
          <w:bdr w:val="none" w:sz="0" w:space="0" w:color="auto" w:frame="1"/>
          <w:lang w:val="it-IT"/>
        </w:rPr>
        <w:t xml:space="preserve">E-mail: </w:t>
      </w:r>
      <w:r w:rsidR="00DA011F">
        <w:rPr>
          <w:rFonts w:ascii="Times" w:hAnsi="Times"/>
          <w:color w:val="000000" w:themeColor="text1"/>
          <w:sz w:val="24"/>
          <w:szCs w:val="24"/>
          <w:lang w:val="it-IT"/>
        </w:rPr>
        <w:t>sergio.favero</w:t>
      </w:r>
      <w:r w:rsidR="0041562C" w:rsidRPr="00DA011F">
        <w:rPr>
          <w:rFonts w:ascii="Times" w:hAnsi="Times"/>
          <w:color w:val="000000" w:themeColor="text1"/>
          <w:sz w:val="24"/>
          <w:szCs w:val="24"/>
          <w:lang w:val="it-IT"/>
        </w:rPr>
        <w:t>@</w:t>
      </w:r>
      <w:r w:rsidR="00DA011F">
        <w:rPr>
          <w:rFonts w:ascii="Times" w:hAnsi="Times"/>
          <w:color w:val="000000" w:themeColor="text1"/>
          <w:sz w:val="24"/>
          <w:szCs w:val="24"/>
          <w:lang w:val="it-IT"/>
        </w:rPr>
        <w:t>unito</w:t>
      </w:r>
      <w:r w:rsidR="0041562C" w:rsidRPr="00DA011F">
        <w:rPr>
          <w:rFonts w:ascii="Times" w:hAnsi="Times"/>
          <w:color w:val="000000" w:themeColor="text1"/>
          <w:sz w:val="24"/>
          <w:szCs w:val="24"/>
          <w:lang w:val="it-IT"/>
        </w:rPr>
        <w:t>.</w:t>
      </w:r>
      <w:r w:rsidR="00DA011F">
        <w:rPr>
          <w:rFonts w:ascii="Times" w:hAnsi="Times"/>
          <w:color w:val="000000" w:themeColor="text1"/>
          <w:sz w:val="24"/>
          <w:szCs w:val="24"/>
          <w:lang w:val="it-IT"/>
        </w:rPr>
        <w:t>it</w:t>
      </w:r>
    </w:p>
    <w:p w14:paraId="1C7BCC92" w14:textId="77777777" w:rsidR="002F4395" w:rsidRPr="00DA011F" w:rsidRDefault="002F4395" w:rsidP="002F4395">
      <w:pPr>
        <w:rPr>
          <w:rStyle w:val="Collegamentoipertestuale"/>
          <w:rFonts w:ascii="Times" w:hAnsi="Times"/>
          <w:sz w:val="24"/>
          <w:szCs w:val="24"/>
          <w:lang w:val="it-IT"/>
        </w:rPr>
      </w:pPr>
    </w:p>
    <w:p w14:paraId="31A72999" w14:textId="1A79E886" w:rsidR="00B4259A" w:rsidRDefault="00F34423" w:rsidP="00446622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 w:rsidRPr="00624F16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>Aspicilioid lichens have</w:t>
      </w:r>
      <w:r w:rsidR="00CB1E3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been </w:t>
      </w:r>
      <w:r w:rsidR="007E5E5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indicated</w:t>
      </w:r>
      <w:r w:rsidR="00D9335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27AC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for the </w:t>
      </w:r>
      <w:r w:rsidR="00D9335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biodeterio</w:t>
      </w:r>
      <w:r w:rsidR="002F3865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ration</w:t>
      </w:r>
      <w:r w:rsidR="00D9335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27AC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activity on</w:t>
      </w:r>
      <w:r w:rsidR="007E5E5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stone cultural heritage</w:t>
      </w:r>
      <w:r w:rsidR="007071E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7E5E5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mostly </w:t>
      </w:r>
      <w:r w:rsidR="00D9335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because of </w:t>
      </w:r>
      <w:r w:rsidR="00D90B1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secretion of oxalic acid</w:t>
      </w:r>
      <w:r w:rsidR="00D134B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and formation of calcium oxalates</w:t>
      </w:r>
      <w:r w:rsidR="007E5E5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 However</w:t>
      </w:r>
      <w:r w:rsidR="00D90B1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3976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involvement of </w:t>
      </w:r>
      <w:r w:rsidR="009A20E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their</w:t>
      </w:r>
      <w:r w:rsidR="003976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pattern</w:t>
      </w:r>
      <w:r w:rsidR="009A20E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3976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of metabolites in</w:t>
      </w:r>
      <w:r w:rsidR="007E5E5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D90B1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biogeochemical </w:t>
      </w:r>
      <w:r w:rsidR="003976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and other </w:t>
      </w:r>
      <w:r w:rsidR="00D90B1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interaction</w:t>
      </w:r>
      <w:r w:rsidR="003976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D90B1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3976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on</w:t>
      </w:r>
      <w:r w:rsidR="00D90B1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the </w:t>
      </w:r>
      <w:r w:rsidR="0073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carbonate </w:t>
      </w:r>
      <w:r w:rsidR="00D90B1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substrate</w:t>
      </w:r>
      <w:r w:rsidR="0073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D90B1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ha</w:t>
      </w:r>
      <w:r w:rsidR="003976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D90B1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not been fully </w:t>
      </w:r>
      <w:r w:rsidR="003976E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clarified</w:t>
      </w:r>
      <w:r w:rsidR="00D90B1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B4259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In this study, </w:t>
      </w:r>
      <w:r w:rsidR="00EE324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we </w:t>
      </w:r>
      <w:r w:rsidR="00731AB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examined</w:t>
      </w:r>
      <w:r w:rsidR="00EE324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7071E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the </w:t>
      </w:r>
      <w:r w:rsidR="00A371C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still present</w:t>
      </w:r>
      <w:r w:rsidR="007071E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A371C0" w:rsidRPr="00B25921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C</w:t>
      </w:r>
      <w:r w:rsidR="0005120F" w:rsidRPr="00B25921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ircinaria </w:t>
      </w:r>
      <w:r w:rsidR="0005120F" w:rsidRPr="00B25921">
        <w:rPr>
          <w:rFonts w:ascii="Times" w:hAnsi="Times"/>
          <w:iCs/>
          <w:color w:val="000000"/>
          <w:sz w:val="24"/>
          <w:szCs w:val="24"/>
          <w:bdr w:val="none" w:sz="0" w:space="0" w:color="auto" w:frame="1"/>
          <w:lang w:val="en-US"/>
        </w:rPr>
        <w:t>gr.</w:t>
      </w:r>
      <w:r w:rsidR="0005120F" w:rsidRPr="00B25921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A371C0" w:rsidRPr="00B25921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calcarea</w:t>
      </w:r>
      <w:r w:rsidR="00A371C0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7071E9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and </w:t>
      </w:r>
      <w:r w:rsidR="00A371C0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its past</w:t>
      </w:r>
      <w:r w:rsidR="007071E9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D0CA8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probable </w:t>
      </w:r>
      <w:r w:rsidR="007071E9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tracks </w:t>
      </w:r>
      <w:r w:rsidR="00A371C0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occurring </w:t>
      </w:r>
      <w:r w:rsidR="00731AB0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on</w:t>
      </w:r>
      <w:r w:rsidR="00EE3244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marble</w:t>
      </w:r>
      <w:r w:rsidR="00A331EB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EE3244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in the Garden</w:t>
      </w:r>
      <w:r w:rsidR="00117448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of a </w:t>
      </w:r>
      <w:r w:rsidR="008F06E2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17</w:t>
      </w:r>
      <w:r w:rsidR="00EE3244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th </w:t>
      </w:r>
      <w:r w:rsidR="008F06E2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century </w:t>
      </w:r>
      <w:r w:rsidR="00CC5112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R</w:t>
      </w:r>
      <w:r w:rsidR="008F06E2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esidence of the Royal House of Savoy </w:t>
      </w:r>
      <w:r w:rsidR="00ED4723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(</w:t>
      </w:r>
      <w:r w:rsidR="007071E9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Villa della Regina, </w:t>
      </w:r>
      <w:r w:rsidR="00ED4723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UNESCO-WHS </w:t>
      </w:r>
      <w:r w:rsidR="00CC5112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823bis</w:t>
      </w:r>
      <w:r w:rsidR="00EF1256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F27AC9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8F06E2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Torino</w:t>
      </w:r>
      <w:r w:rsidR="00EF1256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E84D6A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NW-</w:t>
      </w:r>
      <w:r w:rsidR="00EE3244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Italy</w:t>
      </w:r>
      <w:r w:rsidR="00CC5112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).</w:t>
      </w:r>
      <w:r w:rsidR="008F06E2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CC5112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 marble balustrade</w:t>
      </w:r>
      <w:r w:rsidR="004917FB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CA058B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CA6C94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after the</w:t>
      </w:r>
      <w:r w:rsidR="00A371C0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ir</w:t>
      </w:r>
      <w:r w:rsidR="00CA6C94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restoration </w:t>
      </w:r>
      <w:r w:rsidR="00763A5D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ended in early 2000s</w:t>
      </w:r>
      <w:r w:rsidR="004917FB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display </w:t>
      </w:r>
      <w:r w:rsidR="009D0CA8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 </w:t>
      </w:r>
      <w:r w:rsidR="004917FB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wide</w:t>
      </w:r>
      <w:r w:rsidR="00EA0801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spread</w:t>
      </w:r>
      <w:r w:rsidR="004917FB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recolonization by </w:t>
      </w:r>
      <w:r w:rsidR="00916640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 </w:t>
      </w:r>
      <w:r w:rsidR="004917FB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black </w:t>
      </w:r>
      <w:r w:rsidR="00731AB0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biofilm</w:t>
      </w:r>
      <w:r w:rsidR="004917FB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D0CA8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of cyanobacteria </w:t>
      </w:r>
      <w:r w:rsidR="00EB5062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and </w:t>
      </w:r>
      <w:r w:rsidR="00446622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microcolonial fungi</w:t>
      </w:r>
      <w:r w:rsidR="00EB5062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4917FB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and </w:t>
      </w:r>
      <w:r w:rsidR="00EB5062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 </w:t>
      </w:r>
      <w:r w:rsidR="004917FB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lichen community including </w:t>
      </w:r>
      <w:r w:rsidR="004917FB" w:rsidRPr="00B25921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C. </w:t>
      </w:r>
      <w:r w:rsidR="009D0CA8" w:rsidRPr="00B25921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calcarea</w:t>
      </w:r>
      <w:r w:rsidR="009D0CA8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but they also</w:t>
      </w:r>
      <w:r w:rsidR="004917FB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B02DC0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remarkably </w:t>
      </w:r>
      <w:r w:rsidR="00EA0801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show</w:t>
      </w:r>
      <w:r w:rsidR="009D0CA8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several</w:t>
      </w:r>
      <w:r w:rsidR="00B02DC0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clearly defined, centimetric, circular areas unaffected by the recolonization dynamics.</w:t>
      </w:r>
      <w:r w:rsidR="004917FB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E84D6A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We aimed to verify if these areas </w:t>
      </w:r>
      <w:r w:rsidR="00C411B3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may be the tracks of</w:t>
      </w:r>
      <w:r w:rsidR="00E84D6A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the lichen colonization preceding th</w:t>
      </w:r>
      <w:r w:rsidR="00C411B3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e last restoration</w:t>
      </w:r>
      <w:r w:rsidR="00BB77E0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C411B3" w:rsidRPr="00B25921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and, in particular, of </w:t>
      </w:r>
      <w:r w:rsidR="00C411B3" w:rsidRPr="00B25921">
        <w:rPr>
          <w:rFonts w:ascii="Times" w:hAnsi="Times"/>
          <w:i/>
          <w:color w:val="000000"/>
          <w:sz w:val="24"/>
          <w:szCs w:val="24"/>
          <w:bdr w:val="none" w:sz="0" w:space="0" w:color="auto" w:frame="1"/>
          <w:lang w:val="en-US"/>
        </w:rPr>
        <w:t>C. calcarea</w:t>
      </w:r>
      <w:r w:rsidR="00C411B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thalli, </w:t>
      </w:r>
      <w:r w:rsidR="0084316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resulting </w:t>
      </w:r>
      <w:r w:rsidR="00C411B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compatible in shape and size. </w:t>
      </w:r>
      <w:r w:rsidR="0005120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Beneath scraped thalli of </w:t>
      </w:r>
      <w:r w:rsidR="0005120F" w:rsidRPr="00624F16">
        <w:rPr>
          <w:rFonts w:ascii="Times" w:hAnsi="Times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C. calcarea</w:t>
      </w:r>
      <w:r w:rsidR="0028366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8E59A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X-ray diffraction </w:t>
      </w:r>
      <w:r w:rsidR="0028366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patterns of calcite showed </w:t>
      </w:r>
      <w:r w:rsidR="00AC261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 remarkable</w:t>
      </w:r>
      <w:r w:rsidR="00283664" w:rsidRPr="0028366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stability of crystallographic planes which are known to be enhanced in presence of organic substance</w:t>
      </w:r>
      <w:r w:rsidR="008F768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in particular </w:t>
      </w:r>
      <w:r w:rsidR="003A3DE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of </w:t>
      </w:r>
      <w:r w:rsidR="008F768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chelating agents</w:t>
      </w:r>
      <w:r w:rsidR="0005120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 The same pattern was recognized in correspondence of the uncolonized circular areas</w:t>
      </w:r>
      <w:r w:rsidR="0091664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but not where the black biofilm spread.</w:t>
      </w:r>
      <w:r w:rsidR="00F0044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C411B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UV observations (</w:t>
      </w:r>
      <w:r w:rsidR="00A331E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365 </w:t>
      </w:r>
      <w:r w:rsidR="00C411B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nm) </w:t>
      </w:r>
      <w:r w:rsidR="0091664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also </w:t>
      </w:r>
      <w:r w:rsidR="00C411B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showed similar signals </w:t>
      </w:r>
      <w:r w:rsidR="0091664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beneath the thalli and in the </w:t>
      </w:r>
      <w:r w:rsidR="00C411B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uncolonized areas. Moreover, Raman </w:t>
      </w:r>
      <w:r w:rsidR="00207DB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spectra obtained from</w:t>
      </w:r>
      <w:r w:rsidR="00C411B3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methanol- and acetone-extracted thalli and </w:t>
      </w:r>
      <w:r w:rsidR="00207DB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the marble powder gently scraped from the uncolonized areas displayed similar patterns</w:t>
      </w:r>
      <w:r w:rsidR="00E6340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, compatible with </w:t>
      </w:r>
      <w:r w:rsidR="001B49A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lichen metabolites</w:t>
      </w:r>
      <w:r w:rsidR="00207DB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1B038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Such finding</w:t>
      </w:r>
      <w:r w:rsidR="00CA058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1B038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suggest a </w:t>
      </w:r>
      <w:r w:rsidR="00F0044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durable effect of lichen colonization on the bioreceptivity of the marble.</w:t>
      </w:r>
      <w:r w:rsidR="001B038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1B49A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Both t</w:t>
      </w:r>
      <w:r w:rsidR="001B038A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he entrapment of </w:t>
      </w:r>
      <w:r w:rsidR="001B49A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metabolites with allelopathic functions </w:t>
      </w:r>
      <w:r w:rsidR="00F0044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and</w:t>
      </w:r>
      <w:r w:rsidR="001B49A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0044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changes in the</w:t>
      </w:r>
      <w:r w:rsidR="001B49A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rock microstructural </w:t>
      </w:r>
      <w:r w:rsidR="00F0044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properties</w:t>
      </w:r>
      <w:r w:rsidR="001B49A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CA058B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due to biomineralization </w:t>
      </w:r>
      <w:r w:rsidR="001B49AF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appear </w:t>
      </w:r>
      <w:r w:rsidR="00F0044D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potential causative factors.</w:t>
      </w:r>
    </w:p>
    <w:sectPr w:rsidR="00B4259A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C04D5" w14:textId="77777777" w:rsidR="002306FB" w:rsidRDefault="002306FB" w:rsidP="00DA011F">
      <w:pPr>
        <w:spacing w:after="0" w:line="240" w:lineRule="auto"/>
      </w:pPr>
      <w:r>
        <w:separator/>
      </w:r>
    </w:p>
  </w:endnote>
  <w:endnote w:type="continuationSeparator" w:id="0">
    <w:p w14:paraId="60F59A42" w14:textId="77777777" w:rsidR="002306FB" w:rsidRDefault="002306FB" w:rsidP="00DA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351B1" w14:textId="77777777" w:rsidR="002306FB" w:rsidRDefault="002306FB" w:rsidP="00DA011F">
      <w:pPr>
        <w:spacing w:after="0" w:line="240" w:lineRule="auto"/>
      </w:pPr>
      <w:r>
        <w:separator/>
      </w:r>
    </w:p>
  </w:footnote>
  <w:footnote w:type="continuationSeparator" w:id="0">
    <w:p w14:paraId="24518883" w14:textId="77777777" w:rsidR="002306FB" w:rsidRDefault="002306FB" w:rsidP="00DA011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ulia Caneva">
    <w15:presenceInfo w15:providerId="AD" w15:userId="S::gcaneva@os.uniroma3.it::d70e88f1-7258-46ed-bcf3-266601e299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2A"/>
    <w:rsid w:val="0005120F"/>
    <w:rsid w:val="00094179"/>
    <w:rsid w:val="000C0216"/>
    <w:rsid w:val="000F146E"/>
    <w:rsid w:val="001107C9"/>
    <w:rsid w:val="00112E4D"/>
    <w:rsid w:val="001152A2"/>
    <w:rsid w:val="00117448"/>
    <w:rsid w:val="00136004"/>
    <w:rsid w:val="00155DC4"/>
    <w:rsid w:val="001829D4"/>
    <w:rsid w:val="001B038A"/>
    <w:rsid w:val="001B49AF"/>
    <w:rsid w:val="00200EAE"/>
    <w:rsid w:val="00207DBB"/>
    <w:rsid w:val="00215F6C"/>
    <w:rsid w:val="00225E53"/>
    <w:rsid w:val="00226CB5"/>
    <w:rsid w:val="002306FB"/>
    <w:rsid w:val="002416A1"/>
    <w:rsid w:val="0024687B"/>
    <w:rsid w:val="00260A60"/>
    <w:rsid w:val="00283664"/>
    <w:rsid w:val="002E5315"/>
    <w:rsid w:val="002F3865"/>
    <w:rsid w:val="002F4395"/>
    <w:rsid w:val="003976EF"/>
    <w:rsid w:val="003A3DEA"/>
    <w:rsid w:val="0041562C"/>
    <w:rsid w:val="00446622"/>
    <w:rsid w:val="00453007"/>
    <w:rsid w:val="004808B9"/>
    <w:rsid w:val="004917FB"/>
    <w:rsid w:val="004A0B06"/>
    <w:rsid w:val="00564723"/>
    <w:rsid w:val="00581867"/>
    <w:rsid w:val="00595F9F"/>
    <w:rsid w:val="005B0090"/>
    <w:rsid w:val="005C1558"/>
    <w:rsid w:val="005E04DB"/>
    <w:rsid w:val="00603405"/>
    <w:rsid w:val="0062477E"/>
    <w:rsid w:val="00624F16"/>
    <w:rsid w:val="00687A98"/>
    <w:rsid w:val="006C6BAE"/>
    <w:rsid w:val="006D7AEA"/>
    <w:rsid w:val="007071E9"/>
    <w:rsid w:val="00730A14"/>
    <w:rsid w:val="00731AB0"/>
    <w:rsid w:val="00762FB2"/>
    <w:rsid w:val="00763A5D"/>
    <w:rsid w:val="007842BE"/>
    <w:rsid w:val="007A6881"/>
    <w:rsid w:val="007C69CA"/>
    <w:rsid w:val="007E5E50"/>
    <w:rsid w:val="00837602"/>
    <w:rsid w:val="0084316A"/>
    <w:rsid w:val="00845B1E"/>
    <w:rsid w:val="00851773"/>
    <w:rsid w:val="00894CF2"/>
    <w:rsid w:val="008E59A6"/>
    <w:rsid w:val="008F06E2"/>
    <w:rsid w:val="008F768F"/>
    <w:rsid w:val="00916640"/>
    <w:rsid w:val="00946D27"/>
    <w:rsid w:val="00973AB0"/>
    <w:rsid w:val="009A20E3"/>
    <w:rsid w:val="009D0CA8"/>
    <w:rsid w:val="00A331EB"/>
    <w:rsid w:val="00A371C0"/>
    <w:rsid w:val="00AC2616"/>
    <w:rsid w:val="00AC7C0F"/>
    <w:rsid w:val="00B02DC0"/>
    <w:rsid w:val="00B25921"/>
    <w:rsid w:val="00B40CCD"/>
    <w:rsid w:val="00B4259A"/>
    <w:rsid w:val="00B61EAD"/>
    <w:rsid w:val="00B63FA9"/>
    <w:rsid w:val="00B7070E"/>
    <w:rsid w:val="00B851BB"/>
    <w:rsid w:val="00BB77E0"/>
    <w:rsid w:val="00BD2764"/>
    <w:rsid w:val="00C10071"/>
    <w:rsid w:val="00C411B3"/>
    <w:rsid w:val="00C72953"/>
    <w:rsid w:val="00CA058B"/>
    <w:rsid w:val="00CA6C94"/>
    <w:rsid w:val="00CB1E3D"/>
    <w:rsid w:val="00CC4306"/>
    <w:rsid w:val="00CC5112"/>
    <w:rsid w:val="00CE5CD9"/>
    <w:rsid w:val="00CE7052"/>
    <w:rsid w:val="00CF0DBB"/>
    <w:rsid w:val="00D134B4"/>
    <w:rsid w:val="00D22A2A"/>
    <w:rsid w:val="00D33B09"/>
    <w:rsid w:val="00D533BA"/>
    <w:rsid w:val="00D90B12"/>
    <w:rsid w:val="00D93350"/>
    <w:rsid w:val="00DA011F"/>
    <w:rsid w:val="00DD6A41"/>
    <w:rsid w:val="00E201FC"/>
    <w:rsid w:val="00E63407"/>
    <w:rsid w:val="00E74D8F"/>
    <w:rsid w:val="00E7764D"/>
    <w:rsid w:val="00E84D6A"/>
    <w:rsid w:val="00EA0801"/>
    <w:rsid w:val="00EA3134"/>
    <w:rsid w:val="00EB4F7D"/>
    <w:rsid w:val="00EB5062"/>
    <w:rsid w:val="00ED4723"/>
    <w:rsid w:val="00EE3244"/>
    <w:rsid w:val="00EF1256"/>
    <w:rsid w:val="00F0044D"/>
    <w:rsid w:val="00F20086"/>
    <w:rsid w:val="00F27AC9"/>
    <w:rsid w:val="00F31AA8"/>
    <w:rsid w:val="00F34423"/>
    <w:rsid w:val="00F44110"/>
    <w:rsid w:val="00F70647"/>
    <w:rsid w:val="00FB01C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2D5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22A2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A0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11F"/>
    <w:rPr>
      <w:rFonts w:eastAsiaTheme="minorHAnsi"/>
      <w:sz w:val="22"/>
      <w:szCs w:val="22"/>
      <w:lang w:val="pt-BR"/>
    </w:rPr>
  </w:style>
  <w:style w:type="paragraph" w:styleId="Pidipagina">
    <w:name w:val="footer"/>
    <w:basedOn w:val="Normale"/>
    <w:link w:val="PidipaginaCarattere"/>
    <w:uiPriority w:val="99"/>
    <w:unhideWhenUsed/>
    <w:rsid w:val="00DA0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11F"/>
    <w:rPr>
      <w:rFonts w:eastAsiaTheme="minorHAnsi"/>
      <w:sz w:val="22"/>
      <w:szCs w:val="22"/>
      <w:lang w:val="pt-B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4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4B4"/>
    <w:rPr>
      <w:rFonts w:ascii="Times New Roman" w:eastAsiaTheme="minorHAnsi" w:hAnsi="Times New Roman" w:cs="Times New Roman"/>
      <w:sz w:val="18"/>
      <w:szCs w:val="18"/>
      <w:lang w:val="pt-BR"/>
    </w:rPr>
  </w:style>
  <w:style w:type="paragraph" w:styleId="Revisione">
    <w:name w:val="Revision"/>
    <w:hidden/>
    <w:uiPriority w:val="99"/>
    <w:semiHidden/>
    <w:rsid w:val="001B49AF"/>
    <w:rPr>
      <w:rFonts w:eastAsiaTheme="minorHAnsi"/>
      <w:sz w:val="22"/>
      <w:szCs w:val="22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22A2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A0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11F"/>
    <w:rPr>
      <w:rFonts w:eastAsiaTheme="minorHAnsi"/>
      <w:sz w:val="22"/>
      <w:szCs w:val="22"/>
      <w:lang w:val="pt-BR"/>
    </w:rPr>
  </w:style>
  <w:style w:type="paragraph" w:styleId="Pidipagina">
    <w:name w:val="footer"/>
    <w:basedOn w:val="Normale"/>
    <w:link w:val="PidipaginaCarattere"/>
    <w:uiPriority w:val="99"/>
    <w:unhideWhenUsed/>
    <w:rsid w:val="00DA0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11F"/>
    <w:rPr>
      <w:rFonts w:eastAsiaTheme="minorHAnsi"/>
      <w:sz w:val="22"/>
      <w:szCs w:val="22"/>
      <w:lang w:val="pt-B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4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4B4"/>
    <w:rPr>
      <w:rFonts w:ascii="Times New Roman" w:eastAsiaTheme="minorHAnsi" w:hAnsi="Times New Roman" w:cs="Times New Roman"/>
      <w:sz w:val="18"/>
      <w:szCs w:val="18"/>
      <w:lang w:val="pt-BR"/>
    </w:rPr>
  </w:style>
  <w:style w:type="paragraph" w:styleId="Revisione">
    <w:name w:val="Revision"/>
    <w:hidden/>
    <w:uiPriority w:val="99"/>
    <w:semiHidden/>
    <w:rsid w:val="001B49AF"/>
    <w:rPr>
      <w:rFonts w:eastAsiaTheme="minorHAns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Lichenologia_SEFL</cp:lastModifiedBy>
  <cp:revision>11</cp:revision>
  <dcterms:created xsi:type="dcterms:W3CDTF">2021-04-14T14:00:00Z</dcterms:created>
  <dcterms:modified xsi:type="dcterms:W3CDTF">2021-04-15T12:01:00Z</dcterms:modified>
</cp:coreProperties>
</file>