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56E47" w14:textId="383007FC" w:rsidR="009C21A3" w:rsidRPr="00A25FFA" w:rsidRDefault="00E37380" w:rsidP="009C21A3">
      <w:pPr>
        <w:spacing w:line="360" w:lineRule="auto"/>
        <w:jc w:val="center"/>
        <w:rPr>
          <w:b/>
          <w:sz w:val="24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4231CE60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A3">
        <w:rPr>
          <w:b/>
          <w:sz w:val="24"/>
        </w:rPr>
        <w:t>TERAPIAS FARMACOLÓGICAS PARA A NEURALGIA DO TRIGÊMEO</w:t>
      </w:r>
    </w:p>
    <w:p w14:paraId="2ED45A88" w14:textId="5C8E6D0E" w:rsidR="009C21A3" w:rsidRDefault="009C21A3" w:rsidP="009C21A3">
      <w:pPr>
        <w:spacing w:line="360" w:lineRule="auto"/>
        <w:jc w:val="center"/>
        <w:rPr>
          <w:sz w:val="24"/>
        </w:rPr>
      </w:pPr>
      <w:r>
        <w:rPr>
          <w:sz w:val="24"/>
        </w:rPr>
        <w:t>Autores: LUCAS GABRIEL SILVA FERREIRA</w:t>
      </w:r>
      <w:r>
        <w:rPr>
          <w:sz w:val="24"/>
          <w:vertAlign w:val="superscript"/>
        </w:rPr>
        <w:t>1</w:t>
      </w:r>
      <w:r>
        <w:rPr>
          <w:sz w:val="24"/>
        </w:rPr>
        <w:t>, ISADORA ROCHA ROSA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 w:rsidR="00215C9C">
        <w:rPr>
          <w:sz w:val="24"/>
        </w:rPr>
        <w:t>LEILA MAUÉS OLIVEIRA HANNA</w:t>
      </w:r>
      <w:r w:rsidR="00215C9C">
        <w:rPr>
          <w:sz w:val="24"/>
          <w:vertAlign w:val="superscript"/>
        </w:rPr>
        <w:t>3</w:t>
      </w:r>
      <w:r w:rsidR="00215C9C">
        <w:rPr>
          <w:sz w:val="24"/>
        </w:rPr>
        <w:t xml:space="preserve">, </w:t>
      </w:r>
      <w:r>
        <w:rPr>
          <w:sz w:val="24"/>
        </w:rPr>
        <w:t>RITA DE CÁSSIA SILVA DE OLIVEIRA</w:t>
      </w:r>
      <w:r>
        <w:rPr>
          <w:sz w:val="24"/>
          <w:vertAlign w:val="superscript"/>
        </w:rPr>
        <w:t>3</w:t>
      </w:r>
    </w:p>
    <w:p w14:paraId="23A1EADA" w14:textId="77777777" w:rsidR="009C21A3" w:rsidRDefault="009C21A3" w:rsidP="009C21A3">
      <w:pPr>
        <w:spacing w:line="360" w:lineRule="auto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Acadêmico de Odontologia, Universidade Federal do Pará.</w:t>
      </w:r>
    </w:p>
    <w:p w14:paraId="15BB5FB3" w14:textId="77777777" w:rsidR="009C21A3" w:rsidRDefault="009C21A3" w:rsidP="009C21A3">
      <w:pPr>
        <w:spacing w:line="360" w:lineRule="auto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Acadêmica de Medicina, Universidade do Estado do Pará.</w:t>
      </w:r>
    </w:p>
    <w:p w14:paraId="5EFA8B79" w14:textId="76A0B473" w:rsidR="00215C9C" w:rsidRPr="00215C9C" w:rsidRDefault="00215C9C" w:rsidP="009C21A3">
      <w:pPr>
        <w:spacing w:line="360" w:lineRule="auto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>Doutora em Odontopediatria, Universidade do Estado do Pará.</w:t>
      </w:r>
    </w:p>
    <w:p w14:paraId="505319D6" w14:textId="02F380B2" w:rsidR="009C21A3" w:rsidRDefault="00215C9C" w:rsidP="009C21A3">
      <w:pPr>
        <w:spacing w:line="360" w:lineRule="auto"/>
        <w:jc w:val="both"/>
        <w:rPr>
          <w:sz w:val="24"/>
        </w:rPr>
      </w:pPr>
      <w:r>
        <w:rPr>
          <w:sz w:val="24"/>
          <w:vertAlign w:val="superscript"/>
        </w:rPr>
        <w:t>4</w:t>
      </w:r>
      <w:bookmarkStart w:id="0" w:name="_GoBack"/>
      <w:bookmarkEnd w:id="0"/>
      <w:r w:rsidR="009C21A3">
        <w:rPr>
          <w:sz w:val="24"/>
        </w:rPr>
        <w:t>Doutora em Ciências Farmacêuticas, Universidade do Estado do Pará.</w:t>
      </w:r>
    </w:p>
    <w:p w14:paraId="1F130F58" w14:textId="77777777" w:rsidR="009C21A3" w:rsidRDefault="009C21A3" w:rsidP="009C21A3">
      <w:pPr>
        <w:spacing w:line="360" w:lineRule="auto"/>
        <w:jc w:val="both"/>
        <w:rPr>
          <w:sz w:val="24"/>
        </w:rPr>
      </w:pPr>
    </w:p>
    <w:p w14:paraId="39406C53" w14:textId="23B3CF64" w:rsidR="009C21A3" w:rsidRPr="009C21A3" w:rsidRDefault="009C21A3" w:rsidP="009C21A3">
      <w:pPr>
        <w:spacing w:line="360" w:lineRule="auto"/>
        <w:jc w:val="both"/>
        <w:rPr>
          <w:color w:val="0000FF" w:themeColor="hyperlink"/>
          <w:sz w:val="24"/>
          <w:szCs w:val="24"/>
          <w:u w:val="single"/>
        </w:rPr>
      </w:pPr>
      <w:r w:rsidRPr="00316F42">
        <w:rPr>
          <w:sz w:val="24"/>
          <w:szCs w:val="24"/>
        </w:rPr>
        <w:t xml:space="preserve">E-mail: </w:t>
      </w:r>
      <w:r w:rsidRPr="009C21A3">
        <w:rPr>
          <w:sz w:val="24"/>
          <w:szCs w:val="24"/>
        </w:rPr>
        <w:t>lucasferreiraa073@gmail.com</w:t>
      </w:r>
      <w:r w:rsidRPr="00316F42">
        <w:rPr>
          <w:sz w:val="24"/>
          <w:szCs w:val="24"/>
        </w:rPr>
        <w:t xml:space="preserve">; </w:t>
      </w:r>
    </w:p>
    <w:p w14:paraId="77887F52" w14:textId="77777777" w:rsidR="009C21A3" w:rsidRDefault="009C21A3" w:rsidP="009C21A3">
      <w:pPr>
        <w:spacing w:line="360" w:lineRule="auto"/>
        <w:jc w:val="both"/>
        <w:rPr>
          <w:sz w:val="24"/>
          <w:szCs w:val="24"/>
        </w:rPr>
      </w:pPr>
    </w:p>
    <w:p w14:paraId="4A895E74" w14:textId="5EF365E5" w:rsidR="009C21A3" w:rsidRPr="007D1882" w:rsidRDefault="009C21A3" w:rsidP="009C21A3">
      <w:pPr>
        <w:spacing w:line="360" w:lineRule="auto"/>
        <w:jc w:val="both"/>
        <w:rPr>
          <w:rFonts w:eastAsia="Verdana"/>
          <w:color w:val="000000"/>
          <w:sz w:val="24"/>
          <w:szCs w:val="24"/>
        </w:rPr>
      </w:pPr>
      <w:r w:rsidRPr="00316F42">
        <w:rPr>
          <w:rFonts w:eastAsia="Verdana"/>
          <w:sz w:val="24"/>
          <w:szCs w:val="24"/>
        </w:rPr>
        <w:t xml:space="preserve">A neuralgia do trigêmeo é uma dor orofacial aguda e paroxística limitada a uma ou mais divisões do V </w:t>
      </w:r>
      <w:r>
        <w:rPr>
          <w:rFonts w:eastAsia="Verdana"/>
          <w:sz w:val="24"/>
          <w:szCs w:val="24"/>
        </w:rPr>
        <w:t>nervo craniano com etiologia, de uma forma</w:t>
      </w:r>
      <w:r w:rsidRPr="00316F42">
        <w:rPr>
          <w:rFonts w:eastAsia="Verdana"/>
          <w:sz w:val="24"/>
          <w:szCs w:val="24"/>
        </w:rPr>
        <w:t xml:space="preserve"> geral, pouco conhecida.</w:t>
      </w:r>
      <w:r>
        <w:rPr>
          <w:rFonts w:eastAsia="Verdana"/>
          <w:sz w:val="24"/>
          <w:szCs w:val="24"/>
        </w:rPr>
        <w:t xml:space="preserve"> Por conta da falta de um entendimento completo acerca dessa condição, as terapias, em muitos casos, são pouco aceitadas pelos pacientes.</w:t>
      </w:r>
      <w:r w:rsidRPr="00316F42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>Por esse motivo, este estudo busca a</w:t>
      </w:r>
      <w:r w:rsidRPr="00316F42">
        <w:rPr>
          <w:rFonts w:eastAsia="Verdana"/>
          <w:sz w:val="24"/>
          <w:szCs w:val="24"/>
        </w:rPr>
        <w:t>valiar os tratamentos farmacológicos tradicionais e apresentar as novas alternativas atualmente difundidas</w:t>
      </w:r>
      <w:r>
        <w:rPr>
          <w:rFonts w:eastAsia="Verdana"/>
          <w:sz w:val="24"/>
          <w:szCs w:val="24"/>
        </w:rPr>
        <w:t xml:space="preserve"> pela ciência</w:t>
      </w:r>
      <w:r w:rsidRPr="00316F42">
        <w:rPr>
          <w:rFonts w:eastAsia="Verdana"/>
          <w:sz w:val="24"/>
          <w:szCs w:val="24"/>
        </w:rPr>
        <w:t xml:space="preserve">. </w:t>
      </w:r>
      <w:r>
        <w:rPr>
          <w:rFonts w:eastAsia="Verdana"/>
          <w:sz w:val="24"/>
          <w:szCs w:val="24"/>
        </w:rPr>
        <w:t>Para tanto, realizou-se uma revisão de literatura nas</w:t>
      </w:r>
      <w:r w:rsidRPr="00316F42">
        <w:rPr>
          <w:rFonts w:eastAsia="Verdana"/>
          <w:sz w:val="24"/>
          <w:szCs w:val="24"/>
        </w:rPr>
        <w:t xml:space="preserve"> bases de dados </w:t>
      </w:r>
      <w:r>
        <w:rPr>
          <w:rFonts w:eastAsia="Verdana"/>
          <w:sz w:val="24"/>
          <w:szCs w:val="24"/>
        </w:rPr>
        <w:t xml:space="preserve">PubMed, LILACS, SciELO e Science Direct, </w:t>
      </w:r>
      <w:r w:rsidRPr="00316F42">
        <w:rPr>
          <w:rFonts w:eastAsia="Verdana"/>
          <w:sz w:val="24"/>
          <w:szCs w:val="24"/>
        </w:rPr>
        <w:t xml:space="preserve">limitada </w:t>
      </w:r>
      <w:r w:rsidR="0042658D" w:rsidRPr="00555BED">
        <w:rPr>
          <w:rFonts w:eastAsia="Verdana"/>
          <w:sz w:val="24"/>
          <w:szCs w:val="24"/>
        </w:rPr>
        <w:t>a</w:t>
      </w:r>
      <w:r w:rsidR="0042658D">
        <w:rPr>
          <w:rFonts w:eastAsia="Verdana"/>
          <w:color w:val="FF0000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 xml:space="preserve">relatos de caso e ensaios clínicos </w:t>
      </w:r>
      <w:r w:rsidRPr="00316F42">
        <w:rPr>
          <w:rFonts w:eastAsia="Verdana"/>
          <w:sz w:val="24"/>
          <w:szCs w:val="24"/>
        </w:rPr>
        <w:t>publicados a partir de 2010</w:t>
      </w:r>
      <w:r>
        <w:rPr>
          <w:rFonts w:eastAsia="Verdana"/>
          <w:sz w:val="24"/>
          <w:szCs w:val="24"/>
        </w:rPr>
        <w:t>, utilizando os descritores “Neuralgia do Trigêmeo”, “Tratamento” e “Tratamento Farmacológico” combinados em operadores booleanos</w:t>
      </w:r>
      <w:r w:rsidRPr="00316F42">
        <w:rPr>
          <w:rFonts w:eastAsia="Verdana"/>
          <w:sz w:val="24"/>
          <w:szCs w:val="24"/>
        </w:rPr>
        <w:t xml:space="preserve">. </w:t>
      </w:r>
      <w:r>
        <w:rPr>
          <w:rFonts w:eastAsia="Verdana"/>
          <w:sz w:val="24"/>
          <w:szCs w:val="24"/>
        </w:rPr>
        <w:t>A revisão da literatura apontou</w:t>
      </w:r>
      <w:r w:rsidRPr="00316F42">
        <w:rPr>
          <w:rFonts w:eastAsia="Verdana"/>
          <w:sz w:val="24"/>
          <w:szCs w:val="24"/>
        </w:rPr>
        <w:t xml:space="preserve"> os </w:t>
      </w:r>
      <w:r w:rsidRPr="00316F42">
        <w:rPr>
          <w:rFonts w:eastAsia="Verdana"/>
          <w:color w:val="000000"/>
          <w:sz w:val="24"/>
          <w:szCs w:val="24"/>
        </w:rPr>
        <w:t>antiepiléticos</w:t>
      </w:r>
      <w:r>
        <w:rPr>
          <w:rFonts w:eastAsia="Verdana"/>
          <w:color w:val="000000"/>
          <w:sz w:val="24"/>
          <w:szCs w:val="24"/>
        </w:rPr>
        <w:t>, como a carbamazepina, a fenitoína, a oxcarbazepina, a gabapentina, a lamotrigina e o topiramato como</w:t>
      </w:r>
      <w:r w:rsidRPr="00316F42">
        <w:rPr>
          <w:rFonts w:eastAsia="Verdana"/>
          <w:color w:val="000000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>terapias de primeira escolha, mais convencionais. Além disso,</w:t>
      </w:r>
      <w:r w:rsidRPr="00316F42">
        <w:rPr>
          <w:rFonts w:eastAsia="Verdana"/>
          <w:sz w:val="24"/>
          <w:szCs w:val="24"/>
        </w:rPr>
        <w:t xml:space="preserve"> como via alternativa</w:t>
      </w:r>
      <w:r>
        <w:rPr>
          <w:rFonts w:eastAsia="Verdana"/>
          <w:sz w:val="24"/>
          <w:szCs w:val="24"/>
        </w:rPr>
        <w:t>, destacam-se</w:t>
      </w:r>
      <w:r w:rsidRPr="00316F42">
        <w:rPr>
          <w:rFonts w:eastAsia="Verdana"/>
          <w:color w:val="FF0000"/>
          <w:sz w:val="24"/>
          <w:szCs w:val="24"/>
        </w:rPr>
        <w:t xml:space="preserve"> </w:t>
      </w:r>
      <w:r w:rsidRPr="00316F42">
        <w:rPr>
          <w:rFonts w:eastAsia="Verdana"/>
          <w:color w:val="000000"/>
          <w:sz w:val="24"/>
          <w:szCs w:val="24"/>
        </w:rPr>
        <w:t>a toxina botulínica, a lidocaína e a calcitonina.</w:t>
      </w:r>
      <w:r w:rsidRPr="00316F42">
        <w:rPr>
          <w:rFonts w:eastAsia="Verdana"/>
          <w:b/>
          <w:color w:val="000000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</w:rPr>
        <w:t>Foi possível compreender também que a</w:t>
      </w:r>
      <w:r w:rsidRPr="00316F42">
        <w:rPr>
          <w:rFonts w:eastAsia="Verdana"/>
          <w:color w:val="000000"/>
          <w:sz w:val="24"/>
          <w:szCs w:val="24"/>
        </w:rPr>
        <w:t>s terapias convencionais apresentam efeitos adversos que muitas vezes são responsáveis pelo insucesso do tratamento,</w:t>
      </w:r>
      <w:r>
        <w:rPr>
          <w:rFonts w:eastAsia="Verdana"/>
          <w:color w:val="000000"/>
          <w:sz w:val="24"/>
          <w:szCs w:val="24"/>
        </w:rPr>
        <w:t xml:space="preserve"> principalmente pela desistência do paciente,</w:t>
      </w:r>
      <w:r w:rsidRPr="00316F42">
        <w:rPr>
          <w:rFonts w:eastAsia="Verdana"/>
          <w:color w:val="000000"/>
          <w:sz w:val="24"/>
          <w:szCs w:val="24"/>
        </w:rPr>
        <w:t xml:space="preserve"> por isso novas vias farmacoterápicas são exploradas com o intuito de contornar os obstácu</w:t>
      </w:r>
      <w:r>
        <w:rPr>
          <w:rFonts w:eastAsia="Verdana"/>
          <w:color w:val="000000"/>
          <w:sz w:val="24"/>
          <w:szCs w:val="24"/>
        </w:rPr>
        <w:t xml:space="preserve">los das terapias convencionais. Desse modo, é válido ressaltar que a </w:t>
      </w:r>
      <w:r w:rsidRPr="00316F42">
        <w:rPr>
          <w:rFonts w:eastAsia="Verdana"/>
          <w:color w:val="000000"/>
          <w:sz w:val="24"/>
          <w:szCs w:val="24"/>
        </w:rPr>
        <w:t xml:space="preserve">individualidade do paciente e a relação risco-benefício são fatores que </w:t>
      </w:r>
      <w:r w:rsidRPr="00316F42">
        <w:rPr>
          <w:rFonts w:eastAsia="Verdana"/>
          <w:sz w:val="24"/>
          <w:szCs w:val="24"/>
        </w:rPr>
        <w:t xml:space="preserve">carecem atenção </w:t>
      </w:r>
      <w:r w:rsidRPr="00316F42">
        <w:rPr>
          <w:rFonts w:eastAsia="Verdana"/>
          <w:color w:val="000000"/>
          <w:sz w:val="24"/>
          <w:szCs w:val="24"/>
        </w:rPr>
        <w:t>para o sucesso e adesão do paciente ao tratamento.</w:t>
      </w:r>
    </w:p>
    <w:p w14:paraId="12F9771D" w14:textId="77777777" w:rsidR="009C21A3" w:rsidRDefault="009C21A3" w:rsidP="009C21A3">
      <w:pPr>
        <w:spacing w:line="360" w:lineRule="auto"/>
        <w:jc w:val="both"/>
        <w:rPr>
          <w:sz w:val="24"/>
        </w:rPr>
      </w:pPr>
      <w:r>
        <w:rPr>
          <w:sz w:val="24"/>
        </w:rPr>
        <w:t>Área: Oclusão/Disfunção-temporomandibular/Dor Orofacial</w:t>
      </w:r>
    </w:p>
    <w:p w14:paraId="075B4764" w14:textId="77777777" w:rsidR="009C21A3" w:rsidRDefault="009C21A3" w:rsidP="009C21A3">
      <w:pPr>
        <w:spacing w:line="360" w:lineRule="auto"/>
        <w:jc w:val="both"/>
        <w:rPr>
          <w:sz w:val="24"/>
        </w:rPr>
      </w:pPr>
      <w:r>
        <w:rPr>
          <w:sz w:val="24"/>
        </w:rPr>
        <w:t>Modalidade: Revisão de Literatura</w:t>
      </w:r>
    </w:p>
    <w:p w14:paraId="07DEC5C6" w14:textId="449855B4" w:rsidR="00EB4604" w:rsidRPr="009C21A3" w:rsidRDefault="009C21A3" w:rsidP="009C21A3">
      <w:pPr>
        <w:spacing w:line="360" w:lineRule="auto"/>
        <w:jc w:val="both"/>
        <w:rPr>
          <w:sz w:val="24"/>
        </w:rPr>
        <w:sectPr w:rsidR="00EB4604" w:rsidRPr="009C21A3" w:rsidSect="009C21A3">
          <w:headerReference w:type="even" r:id="rId8"/>
          <w:headerReference w:type="default" r:id="rId9"/>
          <w:headerReference w:type="first" r:id="rId10"/>
          <w:pgSz w:w="11920" w:h="16840"/>
          <w:pgMar w:top="1338" w:right="1582" w:bottom="278" w:left="1457" w:header="720" w:footer="720" w:gutter="0"/>
          <w:cols w:space="720"/>
        </w:sectPr>
      </w:pPr>
      <w:r>
        <w:rPr>
          <w:sz w:val="24"/>
        </w:rPr>
        <w:t>Palavras-Chave: Nervo Trigêmeo; Dor Facial</w:t>
      </w:r>
      <w:r w:rsidR="00EB4604">
        <w:rPr>
          <w:sz w:val="24"/>
        </w:rPr>
        <w:t>; Terapêutica</w:t>
      </w:r>
    </w:p>
    <w:p w14:paraId="1341926B" w14:textId="1720E017" w:rsidR="00E37590" w:rsidRPr="00EB4604" w:rsidRDefault="00E37590" w:rsidP="00655B04">
      <w:pPr>
        <w:rPr>
          <w:sz w:val="24"/>
        </w:rPr>
      </w:pPr>
    </w:p>
    <w:sectPr w:rsidR="00E37590" w:rsidRPr="00EB4604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7FF0A" w14:textId="77777777" w:rsidR="009E70F0" w:rsidRDefault="009E70F0" w:rsidP="00E37590">
      <w:r>
        <w:separator/>
      </w:r>
    </w:p>
  </w:endnote>
  <w:endnote w:type="continuationSeparator" w:id="0">
    <w:p w14:paraId="2D1BC001" w14:textId="77777777" w:rsidR="009E70F0" w:rsidRDefault="009E70F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BC63" w14:textId="77777777" w:rsidR="009E70F0" w:rsidRDefault="009E70F0" w:rsidP="00E37590">
      <w:r>
        <w:separator/>
      </w:r>
    </w:p>
  </w:footnote>
  <w:footnote w:type="continuationSeparator" w:id="0">
    <w:p w14:paraId="028B8EE3" w14:textId="77777777" w:rsidR="009E70F0" w:rsidRDefault="009E70F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E37590" w:rsidRDefault="009E70F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9E70F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E37590" w:rsidRDefault="009E70F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15C9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2658D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55BED"/>
    <w:rsid w:val="005A4908"/>
    <w:rsid w:val="005D1F2B"/>
    <w:rsid w:val="006160BA"/>
    <w:rsid w:val="00621C61"/>
    <w:rsid w:val="0064428F"/>
    <w:rsid w:val="00655B04"/>
    <w:rsid w:val="00661A58"/>
    <w:rsid w:val="006B64B7"/>
    <w:rsid w:val="006F01A9"/>
    <w:rsid w:val="007265AD"/>
    <w:rsid w:val="00737C8E"/>
    <w:rsid w:val="007538AF"/>
    <w:rsid w:val="00782EE4"/>
    <w:rsid w:val="007B0FE8"/>
    <w:rsid w:val="0080056B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C21A3"/>
    <w:rsid w:val="009D08E9"/>
    <w:rsid w:val="009E4D3F"/>
    <w:rsid w:val="009E70F0"/>
    <w:rsid w:val="00A10EFD"/>
    <w:rsid w:val="00A111AF"/>
    <w:rsid w:val="00A303DC"/>
    <w:rsid w:val="00A336B0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012"/>
    <w:rsid w:val="00E0329B"/>
    <w:rsid w:val="00E12081"/>
    <w:rsid w:val="00E37380"/>
    <w:rsid w:val="00E37590"/>
    <w:rsid w:val="00E46CE8"/>
    <w:rsid w:val="00EB4604"/>
    <w:rsid w:val="00EC4F61"/>
    <w:rsid w:val="00ED76ED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Lucas Ferreira</cp:lastModifiedBy>
  <cp:revision>5</cp:revision>
  <dcterms:created xsi:type="dcterms:W3CDTF">2023-09-09T16:55:00Z</dcterms:created>
  <dcterms:modified xsi:type="dcterms:W3CDTF">2023-09-09T18:31:00Z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