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2A1CB" w14:textId="77777777" w:rsidR="007946B5" w:rsidRDefault="007946B5" w:rsidP="007946B5">
      <w:pPr>
        <w:jc w:val="center"/>
        <w:rPr>
          <w:b/>
          <w:bCs/>
          <w:sz w:val="24"/>
          <w:szCs w:val="24"/>
        </w:rPr>
      </w:pPr>
      <w:r w:rsidRPr="00570694">
        <w:rPr>
          <w:b/>
          <w:bCs/>
          <w:sz w:val="24"/>
          <w:szCs w:val="24"/>
        </w:rPr>
        <w:t>ANÁLISE DE DESMATAMENTO EM ÁREA DE SÍTIOS ARQUEOLÓGICOS NO MUNICÍPIO DE BARCARENA, PA</w:t>
      </w:r>
    </w:p>
    <w:p w14:paraId="389CADA4" w14:textId="77777777" w:rsidR="00881FF6" w:rsidRDefault="00881FF6" w:rsidP="00881FF6">
      <w:pPr>
        <w:jc w:val="center"/>
        <w:rPr>
          <w:sz w:val="24"/>
          <w:szCs w:val="24"/>
        </w:rPr>
      </w:pPr>
      <w:r w:rsidRPr="00C83EC2">
        <w:rPr>
          <w:sz w:val="24"/>
          <w:szCs w:val="24"/>
        </w:rPr>
        <w:t>Aguinaldo de Jesus Moraes Marques</w:t>
      </w:r>
      <w:r w:rsidRPr="002C6E9B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, </w:t>
      </w:r>
      <w:r w:rsidRPr="00C83EC2">
        <w:rPr>
          <w:sz w:val="24"/>
          <w:szCs w:val="24"/>
        </w:rPr>
        <w:t>John Maciel Barra</w:t>
      </w:r>
      <w:r w:rsidRPr="002C6E9B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André Felipe de Moraes Marques</w:t>
      </w:r>
      <w:r w:rsidRPr="00B57CD4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Brenda Bandeira de Azevedo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, </w:t>
      </w:r>
      <w:r w:rsidRPr="00BA7E81">
        <w:rPr>
          <w:sz w:val="24"/>
          <w:szCs w:val="24"/>
        </w:rPr>
        <w:t>Carla Michelle Matos Gomes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, </w:t>
      </w:r>
      <w:r w:rsidRPr="00C83EC2">
        <w:rPr>
          <w:sz w:val="24"/>
          <w:szCs w:val="24"/>
        </w:rPr>
        <w:t>Norma Ely Santos Beltrão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, </w:t>
      </w:r>
      <w:r w:rsidRPr="00C83EC2">
        <w:rPr>
          <w:sz w:val="24"/>
          <w:szCs w:val="24"/>
        </w:rPr>
        <w:t>Manoe</w:t>
      </w:r>
      <w:r>
        <w:rPr>
          <w:sz w:val="24"/>
          <w:szCs w:val="24"/>
        </w:rPr>
        <w:t>l</w:t>
      </w:r>
      <w:r w:rsidRPr="00C83EC2">
        <w:rPr>
          <w:sz w:val="24"/>
          <w:szCs w:val="24"/>
        </w:rPr>
        <w:t xml:space="preserve"> Tavares de Paula</w:t>
      </w:r>
      <w:r w:rsidRPr="00BA7E81"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.</w:t>
      </w:r>
    </w:p>
    <w:p w14:paraId="6DBE3B66" w14:textId="77777777" w:rsidR="00881FF6" w:rsidRPr="00C83EC2" w:rsidRDefault="00881FF6" w:rsidP="00881FF6">
      <w:pPr>
        <w:jc w:val="center"/>
        <w:rPr>
          <w:sz w:val="24"/>
          <w:szCs w:val="24"/>
        </w:rPr>
      </w:pPr>
    </w:p>
    <w:p w14:paraId="35F9BB8E" w14:textId="77777777" w:rsidR="00881FF6" w:rsidRDefault="00881FF6" w:rsidP="00881FF6">
      <w:pPr>
        <w:pStyle w:val="Textodenotaderodap"/>
        <w:contextualSpacing/>
        <w:jc w:val="center"/>
        <w:rPr>
          <w:sz w:val="24"/>
          <w:szCs w:val="24"/>
        </w:rPr>
      </w:pPr>
      <w:r w:rsidRPr="002C6E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946B5">
        <w:rPr>
          <w:rFonts w:ascii="Times New Roman" w:hAnsi="Times New Roman" w:cs="Times New Roman"/>
          <w:sz w:val="24"/>
          <w:szCs w:val="24"/>
        </w:rPr>
        <w:t>Doutorando em Ciências Ambientais</w:t>
      </w:r>
      <w:r w:rsidRPr="007946B5">
        <w:rPr>
          <w:sz w:val="24"/>
          <w:szCs w:val="24"/>
        </w:rPr>
        <w:t>.</w:t>
      </w:r>
      <w:r w:rsidRPr="007946B5">
        <w:rPr>
          <w:rFonts w:ascii="Times New Roman" w:hAnsi="Times New Roman" w:cs="Times New Roman"/>
          <w:sz w:val="24"/>
          <w:szCs w:val="24"/>
        </w:rPr>
        <w:t xml:space="preserve"> Programa de Pós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946B5">
        <w:rPr>
          <w:rFonts w:ascii="Times New Roman" w:hAnsi="Times New Roman" w:cs="Times New Roman"/>
          <w:sz w:val="24"/>
          <w:szCs w:val="24"/>
        </w:rPr>
        <w:t xml:space="preserve">Graduação em Ciências Ambientais da Universidade do Estado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946B5">
        <w:rPr>
          <w:rFonts w:ascii="Times New Roman" w:hAnsi="Times New Roman" w:cs="Times New Roman"/>
          <w:sz w:val="24"/>
          <w:szCs w:val="24"/>
        </w:rPr>
        <w:t>o Pará. aguinaldoj2m@gmail.com.</w:t>
      </w:r>
    </w:p>
    <w:p w14:paraId="489D0808" w14:textId="77777777" w:rsidR="00881FF6" w:rsidRDefault="00881FF6" w:rsidP="00881FF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  <w:lang w:val="pt-BR"/>
        </w:rPr>
      </w:pPr>
      <w:r>
        <w:rPr>
          <w:sz w:val="24"/>
          <w:szCs w:val="24"/>
        </w:rPr>
        <w:t xml:space="preserve"> </w:t>
      </w:r>
      <w:r w:rsidRPr="002C6E9B">
        <w:rPr>
          <w:sz w:val="24"/>
          <w:szCs w:val="24"/>
          <w:vertAlign w:val="superscript"/>
        </w:rPr>
        <w:t>2</w:t>
      </w:r>
      <w:r w:rsidRPr="007946B5">
        <w:rPr>
          <w:sz w:val="24"/>
          <w:szCs w:val="24"/>
        </w:rPr>
        <w:t xml:space="preserve">Mestrando em Ciências Ambientais. Programa de Pós-Graduação em Ciências Ambientais da Universidade do Estado </w:t>
      </w:r>
      <w:r>
        <w:rPr>
          <w:sz w:val="24"/>
          <w:szCs w:val="24"/>
        </w:rPr>
        <w:t>d</w:t>
      </w:r>
      <w:r w:rsidRPr="007946B5">
        <w:rPr>
          <w:sz w:val="24"/>
          <w:szCs w:val="24"/>
        </w:rPr>
        <w:t xml:space="preserve">o Pará. </w:t>
      </w:r>
      <w:r w:rsidRPr="007946B5">
        <w:rPr>
          <w:sz w:val="24"/>
          <w:szCs w:val="24"/>
          <w:lang w:val="pt-BR"/>
        </w:rPr>
        <w:t>johnmacieldireito@gmail.com</w:t>
      </w:r>
      <w:r>
        <w:rPr>
          <w:sz w:val="24"/>
          <w:szCs w:val="24"/>
          <w:lang w:val="pt-BR"/>
        </w:rPr>
        <w:t>.</w:t>
      </w:r>
    </w:p>
    <w:p w14:paraId="4B4A05C1" w14:textId="77777777" w:rsidR="00881FF6" w:rsidRDefault="00881FF6" w:rsidP="00881FF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 </w:t>
      </w:r>
      <w:r w:rsidRPr="00BA7E81">
        <w:rPr>
          <w:sz w:val="24"/>
          <w:szCs w:val="24"/>
          <w:vertAlign w:val="superscript"/>
        </w:rPr>
        <w:t>3</w:t>
      </w:r>
      <w:r w:rsidRPr="00BA7E81">
        <w:rPr>
          <w:sz w:val="24"/>
          <w:szCs w:val="24"/>
        </w:rPr>
        <w:t>Graduando em Gestão Ambiental. Universidade da Amaz</w:t>
      </w:r>
      <w:r>
        <w:rPr>
          <w:sz w:val="24"/>
          <w:szCs w:val="24"/>
        </w:rPr>
        <w:t>ô</w:t>
      </w:r>
      <w:r w:rsidRPr="00BA7E81">
        <w:rPr>
          <w:sz w:val="24"/>
          <w:szCs w:val="24"/>
        </w:rPr>
        <w:t>nia. andregestaoamb@gmail.com</w:t>
      </w:r>
    </w:p>
    <w:p w14:paraId="71CB97B3" w14:textId="77777777" w:rsidR="00881FF6" w:rsidRDefault="00881FF6" w:rsidP="00881FF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A7E81">
        <w:rPr>
          <w:sz w:val="24"/>
          <w:szCs w:val="24"/>
          <w:vertAlign w:val="superscript"/>
        </w:rPr>
        <w:t>4</w:t>
      </w:r>
      <w:r w:rsidRPr="00BA7E81">
        <w:rPr>
          <w:sz w:val="24"/>
          <w:szCs w:val="24"/>
        </w:rPr>
        <w:t>Doutoranda em Antropologia.</w:t>
      </w:r>
      <w:r>
        <w:rPr>
          <w:sz w:val="24"/>
          <w:szCs w:val="24"/>
        </w:rPr>
        <w:t xml:space="preserve"> </w:t>
      </w:r>
      <w:r w:rsidRPr="00BA7E81">
        <w:rPr>
          <w:sz w:val="24"/>
          <w:szCs w:val="24"/>
        </w:rPr>
        <w:t>Programa de Pós-Graduação em Antropologia</w:t>
      </w:r>
      <w:r>
        <w:rPr>
          <w:sz w:val="24"/>
          <w:szCs w:val="24"/>
        </w:rPr>
        <w:t xml:space="preserve"> da Universidade Federal do Pará</w:t>
      </w:r>
      <w:r w:rsidRPr="00BA7E81">
        <w:rPr>
          <w:sz w:val="24"/>
          <w:szCs w:val="24"/>
        </w:rPr>
        <w:t xml:space="preserve">. </w:t>
      </w:r>
      <w:r w:rsidRPr="00B0041C">
        <w:rPr>
          <w:sz w:val="24"/>
          <w:szCs w:val="24"/>
        </w:rPr>
        <w:t>brendabandeira20@gmail.com</w:t>
      </w:r>
    </w:p>
    <w:p w14:paraId="2A879F05" w14:textId="77777777" w:rsidR="00881FF6" w:rsidRDefault="00881FF6" w:rsidP="00881FF6">
      <w:pPr>
        <w:pStyle w:val="Textodenotaderodap"/>
        <w:contextualSpacing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7946B5">
        <w:rPr>
          <w:rFonts w:ascii="Times New Roman" w:hAnsi="Times New Roman" w:cs="Times New Roman"/>
          <w:sz w:val="24"/>
          <w:szCs w:val="24"/>
        </w:rPr>
        <w:t>Doutorand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946B5">
        <w:rPr>
          <w:rFonts w:ascii="Times New Roman" w:hAnsi="Times New Roman" w:cs="Times New Roman"/>
          <w:sz w:val="24"/>
          <w:szCs w:val="24"/>
        </w:rPr>
        <w:t xml:space="preserve"> em </w:t>
      </w:r>
      <w:r w:rsidRPr="00B0041C">
        <w:rPr>
          <w:rFonts w:ascii="Times New Roman" w:hAnsi="Times New Roman" w:cs="Times New Roman"/>
          <w:sz w:val="24"/>
          <w:szCs w:val="24"/>
        </w:rPr>
        <w:t>Ciências Ambientais. Programa de Pós-Graduação em Ciências Ambientais da Universidade do Estado do Pará. carlaamaatosg@gmail.com.</w:t>
      </w:r>
    </w:p>
    <w:p w14:paraId="2FEC595C" w14:textId="77777777" w:rsidR="00881FF6" w:rsidRDefault="00881FF6" w:rsidP="00881FF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0041C">
        <w:rPr>
          <w:sz w:val="24"/>
          <w:szCs w:val="24"/>
          <w:vertAlign w:val="superscript"/>
        </w:rPr>
        <w:t>6</w:t>
      </w:r>
      <w:r w:rsidRPr="007946B5">
        <w:rPr>
          <w:sz w:val="24"/>
          <w:szCs w:val="24"/>
        </w:rPr>
        <w:t>Doutorado em Desenvolvimento Rural</w:t>
      </w:r>
      <w:r>
        <w:rPr>
          <w:sz w:val="24"/>
          <w:szCs w:val="24"/>
        </w:rPr>
        <w:t xml:space="preserve">. </w:t>
      </w:r>
      <w:r w:rsidRPr="007946B5">
        <w:rPr>
          <w:sz w:val="24"/>
          <w:szCs w:val="24"/>
        </w:rPr>
        <w:t>Programa de Pós</w:t>
      </w:r>
      <w:r>
        <w:rPr>
          <w:sz w:val="24"/>
          <w:szCs w:val="24"/>
        </w:rPr>
        <w:t>-</w:t>
      </w:r>
      <w:r w:rsidRPr="007946B5">
        <w:rPr>
          <w:sz w:val="24"/>
          <w:szCs w:val="24"/>
        </w:rPr>
        <w:t xml:space="preserve">Graduação em Ciências Ambientais da Universidade do Estado </w:t>
      </w:r>
      <w:r>
        <w:rPr>
          <w:sz w:val="24"/>
          <w:szCs w:val="24"/>
        </w:rPr>
        <w:t>d</w:t>
      </w:r>
      <w:r w:rsidRPr="007946B5">
        <w:rPr>
          <w:sz w:val="24"/>
          <w:szCs w:val="24"/>
        </w:rPr>
        <w:t>o Pará</w:t>
      </w:r>
      <w:r>
        <w:rPr>
          <w:sz w:val="24"/>
          <w:szCs w:val="24"/>
        </w:rPr>
        <w:t xml:space="preserve">. </w:t>
      </w:r>
      <w:r w:rsidRPr="007946B5">
        <w:rPr>
          <w:sz w:val="24"/>
          <w:szCs w:val="24"/>
        </w:rPr>
        <w:t>normaely@uepa.br.</w:t>
      </w:r>
    </w:p>
    <w:p w14:paraId="192CF065" w14:textId="77777777" w:rsidR="00881FF6" w:rsidRPr="007946B5" w:rsidRDefault="00881FF6" w:rsidP="00881FF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D</w:t>
      </w:r>
      <w:r w:rsidRPr="002C6E9B">
        <w:rPr>
          <w:sz w:val="24"/>
          <w:szCs w:val="24"/>
        </w:rPr>
        <w:t>outorado em Ciências Agrárias</w:t>
      </w:r>
      <w:r>
        <w:rPr>
          <w:sz w:val="24"/>
          <w:szCs w:val="24"/>
        </w:rPr>
        <w:t xml:space="preserve">. </w:t>
      </w:r>
      <w:r w:rsidRPr="007946B5">
        <w:rPr>
          <w:sz w:val="24"/>
          <w:szCs w:val="24"/>
        </w:rPr>
        <w:t>Programa de Pós</w:t>
      </w:r>
      <w:r>
        <w:rPr>
          <w:sz w:val="24"/>
          <w:szCs w:val="24"/>
        </w:rPr>
        <w:t>-</w:t>
      </w:r>
      <w:r w:rsidRPr="007946B5">
        <w:rPr>
          <w:sz w:val="24"/>
          <w:szCs w:val="24"/>
        </w:rPr>
        <w:t xml:space="preserve">Graduação em Ciências Ambientais da Universidade do Estado </w:t>
      </w:r>
      <w:r>
        <w:rPr>
          <w:sz w:val="24"/>
          <w:szCs w:val="24"/>
        </w:rPr>
        <w:t>d</w:t>
      </w:r>
      <w:r w:rsidRPr="007946B5">
        <w:rPr>
          <w:sz w:val="24"/>
          <w:szCs w:val="24"/>
        </w:rPr>
        <w:t>o Pará</w:t>
      </w:r>
      <w:r>
        <w:rPr>
          <w:sz w:val="24"/>
          <w:szCs w:val="24"/>
        </w:rPr>
        <w:t xml:space="preserve">. </w:t>
      </w:r>
      <w:r w:rsidRPr="002C6E9B">
        <w:rPr>
          <w:sz w:val="24"/>
          <w:szCs w:val="24"/>
        </w:rPr>
        <w:t>tavares@uepa.br</w:t>
      </w:r>
    </w:p>
    <w:p w14:paraId="2CCCDDFF" w14:textId="77777777" w:rsidR="007946B5" w:rsidRPr="007946B5" w:rsidRDefault="007946B5" w:rsidP="007946B5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3E1ED5C5" w14:textId="649F1898" w:rsidR="002C6E9B" w:rsidRPr="006733F8" w:rsidRDefault="002C6E9B" w:rsidP="006733F8">
      <w:pPr>
        <w:pStyle w:val="Textodecomentrio"/>
        <w:jc w:val="both"/>
        <w:rPr>
          <w:sz w:val="24"/>
          <w:szCs w:val="24"/>
        </w:rPr>
      </w:pPr>
      <w:r w:rsidRPr="003B0442">
        <w:rPr>
          <w:sz w:val="24"/>
          <w:szCs w:val="24"/>
        </w:rPr>
        <w:t xml:space="preserve">O estudo investigou o desmatamento em sítios arqueológicos de Barcarena, Pará, de 2008 a 2023, destacando a importância desses locais para documentar antigas populações e preservar o conhecimento histórico. O desmatamento ameaça a integridade dos sítios, essenciais para a compreensão da história e cultura humanas. A pesquisa justifica-se pela necessidade urgente de proteger o patrimônio cultural e histórico, pois a destruição da biodiversidade também afeta irreversivelmente esses locais. O objetivo foi avaliar a evolução do desmatamento usando avançadas técnicas de geoprocessamento para medir seus impactos. A metodologia incluiu dados do </w:t>
      </w:r>
      <w:r w:rsidR="006733F8" w:rsidRPr="006733F8">
        <w:rPr>
          <w:sz w:val="24"/>
          <w:szCs w:val="24"/>
        </w:rPr>
        <w:t>Instituto Brasileiro de Geografia e Estatística (IBGE), Instituto do Patrimônio Histórico e Artístico Nacional (IPHAN) e Instituto Nacional de Pesquisas Espaciais (INPE)</w:t>
      </w:r>
      <w:r w:rsidRPr="003B0442">
        <w:rPr>
          <w:sz w:val="24"/>
          <w:szCs w:val="24"/>
        </w:rPr>
        <w:t>, analisados com o software QGIS 3.34.10, proporcionando uma análise detalhada. Foram identificados 118 sítios arqueológicos tendo a agricultura, exploração madeireira e mineração como principais causadores do desmatamento, ameaçando a integridade dos locais. Conclui-se que o desmatamento em Barcarena é uma ameaça significativa, exigindo políticas de proteção rigorosas e planejamento urbano que promova práticas sustentáveis para mitigar os impactos ambientais e socioeconômicos.</w:t>
      </w:r>
    </w:p>
    <w:p w14:paraId="0B897514" w14:textId="77777777" w:rsidR="003B0442" w:rsidRDefault="003B0442" w:rsidP="002C6E9B">
      <w:pPr>
        <w:jc w:val="both"/>
        <w:rPr>
          <w:b/>
          <w:sz w:val="24"/>
          <w:szCs w:val="24"/>
        </w:rPr>
      </w:pPr>
    </w:p>
    <w:p w14:paraId="3FFBC739" w14:textId="094A897F" w:rsidR="002C6E9B" w:rsidRPr="002C15A2" w:rsidRDefault="002C6E9B" w:rsidP="002C6E9B">
      <w:pPr>
        <w:jc w:val="both"/>
        <w:rPr>
          <w:sz w:val="24"/>
          <w:szCs w:val="24"/>
        </w:rPr>
      </w:pPr>
      <w:r w:rsidRPr="002C15A2">
        <w:rPr>
          <w:b/>
          <w:sz w:val="24"/>
          <w:szCs w:val="24"/>
        </w:rPr>
        <w:t xml:space="preserve">Palavras-chave: </w:t>
      </w:r>
      <w:r w:rsidRPr="002C15A2">
        <w:rPr>
          <w:sz w:val="24"/>
          <w:szCs w:val="24"/>
        </w:rPr>
        <w:t>Patrimônio Cultural</w:t>
      </w:r>
      <w:r>
        <w:rPr>
          <w:sz w:val="24"/>
          <w:szCs w:val="24"/>
        </w:rPr>
        <w:t>.</w:t>
      </w:r>
      <w:r w:rsidRPr="002C15A2">
        <w:rPr>
          <w:sz w:val="24"/>
          <w:szCs w:val="24"/>
        </w:rPr>
        <w:t xml:space="preserve"> Geoprocessamento</w:t>
      </w:r>
      <w:r>
        <w:rPr>
          <w:sz w:val="24"/>
          <w:szCs w:val="24"/>
        </w:rPr>
        <w:t>.</w:t>
      </w:r>
      <w:r w:rsidRPr="002C15A2">
        <w:rPr>
          <w:sz w:val="24"/>
          <w:szCs w:val="24"/>
        </w:rPr>
        <w:t xml:space="preserve"> Sustentabilidade.</w:t>
      </w:r>
    </w:p>
    <w:p w14:paraId="1885BDFC" w14:textId="77777777" w:rsidR="003B0442" w:rsidRDefault="003B0442" w:rsidP="003B0442">
      <w:pPr>
        <w:jc w:val="both"/>
        <w:rPr>
          <w:sz w:val="24"/>
          <w:szCs w:val="24"/>
        </w:rPr>
      </w:pPr>
    </w:p>
    <w:p w14:paraId="7F84CF12" w14:textId="335D2CA0" w:rsidR="002C6E9B" w:rsidRDefault="003949CE" w:rsidP="003B044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2C6E9B" w:rsidRPr="002C6E9B">
        <w:rPr>
          <w:sz w:val="24"/>
          <w:szCs w:val="24"/>
        </w:rPr>
        <w:t>Avaliação de Impactos Ambientais</w:t>
      </w:r>
    </w:p>
    <w:p w14:paraId="7BB3EB0C" w14:textId="77777777" w:rsidR="003B0442" w:rsidRDefault="003B0442" w:rsidP="003B0442">
      <w:pPr>
        <w:jc w:val="both"/>
        <w:rPr>
          <w:sz w:val="24"/>
          <w:szCs w:val="24"/>
        </w:rPr>
      </w:pPr>
    </w:p>
    <w:p w14:paraId="67D58FCA" w14:textId="77777777" w:rsidR="003B0442" w:rsidRDefault="003B0442" w:rsidP="003B0442">
      <w:pPr>
        <w:jc w:val="both"/>
        <w:rPr>
          <w:sz w:val="24"/>
          <w:szCs w:val="24"/>
        </w:rPr>
      </w:pPr>
    </w:p>
    <w:p w14:paraId="45BBE24C" w14:textId="77777777" w:rsidR="003B0442" w:rsidRDefault="003B0442" w:rsidP="003B0442">
      <w:pPr>
        <w:jc w:val="both"/>
        <w:rPr>
          <w:sz w:val="24"/>
          <w:szCs w:val="24"/>
        </w:rPr>
      </w:pPr>
    </w:p>
    <w:p w14:paraId="2072874A" w14:textId="77777777" w:rsidR="003B0442" w:rsidRDefault="003B0442" w:rsidP="003B0442">
      <w:pPr>
        <w:jc w:val="both"/>
        <w:rPr>
          <w:sz w:val="24"/>
          <w:szCs w:val="24"/>
        </w:rPr>
      </w:pPr>
    </w:p>
    <w:p w14:paraId="3B719AAC" w14:textId="77777777" w:rsidR="003B0442" w:rsidRDefault="003B0442" w:rsidP="003B0442">
      <w:pPr>
        <w:jc w:val="both"/>
        <w:rPr>
          <w:sz w:val="24"/>
          <w:szCs w:val="24"/>
        </w:rPr>
      </w:pPr>
    </w:p>
    <w:p w14:paraId="23A8B8A1" w14:textId="77777777" w:rsidR="003B0442" w:rsidRDefault="003B0442" w:rsidP="003B0442">
      <w:pPr>
        <w:jc w:val="both"/>
        <w:rPr>
          <w:sz w:val="24"/>
          <w:szCs w:val="24"/>
        </w:rPr>
      </w:pPr>
    </w:p>
    <w:p w14:paraId="49C9EB26" w14:textId="77777777" w:rsidR="003B0442" w:rsidRDefault="003B0442" w:rsidP="003B0442">
      <w:pPr>
        <w:jc w:val="both"/>
        <w:rPr>
          <w:sz w:val="24"/>
          <w:szCs w:val="24"/>
        </w:rPr>
      </w:pPr>
    </w:p>
    <w:p w14:paraId="4D60FBE0" w14:textId="74846BA3" w:rsidR="002C6E9B" w:rsidRPr="002C6E9B" w:rsidRDefault="002C6E9B" w:rsidP="00DC057F">
      <w:pPr>
        <w:pStyle w:val="PargrafodaLista"/>
        <w:widowControl/>
        <w:numPr>
          <w:ilvl w:val="0"/>
          <w:numId w:val="2"/>
        </w:numPr>
        <w:autoSpaceDE/>
        <w:autoSpaceDN/>
        <w:spacing w:before="0" w:line="360" w:lineRule="auto"/>
        <w:ind w:left="68" w:right="0" w:firstLine="0"/>
        <w:contextualSpacing/>
        <w:rPr>
          <w:b/>
          <w:bCs/>
          <w:sz w:val="24"/>
          <w:szCs w:val="24"/>
        </w:rPr>
      </w:pPr>
      <w:commentRangeStart w:id="0"/>
      <w:r w:rsidRPr="002C6E9B">
        <w:rPr>
          <w:b/>
          <w:bCs/>
          <w:sz w:val="24"/>
          <w:szCs w:val="24"/>
        </w:rPr>
        <w:lastRenderedPageBreak/>
        <w:t>INTRODUÇÃO</w:t>
      </w:r>
      <w:commentRangeEnd w:id="0"/>
      <w:r w:rsidR="00626111">
        <w:rPr>
          <w:rStyle w:val="Refdecomentrio"/>
        </w:rPr>
        <w:commentReference w:id="0"/>
      </w:r>
    </w:p>
    <w:p w14:paraId="5B7A59BD" w14:textId="77777777" w:rsidR="006733F8" w:rsidRPr="006733F8" w:rsidRDefault="002C6E9B" w:rsidP="006733F8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733F8" w:rsidRPr="006733F8">
        <w:rPr>
          <w:sz w:val="24"/>
          <w:szCs w:val="24"/>
        </w:rPr>
        <w:t>Os sítios arqueológicos são fundamentais para entender a história humana, pois preservam vestígios materiais de populações antigas, muitas vezes sendo a única evidência de sua existência. A análise desses vestígios fornece informações sobre o modo de vida, distribuição regional, características ambientais e organização social dessas populações. No Brasil, a proteção desses sítios é garantida por legislações que asseguram sua preservação, reconhecendo-os como bens da União e definindo a responsabilidade compartilhada para sua proteção.</w:t>
      </w:r>
    </w:p>
    <w:p w14:paraId="0E4CA845" w14:textId="7FD1A05E" w:rsidR="002C6E9B" w:rsidRDefault="002C6E9B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07FF5" w:rsidRPr="00A07FF5">
        <w:rPr>
          <w:sz w:val="24"/>
          <w:szCs w:val="24"/>
        </w:rPr>
        <w:t>O desmatamento na Amazônia, impulsionado pela expansão agrícola, exploração madeireira e mineração insustentáveis, causa perda de biodiversidade e agrava o efeito estufa ao reduzir a absorção de dióxido de carbono. As comunidades locais enfrentam desafios econômicos e sociais devido à degradação ambiental. Para combater o desmatamento, são necessárias políticas eficazes, fiscalização rigorosa e o engajamento de empresas e consumidores em práticas sustentáveis para preservar o meio ambiente e o patrimônio arqueológico.</w:t>
      </w:r>
      <w:r w:rsidR="00765B8B">
        <w:rPr>
          <w:sz w:val="24"/>
          <w:szCs w:val="24"/>
        </w:rPr>
        <w:t xml:space="preserve"> </w:t>
      </w:r>
      <w:r>
        <w:rPr>
          <w:sz w:val="24"/>
          <w:szCs w:val="24"/>
        </w:rPr>
        <w:t>Desta forma este trabalho avaliou a evolução do desmatamento (no intervalo de 2008 a 2023) em áreas de sítios arqueológicos no município de Barcarena no estado do Pará através de geoprocessamento.</w:t>
      </w:r>
    </w:p>
    <w:p w14:paraId="19236FBC" w14:textId="77777777" w:rsidR="00626111" w:rsidRDefault="00626111" w:rsidP="002C6E9B">
      <w:pPr>
        <w:tabs>
          <w:tab w:val="num" w:pos="720"/>
        </w:tabs>
        <w:spacing w:line="360" w:lineRule="auto"/>
        <w:jc w:val="both"/>
        <w:rPr>
          <w:b/>
          <w:bCs/>
          <w:sz w:val="24"/>
          <w:szCs w:val="24"/>
        </w:rPr>
      </w:pPr>
    </w:p>
    <w:p w14:paraId="2DE015C4" w14:textId="1C7DB6CF" w:rsidR="002C6E9B" w:rsidRPr="002C6E9B" w:rsidRDefault="002C6E9B" w:rsidP="002C6E9B">
      <w:pPr>
        <w:pStyle w:val="PargrafodaLista"/>
        <w:numPr>
          <w:ilvl w:val="0"/>
          <w:numId w:val="2"/>
        </w:numPr>
        <w:tabs>
          <w:tab w:val="num" w:pos="720"/>
        </w:tabs>
        <w:spacing w:line="360" w:lineRule="auto"/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2C6E9B">
        <w:rPr>
          <w:b/>
          <w:bCs/>
          <w:sz w:val="24"/>
          <w:szCs w:val="24"/>
        </w:rPr>
        <w:t>MATERIAL E MÉTODO</w:t>
      </w:r>
      <w:r w:rsidRPr="002C6E9B">
        <w:rPr>
          <w:b/>
          <w:bCs/>
          <w:sz w:val="24"/>
          <w:szCs w:val="24"/>
        </w:rPr>
        <w:tab/>
      </w:r>
    </w:p>
    <w:p w14:paraId="08AFCA9C" w14:textId="77777777" w:rsidR="002C6E9B" w:rsidRDefault="002C6E9B" w:rsidP="002C6E9B">
      <w:pPr>
        <w:tabs>
          <w:tab w:val="num" w:pos="720"/>
          <w:tab w:val="left" w:pos="340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Para que o artigo fosse possível, utilizou-se dados de geoprocessamento disponíveis no  site da </w:t>
      </w:r>
      <w:r w:rsidRPr="00960587">
        <w:rPr>
          <w:sz w:val="24"/>
          <w:szCs w:val="24"/>
        </w:rPr>
        <w:t>Infraestrutura Nacional de Dados Espaciais – INDE</w:t>
      </w:r>
      <w:r>
        <w:rPr>
          <w:rStyle w:val="Refdenotaderodap"/>
          <w:sz w:val="24"/>
          <w:szCs w:val="24"/>
        </w:rPr>
        <w:footnoteReference w:id="1"/>
      </w:r>
      <w:r>
        <w:rPr>
          <w:sz w:val="24"/>
          <w:szCs w:val="24"/>
        </w:rPr>
        <w:t xml:space="preserve"> referentes ao  </w:t>
      </w:r>
      <w:r w:rsidRPr="00960587">
        <w:rPr>
          <w:sz w:val="24"/>
          <w:szCs w:val="24"/>
        </w:rPr>
        <w:t>Instituto Brasileiro de Geografia e Estatística</w:t>
      </w:r>
      <w:r>
        <w:rPr>
          <w:sz w:val="24"/>
          <w:szCs w:val="24"/>
        </w:rPr>
        <w:t xml:space="preserve"> - IBGE e do </w:t>
      </w:r>
      <w:r w:rsidRPr="00D757A9">
        <w:rPr>
          <w:sz w:val="24"/>
          <w:szCs w:val="24"/>
        </w:rPr>
        <w:t xml:space="preserve">Instituto do Patrimônio Histórico e Artístico Nacional </w:t>
      </w:r>
      <w:r>
        <w:rPr>
          <w:sz w:val="24"/>
          <w:szCs w:val="24"/>
        </w:rPr>
        <w:t xml:space="preserve">- IPHAN em áreas de sítios arqueológicos no município de Barcarena no estado do Pará, principalmente por já ter sido alvo de tantos impactos negativos (Lemos e Pimentel, 2021), além destes dados mesclou-se dados do desmatamento acumulado (no intervalo de 2008 a 2023)  do </w:t>
      </w:r>
      <w:r w:rsidRPr="00C83EC2">
        <w:rPr>
          <w:sz w:val="24"/>
          <w:szCs w:val="24"/>
        </w:rPr>
        <w:t>Instituto Nacional de Pesquisas Espaciais - INPE</w:t>
      </w:r>
      <w:r>
        <w:rPr>
          <w:sz w:val="24"/>
          <w:szCs w:val="24"/>
        </w:rPr>
        <w:t xml:space="preserve"> pela plataforma </w:t>
      </w:r>
      <w:r w:rsidRPr="00C83EC2">
        <w:rPr>
          <w:sz w:val="24"/>
          <w:szCs w:val="24"/>
        </w:rPr>
        <w:t>TerraBrasilis</w:t>
      </w:r>
      <w:r>
        <w:rPr>
          <w:rStyle w:val="Refdenotaderodap"/>
          <w:i/>
          <w:iCs/>
          <w:sz w:val="24"/>
          <w:szCs w:val="24"/>
        </w:rPr>
        <w:footnoteReference w:id="2"/>
      </w:r>
      <w:r>
        <w:rPr>
          <w:i/>
          <w:iCs/>
          <w:sz w:val="24"/>
          <w:szCs w:val="24"/>
        </w:rPr>
        <w:t xml:space="preserve">, </w:t>
      </w:r>
      <w:r w:rsidRPr="00C83EC2">
        <w:rPr>
          <w:sz w:val="24"/>
          <w:szCs w:val="24"/>
        </w:rPr>
        <w:t>como ferramenta de processamento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utilizou-se o software QGIS 3.34.10 com base no </w:t>
      </w:r>
      <w:r w:rsidRPr="00C83EC2">
        <w:rPr>
          <w:sz w:val="24"/>
          <w:szCs w:val="24"/>
        </w:rPr>
        <w:t>sistema de referência geodésica SIRGAS 2000</w:t>
      </w:r>
      <w:r>
        <w:rPr>
          <w:sz w:val="24"/>
          <w:szCs w:val="24"/>
        </w:rPr>
        <w:t xml:space="preserve"> conforme </w:t>
      </w:r>
      <w:r w:rsidRPr="00F651E3">
        <w:rPr>
          <w:sz w:val="24"/>
          <w:szCs w:val="24"/>
        </w:rPr>
        <w:fldChar w:fldCharType="begin"/>
      </w:r>
      <w:r w:rsidRPr="00F651E3">
        <w:rPr>
          <w:sz w:val="24"/>
          <w:szCs w:val="24"/>
        </w:rPr>
        <w:instrText xml:space="preserve"> REF _Ref178447688 \h  \* MERGEFORMAT </w:instrText>
      </w:r>
      <w:r w:rsidRPr="00F651E3">
        <w:rPr>
          <w:sz w:val="24"/>
          <w:szCs w:val="24"/>
        </w:rPr>
      </w:r>
      <w:r w:rsidRPr="00F651E3">
        <w:rPr>
          <w:sz w:val="24"/>
          <w:szCs w:val="24"/>
        </w:rPr>
        <w:fldChar w:fldCharType="separate"/>
      </w:r>
      <w:r w:rsidRPr="00F651E3">
        <w:rPr>
          <w:sz w:val="24"/>
          <w:szCs w:val="24"/>
        </w:rPr>
        <w:t xml:space="preserve">Figura </w:t>
      </w:r>
      <w:r w:rsidRPr="00F651E3">
        <w:rPr>
          <w:noProof/>
          <w:sz w:val="24"/>
          <w:szCs w:val="24"/>
        </w:rPr>
        <w:t>1</w:t>
      </w:r>
      <w:r w:rsidRPr="00F651E3">
        <w:rPr>
          <w:sz w:val="24"/>
          <w:szCs w:val="24"/>
        </w:rPr>
        <w:fldChar w:fldCharType="end"/>
      </w:r>
      <w:r w:rsidRPr="00F651E3">
        <w:rPr>
          <w:sz w:val="24"/>
          <w:szCs w:val="24"/>
        </w:rPr>
        <w:t>.</w:t>
      </w:r>
    </w:p>
    <w:p w14:paraId="246CA909" w14:textId="3AD2F2BA" w:rsidR="002C6E9B" w:rsidRDefault="002C6E9B" w:rsidP="009B5DA9">
      <w:pPr>
        <w:pStyle w:val="Legenda"/>
        <w:spacing w:after="0"/>
        <w:jc w:val="center"/>
        <w:rPr>
          <w:noProof/>
        </w:rPr>
      </w:pPr>
      <w:bookmarkStart w:id="1" w:name="_Ref178447688"/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lastRenderedPageBreak/>
        <w:t xml:space="preserve">Figura </w:t>
      </w:r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"/>
      <w:r w:rsidRPr="004F0752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– Fluxograma de mapa QGIS 3.34.10.</w:t>
      </w:r>
      <w:r w:rsidR="00A312AE" w:rsidRPr="00A312AE">
        <w:t xml:space="preserve"> </w:t>
      </w:r>
      <w:r w:rsidR="00A312AE">
        <w:rPr>
          <w:noProof/>
        </w:rPr>
        <w:drawing>
          <wp:inline distT="0" distB="0" distL="0" distR="0" wp14:anchorId="7F347DDE" wp14:editId="1531E3D0">
            <wp:extent cx="5139690" cy="1663468"/>
            <wp:effectExtent l="19050" t="19050" r="22860" b="13335"/>
            <wp:docPr id="16334542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22566" r="2017" b="22429"/>
                    <a:stretch/>
                  </pic:blipFill>
                  <pic:spPr bwMode="auto">
                    <a:xfrm>
                      <a:off x="0" y="0"/>
                      <a:ext cx="5149011" cy="166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D8C0B" w14:textId="77777777" w:rsidR="002C6E9B" w:rsidRDefault="002C6E9B" w:rsidP="002C6E9B">
      <w:pPr>
        <w:tabs>
          <w:tab w:val="left" w:pos="2700"/>
        </w:tabs>
        <w:jc w:val="center"/>
      </w:pPr>
      <w:r w:rsidRPr="004F0752">
        <w:t>Fonte: Autores (2023).</w:t>
      </w:r>
    </w:p>
    <w:p w14:paraId="4AD6037E" w14:textId="77777777" w:rsidR="005A2D9C" w:rsidRDefault="005A2D9C" w:rsidP="005A2D9C">
      <w:pPr>
        <w:tabs>
          <w:tab w:val="left" w:pos="2700"/>
        </w:tabs>
        <w:spacing w:line="360" w:lineRule="auto"/>
        <w:jc w:val="center"/>
      </w:pPr>
      <w:commentRangeStart w:id="2"/>
    </w:p>
    <w:p w14:paraId="48790E89" w14:textId="4DE88273" w:rsidR="002C6E9B" w:rsidRDefault="002C6E9B" w:rsidP="002C6E9B">
      <w:pPr>
        <w:tabs>
          <w:tab w:val="num" w:pos="720"/>
        </w:tabs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ab/>
      </w:r>
      <w:r w:rsidR="006733F8">
        <w:rPr>
          <w:b/>
          <w:bCs/>
          <w:sz w:val="24"/>
          <w:szCs w:val="24"/>
        </w:rPr>
        <w:t xml:space="preserve">RESULTADOS E </w:t>
      </w:r>
      <w:r w:rsidRPr="00D757A9">
        <w:rPr>
          <w:b/>
          <w:bCs/>
          <w:sz w:val="24"/>
          <w:szCs w:val="24"/>
        </w:rPr>
        <w:t>DISCUSSÃO</w:t>
      </w:r>
    </w:p>
    <w:p w14:paraId="672F8372" w14:textId="0FA21984" w:rsidR="002C6E9B" w:rsidRPr="006733F8" w:rsidRDefault="006733F8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6733F8">
        <w:rPr>
          <w:sz w:val="24"/>
          <w:szCs w:val="24"/>
        </w:rPr>
        <w:t>3.1</w:t>
      </w:r>
      <w:r w:rsidRPr="006733F8">
        <w:rPr>
          <w:sz w:val="24"/>
          <w:szCs w:val="24"/>
        </w:rPr>
        <w:tab/>
        <w:t xml:space="preserve"> CONTEXTO</w:t>
      </w:r>
      <w:commentRangeEnd w:id="2"/>
      <w:r w:rsidR="005A2D9C" w:rsidRPr="006733F8">
        <w:rPr>
          <w:rStyle w:val="Refdecomentrio"/>
        </w:rPr>
        <w:commentReference w:id="2"/>
      </w:r>
    </w:p>
    <w:p w14:paraId="543CEC89" w14:textId="1850705D" w:rsidR="00A07FF5" w:rsidRDefault="002C6E9B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6795A">
        <w:rPr>
          <w:sz w:val="24"/>
          <w:szCs w:val="24"/>
        </w:rPr>
        <w:t xml:space="preserve">O município de Barcarena está localizado no estado do Pará </w:t>
      </w:r>
      <w:r>
        <w:rPr>
          <w:sz w:val="24"/>
          <w:szCs w:val="24"/>
        </w:rPr>
        <w:t xml:space="preserve">pertencente a </w:t>
      </w:r>
      <w:r w:rsidRPr="0096795A">
        <w:rPr>
          <w:sz w:val="24"/>
          <w:szCs w:val="24"/>
        </w:rPr>
        <w:t>Região Geográfica Intermediária de Belém, no estado do Pará, Brasil. De acordo com a nova regionalização do IBGE de 2017, Barcarena faz parte da Região Geográfica Imediata de Belém. Anteriormente, na regionalização de 1989, o município estava incluído na Mesorregião Metropolitana de Belém e na Microrregião de Belém. Barcarena é o terceiro município mais populoso da Região de Integração Tocantins, com uma população de 126.650 habitantes, ficando atrás apenas de Abaetetuba e Cametá. Em termos de Índice de Desenvolvimento Humano (IDH), Barcarena possui o IDH mais alto da região, registrado em 0,662 (</w:t>
      </w:r>
      <w:r>
        <w:rPr>
          <w:sz w:val="24"/>
          <w:szCs w:val="24"/>
        </w:rPr>
        <w:t xml:space="preserve">Gester </w:t>
      </w:r>
      <w:r w:rsidRPr="0096795A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, 2023</w:t>
      </w:r>
      <w:r w:rsidR="007730E6">
        <w:rPr>
          <w:sz w:val="24"/>
          <w:szCs w:val="24"/>
        </w:rPr>
        <w:t xml:space="preserve"> </w:t>
      </w:r>
      <w:r w:rsidRPr="0096795A">
        <w:rPr>
          <w:sz w:val="24"/>
          <w:szCs w:val="24"/>
        </w:rPr>
        <w:t xml:space="preserve">p. 6170-6171). O município </w:t>
      </w:r>
      <w:r w:rsidR="00A312AE">
        <w:rPr>
          <w:sz w:val="24"/>
          <w:szCs w:val="24"/>
        </w:rPr>
        <w:t>é</w:t>
      </w:r>
      <w:r w:rsidRPr="0096795A">
        <w:rPr>
          <w:sz w:val="24"/>
          <w:szCs w:val="24"/>
        </w:rPr>
        <w:t xml:space="preserve"> localizado no estado do Pará</w:t>
      </w:r>
      <w:r>
        <w:rPr>
          <w:sz w:val="24"/>
          <w:szCs w:val="24"/>
        </w:rPr>
        <w:t xml:space="preserve"> conforme</w:t>
      </w:r>
      <w:r w:rsidRPr="007D4815">
        <w:rPr>
          <w:sz w:val="24"/>
          <w:szCs w:val="24"/>
        </w:rPr>
        <w:t xml:space="preserve"> </w:t>
      </w:r>
      <w:r w:rsidRPr="007D4815">
        <w:rPr>
          <w:sz w:val="24"/>
          <w:szCs w:val="24"/>
        </w:rPr>
        <w:fldChar w:fldCharType="begin"/>
      </w:r>
      <w:r w:rsidRPr="007D4815">
        <w:rPr>
          <w:sz w:val="24"/>
          <w:szCs w:val="24"/>
        </w:rPr>
        <w:instrText xml:space="preserve"> REF _Ref178444457 \h  \* MERGEFORMAT </w:instrText>
      </w:r>
      <w:r w:rsidRPr="007D4815">
        <w:rPr>
          <w:sz w:val="24"/>
          <w:szCs w:val="24"/>
        </w:rPr>
      </w:r>
      <w:r w:rsidRPr="007D4815">
        <w:rPr>
          <w:sz w:val="24"/>
          <w:szCs w:val="24"/>
        </w:rPr>
        <w:fldChar w:fldCharType="separate"/>
      </w:r>
      <w:r w:rsidRPr="007D4815">
        <w:rPr>
          <w:sz w:val="24"/>
          <w:szCs w:val="24"/>
        </w:rPr>
        <w:t xml:space="preserve">Figura </w:t>
      </w:r>
      <w:r w:rsidRPr="007D4815">
        <w:rPr>
          <w:noProof/>
          <w:sz w:val="24"/>
          <w:szCs w:val="24"/>
        </w:rPr>
        <w:t>2</w:t>
      </w:r>
      <w:r w:rsidRPr="007D4815">
        <w:rPr>
          <w:sz w:val="24"/>
          <w:szCs w:val="24"/>
        </w:rPr>
        <w:fldChar w:fldCharType="end"/>
      </w:r>
      <w:r w:rsidRPr="007D4815">
        <w:rPr>
          <w:sz w:val="24"/>
          <w:szCs w:val="24"/>
        </w:rPr>
        <w:t xml:space="preserve">. </w:t>
      </w:r>
    </w:p>
    <w:p w14:paraId="1D686F00" w14:textId="77777777" w:rsidR="009F68F7" w:rsidRDefault="009F68F7" w:rsidP="002C6E9B">
      <w:pPr>
        <w:tabs>
          <w:tab w:val="num" w:pos="720"/>
        </w:tabs>
        <w:jc w:val="center"/>
      </w:pPr>
      <w:bookmarkStart w:id="3" w:name="_Ref178444457"/>
    </w:p>
    <w:p w14:paraId="3E40FD15" w14:textId="3E38A03F" w:rsidR="002C6E9B" w:rsidRPr="004F0752" w:rsidRDefault="002C6E9B" w:rsidP="002C6E9B">
      <w:pPr>
        <w:tabs>
          <w:tab w:val="num" w:pos="720"/>
        </w:tabs>
        <w:jc w:val="center"/>
      </w:pPr>
      <w:r w:rsidRPr="004F0752">
        <w:t xml:space="preserve">Figura </w:t>
      </w:r>
      <w:r w:rsidRPr="004F0752">
        <w:fldChar w:fldCharType="begin"/>
      </w:r>
      <w:r w:rsidRPr="004F0752">
        <w:instrText xml:space="preserve"> SEQ Figura \* ARABIC </w:instrText>
      </w:r>
      <w:r w:rsidRPr="004F0752">
        <w:fldChar w:fldCharType="separate"/>
      </w:r>
      <w:r>
        <w:rPr>
          <w:noProof/>
        </w:rPr>
        <w:t>2</w:t>
      </w:r>
      <w:r w:rsidRPr="004F0752">
        <w:fldChar w:fldCharType="end"/>
      </w:r>
      <w:bookmarkEnd w:id="3"/>
      <w:r w:rsidRPr="004F0752">
        <w:t xml:space="preserve"> - Localização do município de Barcarena no estado do Pará.</w:t>
      </w:r>
    </w:p>
    <w:p w14:paraId="5E39F1AF" w14:textId="77777777" w:rsidR="002C6E9B" w:rsidRPr="0096795A" w:rsidRDefault="002C6E9B" w:rsidP="002C6E9B">
      <w:pPr>
        <w:tabs>
          <w:tab w:val="num" w:pos="72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A815EF1" wp14:editId="22BA918B">
            <wp:extent cx="4006774" cy="2667000"/>
            <wp:effectExtent l="19050" t="19050" r="13335" b="19050"/>
            <wp:docPr id="3077265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6046" r="1901" b="4852"/>
                    <a:stretch/>
                  </pic:blipFill>
                  <pic:spPr bwMode="auto">
                    <a:xfrm>
                      <a:off x="0" y="0"/>
                      <a:ext cx="4061430" cy="270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8BA5" w14:textId="4EF8329D" w:rsidR="002C6E9B" w:rsidRPr="007E7207" w:rsidRDefault="002C6E9B" w:rsidP="007E7207">
      <w:pPr>
        <w:tabs>
          <w:tab w:val="num" w:pos="720"/>
        </w:tabs>
        <w:jc w:val="center"/>
      </w:pPr>
      <w:r w:rsidRPr="004F0752">
        <w:t xml:space="preserve">Fonte: Autores </w:t>
      </w:r>
      <w:r w:rsidR="002727C1">
        <w:t>(</w:t>
      </w:r>
      <w:r w:rsidRPr="004F0752">
        <w:t>2024</w:t>
      </w:r>
      <w:r w:rsidR="002727C1">
        <w:t>)</w:t>
      </w:r>
      <w:r w:rsidRPr="004F0752">
        <w:t>.</w:t>
      </w:r>
    </w:p>
    <w:p w14:paraId="464E11A1" w14:textId="1DC582E8" w:rsidR="00A312AE" w:rsidRDefault="002C6E9B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A312AE">
        <w:rPr>
          <w:sz w:val="24"/>
          <w:szCs w:val="24"/>
        </w:rPr>
        <w:t>Barcarena é</w:t>
      </w:r>
      <w:r w:rsidRPr="0096795A">
        <w:rPr>
          <w:sz w:val="24"/>
          <w:szCs w:val="24"/>
        </w:rPr>
        <w:t xml:space="preserve"> caracterizad</w:t>
      </w:r>
      <w:r w:rsidR="00A312AE">
        <w:rPr>
          <w:sz w:val="24"/>
          <w:szCs w:val="24"/>
        </w:rPr>
        <w:t>a</w:t>
      </w:r>
      <w:r w:rsidRPr="0096795A">
        <w:rPr>
          <w:sz w:val="24"/>
          <w:szCs w:val="24"/>
        </w:rPr>
        <w:t xml:space="preserve"> por sua transformação em um polo minero-metalúrgico, que trouxe consigo uma série de desafios socioambientais. De acordo com o documento, a instalação do Distrito Industrial de Barcarena e dos "Grandes Projetos" resultou em significativos impactos sociais e ambientais, afetando principalmente os recursos hídricos e o modo de vida das comunidades locais</w:t>
      </w:r>
      <w:r>
        <w:rPr>
          <w:sz w:val="24"/>
          <w:szCs w:val="24"/>
        </w:rPr>
        <w:t xml:space="preserve"> </w:t>
      </w:r>
      <w:r w:rsidRPr="0096795A">
        <w:rPr>
          <w:sz w:val="24"/>
          <w:szCs w:val="24"/>
        </w:rPr>
        <w:t>(</w:t>
      </w:r>
      <w:commentRangeStart w:id="4"/>
      <w:r>
        <w:rPr>
          <w:sz w:val="24"/>
          <w:szCs w:val="24"/>
        </w:rPr>
        <w:t xml:space="preserve">Gester </w:t>
      </w:r>
      <w:r w:rsidRPr="0096795A">
        <w:rPr>
          <w:i/>
          <w:iCs/>
          <w:sz w:val="24"/>
          <w:szCs w:val="24"/>
        </w:rPr>
        <w:t>et al</w:t>
      </w:r>
      <w:r>
        <w:rPr>
          <w:i/>
          <w:iCs/>
          <w:sz w:val="24"/>
          <w:szCs w:val="24"/>
        </w:rPr>
        <w:t>,</w:t>
      </w:r>
      <w:r w:rsidR="002E347A">
        <w:rPr>
          <w:i/>
          <w:iCs/>
          <w:sz w:val="24"/>
          <w:szCs w:val="24"/>
        </w:rPr>
        <w:t xml:space="preserve"> </w:t>
      </w:r>
      <w:r w:rsidR="002E347A" w:rsidRPr="002E347A">
        <w:rPr>
          <w:sz w:val="24"/>
          <w:szCs w:val="24"/>
        </w:rPr>
        <w:t>2023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 w:rsidRPr="0096795A">
        <w:rPr>
          <w:sz w:val="24"/>
          <w:szCs w:val="24"/>
        </w:rPr>
        <w:t xml:space="preserve"> 6165-6166</w:t>
      </w:r>
      <w:commentRangeEnd w:id="4"/>
      <w:r w:rsidR="002E347A">
        <w:rPr>
          <w:rStyle w:val="Refdecomentrio"/>
        </w:rPr>
        <w:commentReference w:id="4"/>
      </w:r>
      <w:r w:rsidRPr="0096795A">
        <w:rPr>
          <w:sz w:val="24"/>
          <w:szCs w:val="24"/>
        </w:rPr>
        <w:t xml:space="preserve">). </w:t>
      </w:r>
    </w:p>
    <w:p w14:paraId="3B7F0EE2" w14:textId="121F44BB" w:rsidR="002C6E9B" w:rsidRDefault="00A312AE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C6E9B" w:rsidRPr="0096795A">
        <w:rPr>
          <w:sz w:val="24"/>
          <w:szCs w:val="24"/>
        </w:rPr>
        <w:t>A região enfrentou uma série de desastres ambientais</w:t>
      </w:r>
      <w:r w:rsidR="00C84378">
        <w:rPr>
          <w:sz w:val="24"/>
          <w:szCs w:val="24"/>
        </w:rPr>
        <w:t>.</w:t>
      </w:r>
      <w:r w:rsidR="002C6E9B">
        <w:rPr>
          <w:sz w:val="24"/>
          <w:szCs w:val="24"/>
        </w:rPr>
        <w:t xml:space="preserve"> E</w:t>
      </w:r>
      <w:r w:rsidR="002C6E9B" w:rsidRPr="0096795A">
        <w:rPr>
          <w:sz w:val="24"/>
          <w:szCs w:val="24"/>
        </w:rPr>
        <w:t xml:space="preserve">ntre 2000 e 2021, foram registrados vinte e oito desastres ambientais significativos, incluindo vazamentos de rejeitos de caulim da empresa </w:t>
      </w:r>
      <w:r w:rsidR="002C6E9B" w:rsidRPr="00A312AE">
        <w:rPr>
          <w:i/>
          <w:iCs/>
          <w:sz w:val="24"/>
          <w:szCs w:val="24"/>
        </w:rPr>
        <w:t>Imerys</w:t>
      </w:r>
      <w:r w:rsidR="002C6E9B" w:rsidRPr="0096795A">
        <w:rPr>
          <w:sz w:val="24"/>
          <w:szCs w:val="24"/>
        </w:rPr>
        <w:t>. Esses vazamentos afetaram os igarapés Curuperé e Dendê, tornando a água imprópria para o consumo e impactando negativamente a saúde e o modo de vida das comunidades locais. Em 2007, por exemplo, um grande vazamento de caulim percorreu 19 km, atingindo o rio Pará e causando sérios danos ambientais. Além disso, outros incidentes, como o naufrágio de um navio com óleo e bois vivos e vazamentos químicos de outras empresas, contribuíram para a degradação ambiental na região. Esses eventos destacam a vulnerabilidade de Barcarena a desastres ambientais decorrentes das operações industriais, que têm gerado impactos duradouros sobre o meio ambiente e as comunidades locais. Além disso, a chegada de grandes empreendimentos industriais intensificou as pressões sobre o território, resultando em conflitos socioambientais (</w:t>
      </w:r>
      <w:r w:rsidR="002C6E9B">
        <w:rPr>
          <w:sz w:val="24"/>
          <w:szCs w:val="24"/>
        </w:rPr>
        <w:t xml:space="preserve">Gester </w:t>
      </w:r>
      <w:r w:rsidR="002C6E9B" w:rsidRPr="0096795A">
        <w:rPr>
          <w:i/>
          <w:iCs/>
          <w:sz w:val="24"/>
          <w:szCs w:val="24"/>
        </w:rPr>
        <w:t>et al</w:t>
      </w:r>
      <w:r w:rsidR="002C6E9B">
        <w:rPr>
          <w:i/>
          <w:iCs/>
          <w:sz w:val="24"/>
          <w:szCs w:val="24"/>
        </w:rPr>
        <w:t>,</w:t>
      </w:r>
      <w:r w:rsidR="002C6E9B">
        <w:rPr>
          <w:sz w:val="24"/>
          <w:szCs w:val="24"/>
        </w:rPr>
        <w:t xml:space="preserve"> </w:t>
      </w:r>
      <w:r w:rsidR="002E347A">
        <w:rPr>
          <w:sz w:val="24"/>
          <w:szCs w:val="24"/>
        </w:rPr>
        <w:t xml:space="preserve">2023 </w:t>
      </w:r>
      <w:r w:rsidR="002C6E9B" w:rsidRPr="0096795A">
        <w:rPr>
          <w:sz w:val="24"/>
          <w:szCs w:val="24"/>
        </w:rPr>
        <w:t>p. 6170-61</w:t>
      </w:r>
      <w:r>
        <w:rPr>
          <w:sz w:val="24"/>
          <w:szCs w:val="24"/>
        </w:rPr>
        <w:t>8</w:t>
      </w:r>
      <w:r w:rsidR="002C6E9B" w:rsidRPr="0096795A">
        <w:rPr>
          <w:sz w:val="24"/>
          <w:szCs w:val="24"/>
        </w:rPr>
        <w:t>1).</w:t>
      </w:r>
    </w:p>
    <w:p w14:paraId="62627197" w14:textId="0AA706C0" w:rsidR="002C6E9B" w:rsidRPr="008E75F5" w:rsidRDefault="008E75F5" w:rsidP="002C6E9B">
      <w:pPr>
        <w:tabs>
          <w:tab w:val="num" w:pos="720"/>
        </w:tabs>
        <w:spacing w:before="240" w:after="240"/>
        <w:jc w:val="both"/>
        <w:rPr>
          <w:sz w:val="24"/>
          <w:szCs w:val="24"/>
        </w:rPr>
      </w:pPr>
      <w:r w:rsidRPr="008E75F5">
        <w:rPr>
          <w:sz w:val="24"/>
          <w:szCs w:val="24"/>
        </w:rPr>
        <w:t>3.2</w:t>
      </w:r>
      <w:r w:rsidRPr="008E75F5">
        <w:rPr>
          <w:sz w:val="24"/>
          <w:szCs w:val="24"/>
        </w:rPr>
        <w:tab/>
        <w:t>DESMATAMENTO E SÍTIOS ARQUEOLÓGICOS</w:t>
      </w:r>
      <w:commentRangeStart w:id="5"/>
      <w:commentRangeEnd w:id="5"/>
      <w:r w:rsidR="00325708" w:rsidRPr="008E75F5">
        <w:rPr>
          <w:rStyle w:val="Refdecomentrio"/>
        </w:rPr>
        <w:commentReference w:id="5"/>
      </w:r>
    </w:p>
    <w:p w14:paraId="77F55CCA" w14:textId="44FB14EE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C5894">
        <w:rPr>
          <w:sz w:val="24"/>
          <w:szCs w:val="24"/>
        </w:rPr>
        <w:t xml:space="preserve">Historicamente, a exploração econômica na região, especialmente sob o modelo agrário exportador e o regime de </w:t>
      </w:r>
      <w:r w:rsidRPr="00A07FF5">
        <w:rPr>
          <w:i/>
          <w:iCs/>
          <w:sz w:val="24"/>
          <w:szCs w:val="24"/>
        </w:rPr>
        <w:t>plantations</w:t>
      </w:r>
      <w:r w:rsidRPr="000C5894">
        <w:rPr>
          <w:sz w:val="24"/>
          <w:szCs w:val="24"/>
        </w:rPr>
        <w:t>, deixou marcas profundas, incluindo o desmatamento e a exploração intensiva dos recursos florestais. Desde o século XIX, ciclos econômicos como o da borracha contribuíram para a degradação ambiental</w:t>
      </w:r>
      <w:r w:rsidR="00A07FF5">
        <w:rPr>
          <w:sz w:val="24"/>
          <w:szCs w:val="24"/>
        </w:rPr>
        <w:t xml:space="preserve">. </w:t>
      </w:r>
      <w:r w:rsidRPr="000C5894">
        <w:rPr>
          <w:sz w:val="24"/>
          <w:szCs w:val="24"/>
        </w:rPr>
        <w:t xml:space="preserve">A implantação de grandes projetos na Amazônia (a partir dos anos 1960), incluindo Barcarena, trouxe impactos devastadores para as populações tradicionais e os ecossistemas. Esses projetos frequentemente envolvem desmatamento para dar lugar a infraestrutura como portos, rodovias e plantas industriais. Barcarena é um ponto estratégico para a exportação de </w:t>
      </w:r>
      <w:r w:rsidRPr="00A07FF5">
        <w:rPr>
          <w:i/>
          <w:iCs/>
          <w:sz w:val="24"/>
          <w:szCs w:val="24"/>
        </w:rPr>
        <w:t>commodities</w:t>
      </w:r>
      <w:r w:rsidRPr="000C5894">
        <w:rPr>
          <w:sz w:val="24"/>
          <w:szCs w:val="24"/>
        </w:rPr>
        <w:t>, com infraestrutura de portos e distritos industriais que intensificam o desmatamento. A construção de infraestrutura associada a esses projetos, como o mineroduto de bauxita, também implica em desmatamento e outros impactos ambientais (Farias</w:t>
      </w:r>
      <w:r w:rsidR="00AA41A6">
        <w:rPr>
          <w:sz w:val="24"/>
          <w:szCs w:val="24"/>
        </w:rPr>
        <w:t>,</w:t>
      </w:r>
      <w:r w:rsidRPr="000C5894">
        <w:rPr>
          <w:sz w:val="24"/>
          <w:szCs w:val="24"/>
        </w:rPr>
        <w:t xml:space="preserve"> 2023</w:t>
      </w:r>
      <w:r w:rsidRPr="000C5894">
        <w:rPr>
          <w:b/>
          <w:bCs/>
          <w:sz w:val="24"/>
          <w:szCs w:val="24"/>
        </w:rPr>
        <w:t xml:space="preserve"> </w:t>
      </w:r>
      <w:r w:rsidRPr="000C5894">
        <w:rPr>
          <w:sz w:val="24"/>
          <w:szCs w:val="24"/>
        </w:rPr>
        <w:t xml:space="preserve">p. </w:t>
      </w:r>
      <w:r w:rsidR="00A07FF5">
        <w:rPr>
          <w:sz w:val="24"/>
          <w:szCs w:val="24"/>
        </w:rPr>
        <w:t>6</w:t>
      </w:r>
      <w:r w:rsidRPr="000C5894">
        <w:rPr>
          <w:sz w:val="24"/>
          <w:szCs w:val="24"/>
        </w:rPr>
        <w:t>-8).</w:t>
      </w:r>
    </w:p>
    <w:p w14:paraId="1AF5A11A" w14:textId="41E99389" w:rsidR="002C6E9B" w:rsidRPr="000C5894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C5894">
        <w:rPr>
          <w:sz w:val="24"/>
          <w:szCs w:val="24"/>
        </w:rPr>
        <w:t xml:space="preserve">Os conflitos relacionados ao uso e apropriação da terra, também podem resultar em desmatamento, como no caso da expansão industrial e das disputas por territórios tradicionais, </w:t>
      </w:r>
      <w:r w:rsidRPr="000C5894">
        <w:rPr>
          <w:sz w:val="24"/>
          <w:szCs w:val="24"/>
        </w:rPr>
        <w:lastRenderedPageBreak/>
        <w:t>incluindo áreas quilombolas. A falta de um licenciamento ambiental abrangente para o Distrito Industrial de Barcarena dificulta a análise dos impactos cumulativos, incluindo o desmatamento, que resulta da soma das atividades industriais e de infraestrutura na região (Farias</w:t>
      </w:r>
      <w:r w:rsidR="003D01C3">
        <w:rPr>
          <w:sz w:val="24"/>
          <w:szCs w:val="24"/>
        </w:rPr>
        <w:t>,</w:t>
      </w:r>
      <w:r w:rsidRPr="000C5894">
        <w:rPr>
          <w:sz w:val="24"/>
          <w:szCs w:val="24"/>
        </w:rPr>
        <w:t xml:space="preserve"> 2023</w:t>
      </w:r>
      <w:r w:rsidRPr="000C5894">
        <w:rPr>
          <w:b/>
          <w:bCs/>
          <w:sz w:val="24"/>
          <w:szCs w:val="24"/>
        </w:rPr>
        <w:t xml:space="preserve"> </w:t>
      </w:r>
      <w:r w:rsidRPr="000C5894">
        <w:rPr>
          <w:sz w:val="24"/>
          <w:szCs w:val="24"/>
        </w:rPr>
        <w:t xml:space="preserve">p. </w:t>
      </w:r>
      <w:r w:rsidR="00A312AE">
        <w:rPr>
          <w:sz w:val="24"/>
          <w:szCs w:val="24"/>
        </w:rPr>
        <w:t>6</w:t>
      </w:r>
      <w:r w:rsidR="00A07FF5">
        <w:rPr>
          <w:sz w:val="24"/>
          <w:szCs w:val="24"/>
        </w:rPr>
        <w:t>-11</w:t>
      </w:r>
      <w:r w:rsidRPr="000C5894">
        <w:rPr>
          <w:sz w:val="24"/>
          <w:szCs w:val="24"/>
        </w:rPr>
        <w:t>).</w:t>
      </w:r>
    </w:p>
    <w:p w14:paraId="5C3235B0" w14:textId="75083AD2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 w:rsidRPr="000C5894">
        <w:rPr>
          <w:sz w:val="24"/>
          <w:szCs w:val="24"/>
        </w:rPr>
        <w:tab/>
      </w:r>
      <w:r w:rsidR="007914D6" w:rsidRPr="00FF39ED">
        <w:rPr>
          <w:sz w:val="24"/>
          <w:szCs w:val="24"/>
        </w:rPr>
        <w:t>Esses tipos de empreendimentos estão espalhados por todo o território do município e podem ser grandes catalisadores do desmatamento, como demonstrado na Figura 3, onde o desmatamento ocupa uma parte significativa d</w:t>
      </w:r>
      <w:r w:rsidR="00FF39ED">
        <w:rPr>
          <w:sz w:val="24"/>
          <w:szCs w:val="24"/>
        </w:rPr>
        <w:t>e</w:t>
      </w:r>
      <w:r w:rsidR="007914D6" w:rsidRPr="00FF39ED">
        <w:rPr>
          <w:sz w:val="24"/>
          <w:szCs w:val="24"/>
        </w:rPr>
        <w:t xml:space="preserve"> </w:t>
      </w:r>
      <w:r w:rsidR="00FF39ED">
        <w:rPr>
          <w:sz w:val="24"/>
          <w:szCs w:val="24"/>
        </w:rPr>
        <w:t>Barcarena</w:t>
      </w:r>
      <w:r w:rsidR="007914D6" w:rsidRPr="00FF39ED">
        <w:rPr>
          <w:sz w:val="24"/>
          <w:szCs w:val="24"/>
        </w:rPr>
        <w:t>.</w:t>
      </w:r>
      <w:r w:rsidR="007914D6">
        <w:rPr>
          <w:sz w:val="24"/>
          <w:szCs w:val="24"/>
        </w:rPr>
        <w:t xml:space="preserve"> </w:t>
      </w:r>
      <w:r w:rsidRPr="000C5894">
        <w:rPr>
          <w:sz w:val="24"/>
          <w:szCs w:val="24"/>
        </w:rPr>
        <w:t>Esses elementos indicam que o desmatamento em Barcarena está profundamente interligado a um histórico de exploração econômica e à implementação de grandes projetos industriais e de infraestrutura, que alteram significativamente o uso da terra e o meio ambiente local.</w:t>
      </w:r>
    </w:p>
    <w:p w14:paraId="5A84D5D9" w14:textId="77777777" w:rsidR="00A361B0" w:rsidRDefault="00A361B0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</w:p>
    <w:p w14:paraId="0D429993" w14:textId="77777777" w:rsidR="002C6E9B" w:rsidRDefault="002C6E9B" w:rsidP="002C6E9B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6" w:name="_Ref178503182"/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Figura </w:t>
      </w:r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</w:t>
      </w:r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6"/>
      <w:r w:rsidRPr="005C72D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- Desmatamento acumulado desde 2007</w:t>
      </w:r>
    </w:p>
    <w:p w14:paraId="4F0A60D0" w14:textId="77777777" w:rsidR="002C6E9B" w:rsidRDefault="002C6E9B" w:rsidP="002C6E9B">
      <w:pPr>
        <w:jc w:val="center"/>
      </w:pPr>
      <w:r>
        <w:rPr>
          <w:noProof/>
        </w:rPr>
        <w:drawing>
          <wp:inline distT="0" distB="0" distL="0" distR="0" wp14:anchorId="075416CD" wp14:editId="089874FB">
            <wp:extent cx="5151497" cy="3726473"/>
            <wp:effectExtent l="19050" t="19050" r="11430" b="26670"/>
            <wp:docPr id="5171749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075" r="5791" b="3625"/>
                    <a:stretch/>
                  </pic:blipFill>
                  <pic:spPr bwMode="auto">
                    <a:xfrm>
                      <a:off x="0" y="0"/>
                      <a:ext cx="5151497" cy="3726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0DF2E" w14:textId="097877A3" w:rsidR="002C6E9B" w:rsidRDefault="002C6E9B" w:rsidP="002C6E9B">
      <w:pPr>
        <w:tabs>
          <w:tab w:val="num" w:pos="720"/>
        </w:tabs>
        <w:spacing w:line="360" w:lineRule="auto"/>
        <w:jc w:val="center"/>
      </w:pPr>
      <w:r w:rsidRPr="00286B41">
        <w:t xml:space="preserve">Fonte: </w:t>
      </w:r>
      <w:r w:rsidR="007E7207">
        <w:t>A</w:t>
      </w:r>
      <w:r w:rsidRPr="00286B41">
        <w:t>utores (2024)</w:t>
      </w:r>
      <w:r w:rsidR="00A361B0">
        <w:t>.</w:t>
      </w:r>
    </w:p>
    <w:p w14:paraId="62B6D97A" w14:textId="77777777" w:rsidR="00A361B0" w:rsidRDefault="00A361B0" w:rsidP="002C6E9B">
      <w:pPr>
        <w:tabs>
          <w:tab w:val="num" w:pos="720"/>
        </w:tabs>
        <w:spacing w:line="360" w:lineRule="auto"/>
        <w:jc w:val="center"/>
      </w:pPr>
    </w:p>
    <w:p w14:paraId="59EEDCD3" w14:textId="6BA4465F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 w:rsidRPr="000C5894">
        <w:rPr>
          <w:sz w:val="24"/>
          <w:szCs w:val="24"/>
        </w:rPr>
        <w:tab/>
      </w:r>
      <w:r w:rsidR="00470CAF">
        <w:rPr>
          <w:sz w:val="24"/>
          <w:szCs w:val="24"/>
        </w:rPr>
        <w:t>S</w:t>
      </w:r>
      <w:commentRangeStart w:id="7"/>
      <w:r w:rsidR="00470CAF" w:rsidRPr="000C5894">
        <w:rPr>
          <w:sz w:val="24"/>
          <w:szCs w:val="24"/>
        </w:rPr>
        <w:t>egundo Castello, Vidal e Begot (2017)</w:t>
      </w:r>
      <w:r w:rsidR="00470CAF">
        <w:rPr>
          <w:sz w:val="24"/>
          <w:szCs w:val="24"/>
        </w:rPr>
        <w:t>,</w:t>
      </w:r>
      <w:r w:rsidR="00470CAF" w:rsidRPr="000C5894">
        <w:rPr>
          <w:sz w:val="24"/>
          <w:szCs w:val="24"/>
        </w:rPr>
        <w:t xml:space="preserve"> </w:t>
      </w:r>
      <w:commentRangeEnd w:id="7"/>
      <w:r w:rsidR="00470CAF">
        <w:rPr>
          <w:rStyle w:val="Refdecomentrio"/>
        </w:rPr>
        <w:commentReference w:id="7"/>
      </w:r>
      <w:r w:rsidR="00470CAF">
        <w:rPr>
          <w:sz w:val="24"/>
          <w:szCs w:val="24"/>
        </w:rPr>
        <w:t>u</w:t>
      </w:r>
      <w:r>
        <w:rPr>
          <w:sz w:val="24"/>
          <w:szCs w:val="24"/>
        </w:rPr>
        <w:t>m</w:t>
      </w:r>
      <w:r w:rsidRPr="000C5894">
        <w:rPr>
          <w:sz w:val="24"/>
          <w:szCs w:val="24"/>
        </w:rPr>
        <w:t xml:space="preserve"> fator que </w:t>
      </w:r>
      <w:r>
        <w:rPr>
          <w:sz w:val="24"/>
          <w:szCs w:val="24"/>
        </w:rPr>
        <w:t>reforça esta hipótese,</w:t>
      </w:r>
      <w:r w:rsidRPr="000C5894">
        <w:rPr>
          <w:sz w:val="24"/>
          <w:szCs w:val="24"/>
        </w:rPr>
        <w:t xml:space="preserve"> é apontado pelo o aumento da luminosidade em áreas urbanas, como Barcarena, está relacionado ao crescimento urbano, que pode levar ao desmatamento e fragmentação das paisagens naturais. Este processo é evidenciado pelo aumento das manchas de luz em regiões periféricas das </w:t>
      </w:r>
      <w:r w:rsidRPr="000C5894">
        <w:rPr>
          <w:sz w:val="24"/>
          <w:szCs w:val="24"/>
        </w:rPr>
        <w:lastRenderedPageBreak/>
        <w:t xml:space="preserve">manchas centrais dos municípios, o que indica desconectividade da estrutura natural da paisagem e aumento do efeito de borda. </w:t>
      </w:r>
      <w:r>
        <w:rPr>
          <w:sz w:val="24"/>
          <w:szCs w:val="24"/>
        </w:rPr>
        <w:t>T</w:t>
      </w:r>
      <w:r w:rsidRPr="000C5894">
        <w:rPr>
          <w:sz w:val="24"/>
          <w:szCs w:val="24"/>
        </w:rPr>
        <w:t xml:space="preserve">ambém </w:t>
      </w:r>
      <w:r>
        <w:rPr>
          <w:sz w:val="24"/>
          <w:szCs w:val="24"/>
        </w:rPr>
        <w:t xml:space="preserve">é </w:t>
      </w:r>
      <w:r w:rsidRPr="000C5894">
        <w:rPr>
          <w:sz w:val="24"/>
          <w:szCs w:val="24"/>
        </w:rPr>
        <w:t>menciona</w:t>
      </w:r>
      <w:r>
        <w:rPr>
          <w:sz w:val="24"/>
          <w:szCs w:val="24"/>
        </w:rPr>
        <w:t>do</w:t>
      </w:r>
      <w:r w:rsidRPr="000C5894">
        <w:rPr>
          <w:sz w:val="24"/>
          <w:szCs w:val="24"/>
        </w:rPr>
        <w:t xml:space="preserve"> que a fragmentação de habitats tem um grande efeito negativo sobre a diversidade de espécies</w:t>
      </w:r>
      <w:r>
        <w:rPr>
          <w:sz w:val="24"/>
          <w:szCs w:val="24"/>
        </w:rPr>
        <w:t>.</w:t>
      </w:r>
    </w:p>
    <w:p w14:paraId="3B9A60D2" w14:textId="6E3C3BEB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Barcarena</w:t>
      </w:r>
      <w:commentRangeStart w:id="8"/>
      <w:r>
        <w:rPr>
          <w:sz w:val="24"/>
          <w:szCs w:val="24"/>
        </w:rPr>
        <w:t xml:space="preserve"> </w:t>
      </w:r>
      <w:commentRangeEnd w:id="8"/>
      <w:r w:rsidR="00325708">
        <w:rPr>
          <w:rStyle w:val="Refdecomentrio"/>
        </w:rPr>
        <w:commentReference w:id="8"/>
      </w:r>
      <w:r>
        <w:rPr>
          <w:sz w:val="24"/>
          <w:szCs w:val="24"/>
        </w:rPr>
        <w:t xml:space="preserve">abarca 4 sítios históricos, 8 sítios pré-coloniais, 2 sítios históricos e pré-coloniais, além de 104 sem classificação, totalizando 118 sítios arqueológicos cadastrados até o ano de 2023 no </w:t>
      </w:r>
      <w:r w:rsidRPr="00D757A9">
        <w:rPr>
          <w:sz w:val="24"/>
          <w:szCs w:val="24"/>
        </w:rPr>
        <w:t xml:space="preserve">Instituto do Patrimônio Histórico e Artístico Nacional </w:t>
      </w:r>
      <w:r>
        <w:rPr>
          <w:sz w:val="24"/>
          <w:szCs w:val="24"/>
        </w:rPr>
        <w:t>– IPHAN, os sítios foram estudados por meio do licenciamento ambiental ou mais raramente pela academia</w:t>
      </w:r>
      <w:r w:rsidR="00470CAF">
        <w:rPr>
          <w:sz w:val="24"/>
          <w:szCs w:val="24"/>
        </w:rPr>
        <w:t>, podem ser observados na Figura 4</w:t>
      </w:r>
      <w:r>
        <w:rPr>
          <w:sz w:val="24"/>
          <w:szCs w:val="24"/>
        </w:rPr>
        <w:t xml:space="preserve">. </w:t>
      </w:r>
    </w:p>
    <w:p w14:paraId="669A1148" w14:textId="77777777" w:rsidR="00325708" w:rsidRDefault="00325708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</w:p>
    <w:p w14:paraId="44BEACB4" w14:textId="77777777" w:rsidR="00325708" w:rsidRPr="00286B41" w:rsidRDefault="00325708" w:rsidP="00325708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commentRangeStart w:id="9"/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Figura </w:t>
      </w:r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</w:t>
      </w:r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286B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- Mapa de Barcarena com sítios Arqueológicos identificados por nome.</w:t>
      </w:r>
    </w:p>
    <w:p w14:paraId="61F458D2" w14:textId="56207D63" w:rsidR="00325708" w:rsidRDefault="00AF5EE7" w:rsidP="00325708">
      <w:pPr>
        <w:tabs>
          <w:tab w:val="num" w:pos="72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42F0EE9" wp14:editId="3BCCD300">
            <wp:extent cx="5762625" cy="4073525"/>
            <wp:effectExtent l="19050" t="19050" r="28575" b="22225"/>
            <wp:docPr id="9825907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8A3BE" w14:textId="092CD2E7" w:rsidR="00325708" w:rsidRPr="00325708" w:rsidRDefault="00325708" w:rsidP="00325708">
      <w:pPr>
        <w:tabs>
          <w:tab w:val="num" w:pos="720"/>
        </w:tabs>
        <w:spacing w:after="120" w:line="360" w:lineRule="auto"/>
        <w:jc w:val="center"/>
      </w:pPr>
      <w:r w:rsidRPr="00286B41">
        <w:t xml:space="preserve">Fonte: </w:t>
      </w:r>
      <w:r>
        <w:t>A</w:t>
      </w:r>
      <w:r w:rsidRPr="00286B41">
        <w:t>utores (2024)</w:t>
      </w:r>
      <w:r>
        <w:t>.</w:t>
      </w:r>
      <w:commentRangeEnd w:id="9"/>
      <w:r>
        <w:rPr>
          <w:rStyle w:val="Refdecomentrio"/>
        </w:rPr>
        <w:commentReference w:id="9"/>
      </w:r>
    </w:p>
    <w:p w14:paraId="2C812DC9" w14:textId="77777777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Com o avanço acumulado do desmatamento desde 2007, é possível notar, além do impacto ambiental mais um tipo de dano, neste caso relacionados a sítios arqueológicos, pois apesar dos estudos preverem o resgate ou salvamento do material arqueológico, boa parte do contexto fica sob a terra já que a retirada do material é amostral.</w:t>
      </w:r>
    </w:p>
    <w:p w14:paraId="72C63529" w14:textId="37701B53" w:rsidR="002C6E9B" w:rsidRPr="00A312AE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312AE" w:rsidRPr="00A312AE">
        <w:rPr>
          <w:sz w:val="24"/>
          <w:szCs w:val="24"/>
        </w:rPr>
        <w:t xml:space="preserve">O desmatamento em sítios arqueológicos pode causar danos significativos, incluindo a </w:t>
      </w:r>
      <w:r w:rsidR="00A312AE" w:rsidRPr="00A312AE">
        <w:rPr>
          <w:sz w:val="24"/>
          <w:szCs w:val="24"/>
        </w:rPr>
        <w:lastRenderedPageBreak/>
        <w:t xml:space="preserve">destruição física dos locais e a perda de integridade dos artefatos e estruturas. A remoção da vegetação aumenta a erosão do solo, expondo os sítios a condições climáticas adversas que aceleram a deterioração dos materiais arqueológicos. A vegetação é crucial para preservar o contexto arqueológico, e sua remoção pode resultar na perda de informações valiosas. Além disso, o desmatamento facilita o acesso humano, aumentando o risco de vandalismo e pilhagem, comprometendo o valor cultural e científico dos sítios e dificultando a pesquisa e preservação do patrimônio histórico </w:t>
      </w:r>
      <w:r>
        <w:rPr>
          <w:sz w:val="24"/>
          <w:szCs w:val="24"/>
        </w:rPr>
        <w:t>(</w:t>
      </w:r>
      <w:r w:rsidRPr="00307DD5">
        <w:rPr>
          <w:sz w:val="24"/>
          <w:szCs w:val="24"/>
        </w:rPr>
        <w:t>Rufinoi</w:t>
      </w:r>
      <w:r w:rsidR="00CE0BF1">
        <w:rPr>
          <w:sz w:val="24"/>
          <w:szCs w:val="24"/>
        </w:rPr>
        <w:t>,</w:t>
      </w:r>
      <w:r>
        <w:rPr>
          <w:sz w:val="24"/>
          <w:szCs w:val="24"/>
        </w:rPr>
        <w:t xml:space="preserve"> 2021)</w:t>
      </w:r>
      <w:r w:rsidRPr="00307DD5">
        <w:rPr>
          <w:sz w:val="24"/>
          <w:szCs w:val="24"/>
        </w:rPr>
        <w:t>.</w:t>
      </w:r>
    </w:p>
    <w:p w14:paraId="38F24820" w14:textId="12317CC0" w:rsidR="002C6E9B" w:rsidRDefault="002C6E9B" w:rsidP="002C6E9B">
      <w:pPr>
        <w:tabs>
          <w:tab w:val="num" w:pos="72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Na figura </w:t>
      </w:r>
      <w:r w:rsidR="004B5D8C">
        <w:rPr>
          <w:sz w:val="24"/>
          <w:szCs w:val="24"/>
        </w:rPr>
        <w:t>4</w:t>
      </w:r>
      <w:r>
        <w:rPr>
          <w:sz w:val="24"/>
          <w:szCs w:val="24"/>
        </w:rPr>
        <w:t xml:space="preserve">, observa-se a quantidade de sítios arqueológicos no território municipal de Barcarena e em seguida na figura 5, observa-se a sobreposição do desmatamento acumulado sobre sítios arqueológicos delimitados, são poucos sítios alheios a este tipo de dano, tendo apenas 20 dos 118 sítios registrados fora do avanço do desmatamento. </w:t>
      </w:r>
    </w:p>
    <w:p w14:paraId="42D894E2" w14:textId="77777777" w:rsidR="007B4816" w:rsidRDefault="007B4816" w:rsidP="00325708">
      <w:pPr>
        <w:pStyle w:val="Legenda"/>
        <w:spacing w:after="0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0" w:name="_Ref178505941"/>
    </w:p>
    <w:bookmarkEnd w:id="10"/>
    <w:p w14:paraId="5A7E6CF8" w14:textId="1EB29F21" w:rsidR="002C6E9B" w:rsidRPr="00796D5E" w:rsidRDefault="002C6E9B" w:rsidP="002C6E9B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Figura </w:t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Pr="00796D5E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5</w:t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- </w:t>
      </w:r>
      <w:r w:rsidR="00531AE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</w:t>
      </w:r>
      <w:r w:rsidRPr="00796D5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esmatamento e sítios arqueológicos no município de Barcarena.</w:t>
      </w:r>
    </w:p>
    <w:p w14:paraId="3F274447" w14:textId="77777777" w:rsidR="002C6E9B" w:rsidRDefault="002C6E9B" w:rsidP="002C6E9B">
      <w:pPr>
        <w:tabs>
          <w:tab w:val="num" w:pos="72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D5381A" wp14:editId="3A711458">
            <wp:extent cx="5085715" cy="3697218"/>
            <wp:effectExtent l="19050" t="19050" r="19685" b="17780"/>
            <wp:docPr id="3474976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3340" r="5966" b="3366"/>
                    <a:stretch/>
                  </pic:blipFill>
                  <pic:spPr bwMode="auto">
                    <a:xfrm>
                      <a:off x="0" y="0"/>
                      <a:ext cx="5148993" cy="3743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33DFE" w14:textId="76D3A757" w:rsidR="002C6E9B" w:rsidRDefault="002C6E9B" w:rsidP="002C6E9B">
      <w:pPr>
        <w:tabs>
          <w:tab w:val="num" w:pos="720"/>
        </w:tabs>
        <w:jc w:val="center"/>
      </w:pPr>
      <w:r w:rsidRPr="00286B41">
        <w:t xml:space="preserve">Fonte: </w:t>
      </w:r>
      <w:r w:rsidR="00731CC8">
        <w:t>A</w:t>
      </w:r>
      <w:r w:rsidRPr="00286B41">
        <w:t>utores (2024)</w:t>
      </w:r>
      <w:r w:rsidR="007E19EE">
        <w:t>.</w:t>
      </w:r>
    </w:p>
    <w:p w14:paraId="2FD3C2DB" w14:textId="77777777" w:rsidR="003106C8" w:rsidRDefault="003106C8" w:rsidP="002C6E9B">
      <w:pPr>
        <w:tabs>
          <w:tab w:val="num" w:pos="720"/>
        </w:tabs>
        <w:jc w:val="center"/>
      </w:pPr>
    </w:p>
    <w:p w14:paraId="612B5F07" w14:textId="77777777" w:rsidR="002C6E9B" w:rsidRDefault="002C6E9B" w:rsidP="00AA1146">
      <w:pPr>
        <w:tabs>
          <w:tab w:val="num" w:pos="720"/>
        </w:tabs>
        <w:spacing w:before="120" w:after="120" w:line="360" w:lineRule="auto"/>
        <w:jc w:val="both"/>
        <w:rPr>
          <w:b/>
          <w:bCs/>
          <w:sz w:val="24"/>
          <w:szCs w:val="24"/>
        </w:rPr>
      </w:pPr>
      <w:r w:rsidRPr="00507C1C">
        <w:rPr>
          <w:b/>
          <w:bCs/>
          <w:sz w:val="24"/>
          <w:szCs w:val="24"/>
        </w:rPr>
        <w:t>4.</w:t>
      </w:r>
      <w:r w:rsidRPr="00507C1C">
        <w:rPr>
          <w:b/>
          <w:bCs/>
          <w:sz w:val="24"/>
          <w:szCs w:val="24"/>
        </w:rPr>
        <w:tab/>
        <w:t>CONSIDERAÇÕES FINAIS</w:t>
      </w:r>
    </w:p>
    <w:p w14:paraId="57E97538" w14:textId="70C79E22" w:rsidR="002C6E9B" w:rsidRPr="00B614CB" w:rsidRDefault="002C6E9B" w:rsidP="002C6E9B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614CB">
        <w:rPr>
          <w:sz w:val="24"/>
          <w:szCs w:val="24"/>
        </w:rPr>
        <w:t xml:space="preserve">O desmatamento em sítios arqueológicos de Barcarena, Pará, ameaça seriamente o patrimônio histórico e cultural. Esses sítios são essenciais para entender a história humana, </w:t>
      </w:r>
      <w:r w:rsidRPr="00B614CB">
        <w:rPr>
          <w:sz w:val="24"/>
          <w:szCs w:val="24"/>
        </w:rPr>
        <w:lastRenderedPageBreak/>
        <w:t>oferecendo informações sobre as civilizações antigas da região. No entanto, a expansão agrícola, exploração madeireira e mineração têm comprometido a integridade desses locais. A destruição física dos sítios, devido à remoção da vegetação, prejudica a pesquisa e conservação do patrimônio</w:t>
      </w:r>
      <w:r w:rsidR="00A312AE">
        <w:rPr>
          <w:sz w:val="24"/>
          <w:szCs w:val="24"/>
        </w:rPr>
        <w:t>, o</w:t>
      </w:r>
      <w:r w:rsidRPr="00B614CB">
        <w:rPr>
          <w:sz w:val="24"/>
          <w:szCs w:val="24"/>
        </w:rPr>
        <w:t xml:space="preserve"> desmatamento também aumenta a erosão do solo, expondo os sítios a condições climáticas adversas que aceleram a deterioração dos materiais arqueológicos. </w:t>
      </w:r>
    </w:p>
    <w:p w14:paraId="71606671" w14:textId="046EABB0" w:rsidR="00A07FF5" w:rsidRDefault="002C6E9B" w:rsidP="00A07FF5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B614CB">
        <w:rPr>
          <w:sz w:val="24"/>
          <w:szCs w:val="24"/>
        </w:rPr>
        <w:tab/>
      </w:r>
      <w:r w:rsidR="00A07FF5" w:rsidRPr="00A312AE">
        <w:rPr>
          <w:sz w:val="24"/>
          <w:szCs w:val="24"/>
        </w:rPr>
        <w:t>A falta de planejamento urbano e licenciamento ambiental no Distrito Industrial agrava os impactos cumulativos das atividades industriais, afetando a biodiversidade pela fragmentação de habitats e aumento do efeito de borda. Para mitigar esses impactos, é necessário implementar políticas de proteção rigorosas, fortalecer legislações e promover práticas sustentáveis. Tecnologias de geoprocessamento podem monitorar o desmatamento em tempo real, e o engajamento comunitário é crucial para a conscientização e proteção dos sítios</w:t>
      </w:r>
      <w:r w:rsidR="00A312AE">
        <w:rPr>
          <w:sz w:val="24"/>
          <w:szCs w:val="24"/>
        </w:rPr>
        <w:t>, u</w:t>
      </w:r>
      <w:r w:rsidR="00A07FF5" w:rsidRPr="00A312AE">
        <w:rPr>
          <w:sz w:val="24"/>
          <w:szCs w:val="24"/>
        </w:rPr>
        <w:t>m esforço</w:t>
      </w:r>
      <w:r w:rsidR="00A312AE">
        <w:rPr>
          <w:sz w:val="24"/>
          <w:szCs w:val="24"/>
        </w:rPr>
        <w:t xml:space="preserve"> </w:t>
      </w:r>
      <w:r w:rsidR="00A07FF5" w:rsidRPr="00A312AE">
        <w:rPr>
          <w:sz w:val="24"/>
          <w:szCs w:val="24"/>
        </w:rPr>
        <w:t>conjunto</w:t>
      </w:r>
      <w:r w:rsidR="00A312AE">
        <w:rPr>
          <w:sz w:val="24"/>
          <w:szCs w:val="24"/>
        </w:rPr>
        <w:t xml:space="preserve"> maior</w:t>
      </w:r>
      <w:r w:rsidR="00A07FF5" w:rsidRPr="00A312AE">
        <w:rPr>
          <w:sz w:val="24"/>
          <w:szCs w:val="24"/>
        </w:rPr>
        <w:t xml:space="preserve"> entre governo, setor privado e sociedade civil é essencial para preservar o patrimônio histórico e cultural.</w:t>
      </w:r>
    </w:p>
    <w:p w14:paraId="5F56DC7B" w14:textId="77777777" w:rsidR="003106C8" w:rsidRPr="00A312AE" w:rsidRDefault="003106C8" w:rsidP="00A07FF5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</w:p>
    <w:p w14:paraId="5B8FC7F3" w14:textId="4D987835" w:rsidR="002C6E9B" w:rsidRPr="007B4816" w:rsidRDefault="002C6E9B" w:rsidP="007B4816">
      <w:pPr>
        <w:tabs>
          <w:tab w:val="num" w:pos="720"/>
        </w:tabs>
        <w:spacing w:line="360" w:lineRule="auto"/>
        <w:jc w:val="both"/>
        <w:rPr>
          <w:b/>
          <w:bCs/>
          <w:sz w:val="24"/>
          <w:szCs w:val="24"/>
        </w:rPr>
      </w:pPr>
      <w:commentRangeStart w:id="11"/>
      <w:r w:rsidRPr="00507C1C">
        <w:rPr>
          <w:b/>
          <w:bCs/>
          <w:sz w:val="24"/>
          <w:szCs w:val="24"/>
        </w:rPr>
        <w:t>REFER</w:t>
      </w:r>
      <w:r>
        <w:rPr>
          <w:b/>
          <w:bCs/>
          <w:sz w:val="24"/>
          <w:szCs w:val="24"/>
        </w:rPr>
        <w:t>Ê</w:t>
      </w:r>
      <w:r w:rsidRPr="00507C1C">
        <w:rPr>
          <w:b/>
          <w:bCs/>
          <w:sz w:val="24"/>
          <w:szCs w:val="24"/>
        </w:rPr>
        <w:t>NCIAS</w:t>
      </w:r>
      <w:commentRangeEnd w:id="11"/>
      <w:r w:rsidR="002E347A">
        <w:rPr>
          <w:rStyle w:val="Refdecomentrio"/>
        </w:rPr>
        <w:commentReference w:id="11"/>
      </w:r>
    </w:p>
    <w:p w14:paraId="48C2EA4A" w14:textId="77777777" w:rsidR="006733F8" w:rsidRPr="00F128B0" w:rsidRDefault="006733F8" w:rsidP="002C6E9B">
      <w:pPr>
        <w:spacing w:before="120" w:after="120"/>
        <w:jc w:val="both"/>
        <w:rPr>
          <w:sz w:val="24"/>
          <w:szCs w:val="24"/>
        </w:rPr>
      </w:pPr>
      <w:r w:rsidRPr="00F128B0">
        <w:rPr>
          <w:sz w:val="24"/>
          <w:szCs w:val="24"/>
        </w:rPr>
        <w:t>CASTELLO, R. N.; VIDAL, J.; BEGOT, L. H. Contenção do Desmatamento na Amazônia: a gestão do Programa Municípios Verdes no município de Barcarena, Pará, 2017.</w:t>
      </w:r>
    </w:p>
    <w:p w14:paraId="78A2E2E9" w14:textId="77777777" w:rsidR="006733F8" w:rsidRPr="00F128B0" w:rsidRDefault="006733F8" w:rsidP="002C6E9B">
      <w:pPr>
        <w:spacing w:before="120" w:after="120"/>
        <w:jc w:val="both"/>
        <w:rPr>
          <w:sz w:val="24"/>
          <w:szCs w:val="24"/>
        </w:rPr>
      </w:pPr>
      <w:r w:rsidRPr="00F128B0">
        <w:rPr>
          <w:sz w:val="24"/>
          <w:szCs w:val="24"/>
        </w:rPr>
        <w:t>FARIAS, A. L. A. D. Impactos e conflitos socioambientais de grandes projetos na Amazônia: até quando Barcarena/PA será uma zona de sacrifício? INTERthesis: Revista Internacional Interdisciplinar, v. 20, n. 1, p. 2, 2023.</w:t>
      </w:r>
    </w:p>
    <w:p w14:paraId="1BE7F02B" w14:textId="4D683F2F" w:rsidR="006733F8" w:rsidRPr="00F128B0" w:rsidRDefault="006733F8" w:rsidP="002C6E9B">
      <w:pPr>
        <w:spacing w:before="120" w:after="120"/>
        <w:jc w:val="both"/>
        <w:rPr>
          <w:sz w:val="24"/>
          <w:szCs w:val="24"/>
        </w:rPr>
      </w:pPr>
      <w:r w:rsidRPr="006733F8">
        <w:rPr>
          <w:sz w:val="24"/>
          <w:szCs w:val="24"/>
        </w:rPr>
        <w:t>GESTER, L. C. G.; DA SILVA, C. N.; DA SILVA, J. M. P.; SOARES, D. A. S.; CARVALHO, A. C.; DA SILVA, E. K. R. Impactos socioambientais na Amazônia paraense: uma análise na comunidade de Curuperé (Barcarena, Pará, Brasil). </w:t>
      </w:r>
      <w:r w:rsidRPr="006733F8">
        <w:rPr>
          <w:sz w:val="24"/>
          <w:szCs w:val="24"/>
          <w:lang w:val="es-ES"/>
        </w:rPr>
        <w:t>Cuadernos de Educación y Desarrollo, </w:t>
      </w:r>
      <w:r w:rsidRPr="006733F8">
        <w:rPr>
          <w:i/>
          <w:iCs/>
          <w:sz w:val="24"/>
          <w:szCs w:val="24"/>
          <w:lang w:val="es-ES"/>
        </w:rPr>
        <w:t>[S. l.]</w:t>
      </w:r>
      <w:r w:rsidRPr="006733F8">
        <w:rPr>
          <w:sz w:val="24"/>
          <w:szCs w:val="24"/>
          <w:lang w:val="es-ES"/>
        </w:rPr>
        <w:t xml:space="preserve">, v. 15, n. 7, p. 6164–6196, 2023. </w:t>
      </w:r>
      <w:r w:rsidRPr="006733F8">
        <w:rPr>
          <w:sz w:val="24"/>
          <w:szCs w:val="24"/>
        </w:rPr>
        <w:t>DOI: 10.55905/cuadv15n7-017. Disponível em: https://cuadernoseducacion.com/ojs/index.php/ced/article/view/1528. Acesso em: 1</w:t>
      </w:r>
      <w:r>
        <w:rPr>
          <w:sz w:val="24"/>
          <w:szCs w:val="24"/>
        </w:rPr>
        <w:t xml:space="preserve"> de out.</w:t>
      </w:r>
      <w:r w:rsidRPr="006733F8">
        <w:rPr>
          <w:sz w:val="24"/>
          <w:szCs w:val="24"/>
        </w:rPr>
        <w:t xml:space="preserve"> 2024.</w:t>
      </w:r>
    </w:p>
    <w:p w14:paraId="2BF56E46" w14:textId="77777777" w:rsidR="006733F8" w:rsidRPr="00F128B0" w:rsidRDefault="006733F8" w:rsidP="002C6E9B">
      <w:pPr>
        <w:spacing w:before="120" w:after="120"/>
        <w:jc w:val="both"/>
        <w:rPr>
          <w:sz w:val="24"/>
          <w:szCs w:val="24"/>
        </w:rPr>
      </w:pPr>
      <w:r w:rsidRPr="00F128B0">
        <w:rPr>
          <w:sz w:val="24"/>
          <w:szCs w:val="24"/>
        </w:rPr>
        <w:t>LEMOS, M. A. D. Q.; PIMENTEL, M. A. D. S. Mineração e desastres ambientais com rejeitos de bauxita e caulim no município de Barcarena-Pará-Brasil-Amazônia. Territorium, n. 28 (I), p. 137-156, 2021.</w:t>
      </w:r>
    </w:p>
    <w:p w14:paraId="0194464E" w14:textId="77777777" w:rsidR="006733F8" w:rsidRPr="00F128B0" w:rsidRDefault="006733F8" w:rsidP="002C6E9B">
      <w:pPr>
        <w:spacing w:before="120" w:after="120"/>
        <w:jc w:val="both"/>
        <w:rPr>
          <w:sz w:val="24"/>
          <w:szCs w:val="24"/>
        </w:rPr>
      </w:pPr>
      <w:r w:rsidRPr="00F128B0">
        <w:rPr>
          <w:sz w:val="24"/>
          <w:szCs w:val="24"/>
        </w:rPr>
        <w:t>LINHEIRA, G.; OLIVEIRA, F. H. D. A política pública de proteção de sítios arqueológicos no Brasil: histórico e desafios contemporâneos. Revista Direito UFMS, p. 402-424, 2022.</w:t>
      </w:r>
    </w:p>
    <w:p w14:paraId="3059CDC4" w14:textId="77777777" w:rsidR="006733F8" w:rsidRDefault="006733F8" w:rsidP="002C6E9B">
      <w:pPr>
        <w:spacing w:before="120" w:after="120"/>
        <w:jc w:val="both"/>
        <w:rPr>
          <w:sz w:val="24"/>
          <w:szCs w:val="24"/>
        </w:rPr>
      </w:pPr>
      <w:r w:rsidRPr="00F128B0">
        <w:rPr>
          <w:sz w:val="24"/>
          <w:szCs w:val="24"/>
        </w:rPr>
        <w:t>RUFINOI, E. H. Sítios arqueológicos: danos naturais e antrópicos. Revista Noctua – Arqueologia e Patrimônio, v. II, n. 6, 2021.</w:t>
      </w:r>
    </w:p>
    <w:p w14:paraId="74D32050" w14:textId="4EA07DAD" w:rsidR="00DB5854" w:rsidRPr="003949CE" w:rsidRDefault="00DB5854" w:rsidP="002C6E9B">
      <w:pPr>
        <w:shd w:val="clear" w:color="auto" w:fill="FFFFFF"/>
        <w:tabs>
          <w:tab w:val="left" w:pos="2500"/>
        </w:tabs>
      </w:pPr>
    </w:p>
    <w:sectPr w:rsidR="00DB5854" w:rsidRPr="003949CE" w:rsidSect="005A1575">
      <w:headerReference w:type="default" r:id="rId17"/>
      <w:footerReference w:type="default" r:id="rId18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Avaliador" w:date="2024-11-11T22:25:00Z" w:initials="PPGCA">
    <w:p w14:paraId="57592364" w14:textId="22E42CCC" w:rsidR="00626111" w:rsidRDefault="00626111">
      <w:pPr>
        <w:pStyle w:val="Textodecomentrio"/>
      </w:pPr>
      <w:r>
        <w:rPr>
          <w:rStyle w:val="Refdecomentrio"/>
        </w:rPr>
        <w:annotationRef/>
      </w:r>
      <w:r>
        <w:t>Introdução sem</w:t>
      </w:r>
      <w:r w:rsidR="004B3F8A">
        <w:t xml:space="preserve"> citações</w:t>
      </w:r>
      <w:r w:rsidR="005A2D9C">
        <w:t>.</w:t>
      </w:r>
    </w:p>
    <w:p w14:paraId="18E6C3DA" w14:textId="77777777" w:rsidR="005A2D9C" w:rsidRDefault="005A2D9C">
      <w:pPr>
        <w:pStyle w:val="Textodecomentrio"/>
      </w:pPr>
    </w:p>
    <w:p w14:paraId="6878E9C5" w14:textId="165669C6" w:rsidR="005A2D9C" w:rsidRDefault="005A2D9C">
      <w:pPr>
        <w:pStyle w:val="Textodecomentrio"/>
      </w:pPr>
      <w:r>
        <w:rPr>
          <w:sz w:val="24"/>
          <w:szCs w:val="24"/>
        </w:rPr>
        <w:t>As citações devem seguir a norma da ABNT NBR 10520:2002.</w:t>
      </w:r>
    </w:p>
  </w:comment>
  <w:comment w:id="2" w:author="Avaliador" w:date="2024-11-11T22:49:00Z" w:initials="PPGCA">
    <w:p w14:paraId="7B0E3920" w14:textId="77777777" w:rsidR="005A2D9C" w:rsidRDefault="005A2D9C">
      <w:pPr>
        <w:pStyle w:val="Textodecomentrio"/>
      </w:pPr>
      <w:r>
        <w:rPr>
          <w:rStyle w:val="Refdecomentrio"/>
        </w:rPr>
        <w:annotationRef/>
      </w:r>
      <w:r>
        <w:t>Colocar os topicos em conformidade com as normas</w:t>
      </w:r>
    </w:p>
    <w:p w14:paraId="39334047" w14:textId="77777777" w:rsidR="005A2D9C" w:rsidRDefault="005A2D9C">
      <w:pPr>
        <w:pStyle w:val="Textodecomentrio"/>
      </w:pPr>
    </w:p>
    <w:p w14:paraId="3B6C325A" w14:textId="77777777" w:rsidR="005A2D9C" w:rsidRDefault="005A2D9C">
      <w:pPr>
        <w:pStyle w:val="Textodecomentrio"/>
        <w:rPr>
          <w:b/>
          <w:bCs/>
        </w:rPr>
      </w:pPr>
      <w:r w:rsidRPr="005A2D9C">
        <w:rPr>
          <w:b/>
          <w:bCs/>
        </w:rPr>
        <w:t>3. RESULTADOS E DISCUSSÃO</w:t>
      </w:r>
    </w:p>
    <w:p w14:paraId="59C6E47E" w14:textId="6D83BCEE" w:rsidR="005A2D9C" w:rsidRDefault="005A2D9C">
      <w:pPr>
        <w:pStyle w:val="Textodecomentrio"/>
      </w:pPr>
      <w:r w:rsidRPr="005A2D9C">
        <w:t>3.1 CONTEXTO</w:t>
      </w:r>
      <w:r w:rsidR="00A361B0">
        <w:t xml:space="preserve"> </w:t>
      </w:r>
    </w:p>
    <w:p w14:paraId="360E77BB" w14:textId="2D159C37" w:rsidR="00A361B0" w:rsidRDefault="00A361B0">
      <w:pPr>
        <w:pStyle w:val="Textodecomentrio"/>
      </w:pPr>
    </w:p>
    <w:p w14:paraId="106AFD5D" w14:textId="6BAB8609" w:rsidR="009F68F7" w:rsidRPr="005A2D9C" w:rsidRDefault="009F68F7">
      <w:pPr>
        <w:pStyle w:val="Textodecomentrio"/>
      </w:pPr>
    </w:p>
  </w:comment>
  <w:comment w:id="4" w:author="Avaliador" w:date="2024-11-13T18:51:00Z" w:initials="PPGCA">
    <w:p w14:paraId="55B2757D" w14:textId="2C153DC3" w:rsidR="002E347A" w:rsidRDefault="002E347A">
      <w:pPr>
        <w:pStyle w:val="Textodecomentrio"/>
      </w:pPr>
      <w:r>
        <w:rPr>
          <w:rStyle w:val="Refdecomentrio"/>
        </w:rPr>
        <w:annotationRef/>
      </w:r>
      <w:r>
        <w:t>Colocar nas referências</w:t>
      </w:r>
    </w:p>
  </w:comment>
  <w:comment w:id="5" w:author="Avaliador" w:date="2024-11-11T23:35:00Z" w:initials="PPGCA">
    <w:p w14:paraId="5212AE6B" w14:textId="3116C04D" w:rsidR="00325708" w:rsidRDefault="00325708">
      <w:pPr>
        <w:pStyle w:val="Textodecomentrio"/>
      </w:pPr>
      <w:r>
        <w:rPr>
          <w:rStyle w:val="Refdecomentrio"/>
        </w:rPr>
        <w:annotationRef/>
      </w:r>
      <w:r>
        <w:t>3.2 DESMATAMENTO E SÍTIOS ARQUEOLÓGICOS</w:t>
      </w:r>
    </w:p>
  </w:comment>
  <w:comment w:id="7" w:author="Avaliador" w:date="2024-11-11T23:24:00Z" w:initials="PPGCA">
    <w:p w14:paraId="6ED93BB5" w14:textId="77777777" w:rsidR="00470CAF" w:rsidRDefault="00470CAF" w:rsidP="00470CAF">
      <w:pPr>
        <w:pStyle w:val="Textodecomentrio"/>
      </w:pPr>
      <w:r>
        <w:rPr>
          <w:rStyle w:val="Refdecomentrio"/>
        </w:rPr>
        <w:annotationRef/>
      </w:r>
      <w:r>
        <w:t>Corrigir frase</w:t>
      </w:r>
    </w:p>
  </w:comment>
  <w:comment w:id="8" w:author="Avaliador" w:date="2024-11-11T23:35:00Z" w:initials="PPGCA">
    <w:p w14:paraId="708CBB86" w14:textId="04587F27" w:rsidR="00325708" w:rsidRDefault="00325708" w:rsidP="00325708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A Figura 4 deve aparecer logo após a primeira citação no texto </w:t>
      </w:r>
    </w:p>
    <w:p w14:paraId="5B1466AF" w14:textId="6202F3D8" w:rsidR="00325708" w:rsidRDefault="00325708">
      <w:pPr>
        <w:pStyle w:val="Textodecomentrio"/>
      </w:pPr>
    </w:p>
  </w:comment>
  <w:comment w:id="9" w:author="Avaliador" w:date="2024-11-11T23:34:00Z" w:initials="PPGCA">
    <w:p w14:paraId="1F26390E" w14:textId="22363A3D" w:rsidR="00325708" w:rsidRDefault="00325708">
      <w:pPr>
        <w:pStyle w:val="Textodecomentrio"/>
      </w:pPr>
      <w:r>
        <w:rPr>
          <w:rStyle w:val="Refdecomentrio"/>
        </w:rPr>
        <w:annotationRef/>
      </w:r>
      <w:r>
        <w:t>Figura 4 abaixo do texto em que é citada pela primeira vez</w:t>
      </w:r>
      <w:r w:rsidR="00CE0BF1">
        <w:t>, a resolução da imagem não está muito boa</w:t>
      </w:r>
    </w:p>
  </w:comment>
  <w:comment w:id="11" w:author="Avaliador" w:date="2024-11-13T18:50:00Z" w:initials="PPGCA">
    <w:p w14:paraId="74E694AF" w14:textId="77777777" w:rsidR="002E347A" w:rsidRDefault="002E347A">
      <w:pPr>
        <w:pStyle w:val="Textodecomentrio"/>
      </w:pPr>
      <w:r>
        <w:t xml:space="preserve">Todas as </w:t>
      </w:r>
      <w:r>
        <w:rPr>
          <w:rStyle w:val="Refdecomentrio"/>
        </w:rPr>
        <w:annotationRef/>
      </w:r>
      <w:r>
        <w:t xml:space="preserve">citações que aparecem no trabalho deve ser inseridas nas Referências </w:t>
      </w:r>
    </w:p>
    <w:p w14:paraId="38546DE4" w14:textId="77777777" w:rsidR="00C22D9B" w:rsidRDefault="00C22D9B">
      <w:pPr>
        <w:pStyle w:val="Textodecomentrio"/>
      </w:pPr>
    </w:p>
    <w:p w14:paraId="61E0AF35" w14:textId="73C244ED" w:rsidR="00C22D9B" w:rsidRDefault="00C22D9B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878E9C5" w15:done="1"/>
  <w15:commentEx w15:paraId="106AFD5D" w15:done="1"/>
  <w15:commentEx w15:paraId="55B2757D" w15:done="1"/>
  <w15:commentEx w15:paraId="5212AE6B" w15:done="1"/>
  <w15:commentEx w15:paraId="6ED93BB5" w15:done="1"/>
  <w15:commentEx w15:paraId="5B1466AF" w15:done="1"/>
  <w15:commentEx w15:paraId="1F26390E" w15:done="0"/>
  <w15:commentEx w15:paraId="61E0AF3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146BFB7" w16cex:dateUtc="2024-11-12T01:25:00Z"/>
  <w16cex:commentExtensible w16cex:durableId="1E0081E9" w16cex:dateUtc="2024-11-12T01:49:00Z"/>
  <w16cex:commentExtensible w16cex:durableId="122C170A" w16cex:dateUtc="2024-11-13T21:51:00Z"/>
  <w16cex:commentExtensible w16cex:durableId="64F46FDB" w16cex:dateUtc="2024-11-12T02:35:00Z"/>
  <w16cex:commentExtensible w16cex:durableId="0055F3A3" w16cex:dateUtc="2024-11-12T02:24:00Z"/>
  <w16cex:commentExtensible w16cex:durableId="171920DC" w16cex:dateUtc="2024-11-12T02:35:00Z"/>
  <w16cex:commentExtensible w16cex:durableId="2219A674" w16cex:dateUtc="2024-11-12T02:34:00Z"/>
  <w16cex:commentExtensible w16cex:durableId="6F88425A" w16cex:dateUtc="2024-11-13T21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878E9C5" w16cid:durableId="2146BFB7"/>
  <w16cid:commentId w16cid:paraId="106AFD5D" w16cid:durableId="1E0081E9"/>
  <w16cid:commentId w16cid:paraId="55B2757D" w16cid:durableId="122C170A"/>
  <w16cid:commentId w16cid:paraId="5212AE6B" w16cid:durableId="64F46FDB"/>
  <w16cid:commentId w16cid:paraId="6ED93BB5" w16cid:durableId="0055F3A3"/>
  <w16cid:commentId w16cid:paraId="5B1466AF" w16cid:durableId="171920DC"/>
  <w16cid:commentId w16cid:paraId="1F26390E" w16cid:durableId="2219A674"/>
  <w16cid:commentId w16cid:paraId="61E0AF35" w16cid:durableId="6F8842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0C826" w14:textId="77777777" w:rsidR="000659CB" w:rsidRDefault="000659CB" w:rsidP="005A1575">
      <w:r>
        <w:separator/>
      </w:r>
    </w:p>
  </w:endnote>
  <w:endnote w:type="continuationSeparator" w:id="0">
    <w:p w14:paraId="63D180B6" w14:textId="77777777" w:rsidR="000659CB" w:rsidRDefault="000659CB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7E4EA" w14:textId="32DC6FA7" w:rsidR="005A1575" w:rsidRDefault="006458BF">
    <w:pPr>
      <w:pStyle w:val="Rodap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B56B8" w14:textId="77777777" w:rsidR="000659CB" w:rsidRDefault="000659CB" w:rsidP="005A1575">
      <w:r>
        <w:separator/>
      </w:r>
    </w:p>
  </w:footnote>
  <w:footnote w:type="continuationSeparator" w:id="0">
    <w:p w14:paraId="2A1E0C6A" w14:textId="77777777" w:rsidR="000659CB" w:rsidRDefault="000659CB" w:rsidP="005A1575">
      <w:r>
        <w:continuationSeparator/>
      </w:r>
    </w:p>
  </w:footnote>
  <w:footnote w:id="1">
    <w:p w14:paraId="60CB5241" w14:textId="7AB3D0E4" w:rsidR="002C6E9B" w:rsidRPr="002C6E9B" w:rsidRDefault="002C6E9B" w:rsidP="002C6E9B">
      <w:pPr>
        <w:pStyle w:val="Textodenotaderodap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Style w:val="Refdenotaderodap"/>
        </w:rPr>
        <w:footnoteRef/>
      </w:r>
      <w:r w:rsidRPr="006B0720">
        <w:t xml:space="preserve"> </w:t>
      </w:r>
      <w:r w:rsidRPr="00A07FF5">
        <w:rPr>
          <w:rFonts w:ascii="Times New Roman" w:hAnsi="Times New Roman" w:cs="Times New Roman"/>
          <w:sz w:val="22"/>
          <w:szCs w:val="22"/>
        </w:rPr>
        <w:t>https://inde.gov.br/</w:t>
      </w:r>
      <w:r w:rsidR="00A07FF5" w:rsidRPr="00A07FF5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 xml:space="preserve"> e </w:t>
      </w:r>
      <w:r w:rsidR="005C2F53" w:rsidRPr="005C2F53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  <w:vertAlign w:val="superscript"/>
        </w:rPr>
        <w:t>2</w:t>
      </w:r>
      <w:r w:rsidR="005C2F53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 xml:space="preserve"> </w:t>
      </w:r>
      <w:r w:rsidR="00A07FF5" w:rsidRPr="00A07FF5">
        <w:rPr>
          <w:rFonts w:ascii="Times New Roman" w:hAnsi="Times New Roman" w:cs="Times New Roman"/>
          <w:sz w:val="22"/>
          <w:szCs w:val="22"/>
        </w:rPr>
        <w:t>https://terrabrasilis.dpi.inpe.br/</w:t>
      </w:r>
    </w:p>
  </w:footnote>
  <w:footnote w:id="2">
    <w:p w14:paraId="731F82A5" w14:textId="33B6076E" w:rsidR="002C6E9B" w:rsidRDefault="002C6E9B" w:rsidP="002C6E9B">
      <w:pPr>
        <w:pStyle w:val="Textodenotaderodap"/>
        <w:contextualSpacing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287E9" w14:textId="0D940639" w:rsidR="005A1575" w:rsidRPr="005A1575" w:rsidRDefault="00BD261C" w:rsidP="005A1575">
    <w:pPr>
      <w:pStyle w:val="Cabealho"/>
      <w:jc w:val="center"/>
    </w:pPr>
    <w:r>
      <w:rPr>
        <w:noProof/>
      </w:rPr>
      <w:drawing>
        <wp:anchor distT="0" distB="0" distL="114300" distR="114300" simplePos="0" relativeHeight="251722240" behindDoc="0" locked="0" layoutInCell="1" allowOverlap="1" wp14:anchorId="7DDD6682" wp14:editId="3184AF9A">
          <wp:simplePos x="0" y="0"/>
          <wp:positionH relativeFrom="margin">
            <wp:align>center</wp:align>
          </wp:positionH>
          <wp:positionV relativeFrom="paragraph">
            <wp:posOffset>-358140</wp:posOffset>
          </wp:positionV>
          <wp:extent cx="1973120" cy="1325880"/>
          <wp:effectExtent l="0" t="0" r="8255" b="7620"/>
          <wp:wrapTopAndBottom/>
          <wp:docPr id="2554060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45329"/>
                  <a:stretch/>
                </pic:blipFill>
                <pic:spPr bwMode="auto">
                  <a:xfrm>
                    <a:off x="0" y="0"/>
                    <a:ext cx="197312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6A5B7679"/>
    <w:multiLevelType w:val="hybridMultilevel"/>
    <w:tmpl w:val="43C4119C"/>
    <w:lvl w:ilvl="0" w:tplc="52BA0F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76099460">
    <w:abstractNumId w:val="0"/>
  </w:num>
  <w:num w:numId="2" w16cid:durableId="15796183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34C55"/>
    <w:rsid w:val="00045C66"/>
    <w:rsid w:val="0006481D"/>
    <w:rsid w:val="000659CB"/>
    <w:rsid w:val="000E2836"/>
    <w:rsid w:val="00170A75"/>
    <w:rsid w:val="001846E6"/>
    <w:rsid w:val="001F67E9"/>
    <w:rsid w:val="00221FC7"/>
    <w:rsid w:val="002727C1"/>
    <w:rsid w:val="002C6E9B"/>
    <w:rsid w:val="002E347A"/>
    <w:rsid w:val="003106C8"/>
    <w:rsid w:val="0031571D"/>
    <w:rsid w:val="00325708"/>
    <w:rsid w:val="00390D33"/>
    <w:rsid w:val="003949CE"/>
    <w:rsid w:val="003B0442"/>
    <w:rsid w:val="003D01C3"/>
    <w:rsid w:val="00440B68"/>
    <w:rsid w:val="00470CAF"/>
    <w:rsid w:val="004B3806"/>
    <w:rsid w:val="004B3F8A"/>
    <w:rsid w:val="004B5D8C"/>
    <w:rsid w:val="004E409D"/>
    <w:rsid w:val="00531AE5"/>
    <w:rsid w:val="00574511"/>
    <w:rsid w:val="00585209"/>
    <w:rsid w:val="005A1575"/>
    <w:rsid w:val="005A2D9C"/>
    <w:rsid w:val="005C1E28"/>
    <w:rsid w:val="005C2F53"/>
    <w:rsid w:val="00626111"/>
    <w:rsid w:val="006458BF"/>
    <w:rsid w:val="00652098"/>
    <w:rsid w:val="006733F8"/>
    <w:rsid w:val="006923A0"/>
    <w:rsid w:val="00694E4B"/>
    <w:rsid w:val="006D0434"/>
    <w:rsid w:val="007113F4"/>
    <w:rsid w:val="00731CC8"/>
    <w:rsid w:val="0074591A"/>
    <w:rsid w:val="00746BEA"/>
    <w:rsid w:val="00765B8B"/>
    <w:rsid w:val="007730E6"/>
    <w:rsid w:val="007914D6"/>
    <w:rsid w:val="007946B5"/>
    <w:rsid w:val="007B00E2"/>
    <w:rsid w:val="007B20B5"/>
    <w:rsid w:val="007B4816"/>
    <w:rsid w:val="007E19EE"/>
    <w:rsid w:val="007E7207"/>
    <w:rsid w:val="007E72A2"/>
    <w:rsid w:val="007F5E08"/>
    <w:rsid w:val="00836259"/>
    <w:rsid w:val="00881FF6"/>
    <w:rsid w:val="008B7562"/>
    <w:rsid w:val="008E75F5"/>
    <w:rsid w:val="00920754"/>
    <w:rsid w:val="00945055"/>
    <w:rsid w:val="009B5DA9"/>
    <w:rsid w:val="009F68F7"/>
    <w:rsid w:val="00A07FF5"/>
    <w:rsid w:val="00A312AE"/>
    <w:rsid w:val="00A361B0"/>
    <w:rsid w:val="00A51594"/>
    <w:rsid w:val="00A52233"/>
    <w:rsid w:val="00A73317"/>
    <w:rsid w:val="00AA1146"/>
    <w:rsid w:val="00AA41A6"/>
    <w:rsid w:val="00AD73E3"/>
    <w:rsid w:val="00AF234C"/>
    <w:rsid w:val="00AF5EE7"/>
    <w:rsid w:val="00B0041C"/>
    <w:rsid w:val="00B432D0"/>
    <w:rsid w:val="00B50874"/>
    <w:rsid w:val="00B75D4C"/>
    <w:rsid w:val="00BA7E81"/>
    <w:rsid w:val="00BD261C"/>
    <w:rsid w:val="00C22D9B"/>
    <w:rsid w:val="00C747C0"/>
    <w:rsid w:val="00C84378"/>
    <w:rsid w:val="00CE0BF1"/>
    <w:rsid w:val="00D06984"/>
    <w:rsid w:val="00D879A0"/>
    <w:rsid w:val="00D962BE"/>
    <w:rsid w:val="00DB400F"/>
    <w:rsid w:val="00DB5854"/>
    <w:rsid w:val="00E2215F"/>
    <w:rsid w:val="00E26E2A"/>
    <w:rsid w:val="00E42328"/>
    <w:rsid w:val="00E766CC"/>
    <w:rsid w:val="00EA4A91"/>
    <w:rsid w:val="00EC0817"/>
    <w:rsid w:val="00ED0B32"/>
    <w:rsid w:val="00ED757D"/>
    <w:rsid w:val="00F2392A"/>
    <w:rsid w:val="00F46632"/>
    <w:rsid w:val="00F72427"/>
    <w:rsid w:val="00F948A7"/>
    <w:rsid w:val="00FA7571"/>
    <w:rsid w:val="00FC0E7B"/>
    <w:rsid w:val="00FE3A13"/>
    <w:rsid w:val="00FE60F9"/>
    <w:rsid w:val="00FF39ED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FAD613D7-FF0B-48D9-A31E-577DCAA2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946B5"/>
    <w:pPr>
      <w:widowControl/>
      <w:autoSpaceDE/>
      <w:autoSpaceDN/>
    </w:pPr>
    <w:rPr>
      <w:rFonts w:asciiTheme="minorHAnsi" w:eastAsiaTheme="minorHAnsi" w:hAnsiTheme="minorHAnsi" w:cstheme="minorBidi"/>
      <w:kern w:val="2"/>
      <w:sz w:val="20"/>
      <w:szCs w:val="20"/>
      <w:lang w:val="pt-BR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946B5"/>
    <w:rPr>
      <w:kern w:val="2"/>
      <w:sz w:val="20"/>
      <w:szCs w:val="20"/>
      <w:lang w:val="pt-BR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7946B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946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946B5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2C6E9B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:lang w:val="pt-BR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A07FF5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B04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B044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B0442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04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0442"/>
    <w:rPr>
      <w:rFonts w:ascii="Times New Roman" w:eastAsia="Times New Roman" w:hAnsi="Times New Roman" w:cs="Times New Roman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778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08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7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84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126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D56B7-AD7A-433D-A1EF-3E36134EF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2285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Prof</cp:lastModifiedBy>
  <cp:revision>27</cp:revision>
  <dcterms:created xsi:type="dcterms:W3CDTF">2024-10-07T21:32:00Z</dcterms:created>
  <dcterms:modified xsi:type="dcterms:W3CDTF">2024-11-16T14:50:00Z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