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4F7404E" w14:textId="77777777" w:rsidR="00F04B0C" w:rsidRDefault="00F04B0C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</w:pPr>
    </w:p>
    <w:p w14:paraId="7C6ADF3A" w14:textId="77777777" w:rsidR="00F04B0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DIAGNÓSTICO DE ABDOME AGUDO EM MULHERES COM DOENÇA INFLAMATÓRIA PÉLVICA: ABORDAGENS CLÍNICAS E TECNOLÓGICAS</w:t>
      </w:r>
    </w:p>
    <w:p w14:paraId="2B02ADAE" w14:textId="77777777" w:rsidR="00F04B0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Henrique de Araújo Vasconcelos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¹</w:t>
      </w:r>
    </w:p>
    <w:p w14:paraId="20CDBE8F" w14:textId="77777777" w:rsidR="00F04B0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Universidade Federal de Pernambuco (UFPE)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>Recife - PE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>henrique.avasconcelos@gmail.com</w:t>
      </w:r>
    </w:p>
    <w:p w14:paraId="10143F55" w14:textId="77777777" w:rsidR="00F04B0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Júlia Rodrigues de Castro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²</w:t>
      </w:r>
    </w:p>
    <w:p w14:paraId="73CE4903" w14:textId="77777777" w:rsidR="00F04B0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Faculdade Ciências Médicas de Minas Gerais (FCMMG),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</w:rPr>
        <w:t>Belo Horizonte - MG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>rdcjulia@gmail.com</w:t>
      </w:r>
    </w:p>
    <w:p w14:paraId="4BD3ED94" w14:textId="77777777" w:rsidR="00F04B0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Taisa Vieira Garcia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3</w:t>
      </w:r>
    </w:p>
    <w:p w14:paraId="1C4E196A" w14:textId="77777777" w:rsidR="00F04B0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Centro Universitário Cesumar (UNICESUMAR)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>Maringá - PR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</w:rPr>
        <w:t>taisavgarcia@hotmail.com</w:t>
      </w:r>
    </w:p>
    <w:p w14:paraId="7B31B864" w14:textId="77777777" w:rsidR="00F04B0C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Wanda Conde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4</w:t>
      </w:r>
    </w:p>
    <w:p w14:paraId="3D7BE012" w14:textId="22694D92" w:rsidR="00F04B0C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 xml:space="preserve">Centro Universitário </w:t>
      </w:r>
      <w:r w:rsidR="003D1F27">
        <w:rPr>
          <w:rFonts w:ascii="Arial" w:eastAsia="Arial" w:hAnsi="Arial" w:cs="Arial"/>
          <w:sz w:val="20"/>
          <w:szCs w:val="20"/>
        </w:rPr>
        <w:t xml:space="preserve">do Estado </w:t>
      </w:r>
      <w:r>
        <w:rPr>
          <w:rFonts w:ascii="Arial" w:eastAsia="Arial" w:hAnsi="Arial" w:cs="Arial"/>
          <w:sz w:val="20"/>
          <w:szCs w:val="20"/>
        </w:rPr>
        <w:t>do Pará (CESUPA), Belém - PA, wandacarlac@gmail.com</w:t>
      </w:r>
    </w:p>
    <w:p w14:paraId="544FE33C" w14:textId="77777777" w:rsidR="00F04B0C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Enzo Fabrizzio Moretto Lusvarghi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5</w:t>
      </w:r>
    </w:p>
    <w:p w14:paraId="17CD66B1" w14:textId="77777777" w:rsidR="00F04B0C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Universidade Católica de Brasília (UCB), Brasília - DF, enzolusvarghi@outlook.com</w:t>
      </w:r>
    </w:p>
    <w:p w14:paraId="3DE94B60" w14:textId="77777777" w:rsidR="00F04B0C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Fabio Diniz Fidelis Moreira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6</w:t>
      </w:r>
    </w:p>
    <w:p w14:paraId="39FD68C2" w14:textId="77777777" w:rsidR="00F04B0C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 xml:space="preserve">Universidade Federal de Pelotas (UFPel), Pelotas - RS, fabiodinizfm@gmail.com </w:t>
      </w:r>
    </w:p>
    <w:p w14:paraId="49A8ADDF" w14:textId="77777777" w:rsidR="00F04B0C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Anna Luisa Barbosa Fernandes de Souza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7</w:t>
      </w:r>
    </w:p>
    <w:p w14:paraId="67232438" w14:textId="77777777" w:rsidR="00F04B0C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Faculdade Ciências Médicas de Minas Gerais (FCMMG), Belo Horizonte - MG, annaluisalopesb@hotmail.com</w:t>
      </w:r>
    </w:p>
    <w:p w14:paraId="4A315AE0" w14:textId="77777777" w:rsidR="00F04B0C" w:rsidRDefault="00000000">
      <w:pPr>
        <w:spacing w:line="360" w:lineRule="auto"/>
        <w:ind w:firstLine="709"/>
        <w:jc w:val="right"/>
        <w:rPr>
          <w:rFonts w:ascii="Times New Roman" w:eastAsia="Times New Roman" w:hAnsi="Times New Roman" w:cs="Times New Roman"/>
          <w:sz w:val="20"/>
          <w:szCs w:val="20"/>
          <w:vertAlign w:val="superscript"/>
        </w:rPr>
      </w:pPr>
      <w:r>
        <w:rPr>
          <w:rFonts w:ascii="Arial" w:eastAsia="Arial" w:hAnsi="Arial" w:cs="Arial"/>
          <w:sz w:val="20"/>
          <w:szCs w:val="20"/>
        </w:rPr>
        <w:t>Bruno Henrique Silva Orta</w:t>
      </w:r>
      <w:r>
        <w:rPr>
          <w:rFonts w:ascii="Times New Roman" w:eastAsia="Times New Roman" w:hAnsi="Times New Roman" w:cs="Times New Roman"/>
          <w:sz w:val="20"/>
          <w:szCs w:val="20"/>
          <w:vertAlign w:val="superscript"/>
        </w:rPr>
        <w:t>8</w:t>
      </w:r>
    </w:p>
    <w:p w14:paraId="627817BE" w14:textId="77777777" w:rsidR="00F04B0C" w:rsidRDefault="00000000">
      <w:pPr>
        <w:spacing w:line="360" w:lineRule="auto"/>
        <w:ind w:firstLine="709"/>
        <w:jc w:val="right"/>
        <w:rPr>
          <w:rFonts w:ascii="Arial" w:eastAsia="Arial" w:hAnsi="Arial" w:cs="Arial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 xml:space="preserve">Medicina, </w:t>
      </w:r>
      <w:r>
        <w:rPr>
          <w:rFonts w:ascii="Arial" w:eastAsia="Arial" w:hAnsi="Arial" w:cs="Arial"/>
          <w:sz w:val="20"/>
          <w:szCs w:val="20"/>
        </w:rPr>
        <w:t>Faculdades de Dracena (UNIFADRA), Dracena - SP, brunoorta15@hotmail.com</w:t>
      </w:r>
    </w:p>
    <w:p w14:paraId="3433C218" w14:textId="77777777" w:rsidR="00F04B0C" w:rsidRDefault="00F04B0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</w:p>
    <w:p w14:paraId="40A9E60A" w14:textId="77777777" w:rsidR="00F04B0C" w:rsidRDefault="00F04B0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</w:p>
    <w:p w14:paraId="50EAE6DF" w14:textId="77777777" w:rsidR="00F04B0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lastRenderedPageBreak/>
        <w:t xml:space="preserve">RESUMO: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Introdução: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abdome agudo é uma condição médica caracterizada por dor abdominal intensa de início súbito que requer avaliação e tratamento urgentes. Em mulheres, o diagnóstico diferencial de abdome agudo é especialmente complexo devido à presença de órgãos reprodutivos, sendo a Doença Inflamatória Pélvica (DIP) uma das causas frequentes. A DIP é uma infecção dos órgãos reprodutivos femininos, geralmente causada por patógenos sexualmente transmissíveis, como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Chlamydia trachomatis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Neisseria gonorrhoeae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Essa condição pode levar a complicações graves, incluindo infertilidade, gravidez ectópica e dor pélvica crônica, se não diagnosticada e tratada precocemente. Portanto, o diagnóstico rápido e preciso da DIP como causa de abdome agudo é crucial para melhorar os desfechos clínicos das pacientes.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Objetivo: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presente estudo visa revisar a literatura existente sobre os métodos de diagnóstico do abdome agudo em mulheres quando relacionado à Doença Inflamatória Pélvica, identificando práticas recomendadas, avanços tecnológicos e desafios enfrentados na detecção precoce desta condição.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Metodologia: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Foi realizada uma revisão integrativa da literatura utilizando as bases de dados PubMed, Scopus e Web of Science, abrangendo artigos publicados nos últimos 10 anos (2013-2023). Os critérios de inclusão foram estudos que abordaram o diagnóstico de abdome agudo em mulheres especificamente relacionado à DIP, incluindo métodos clínicos, exames laboratoriais, técnicas de imagem e uso de marcadores inflamatórios. Foram excluídos estudos que se concentravam apenas em tratamentos ou em outras causas de abdome agudo não relacionadas à DIP. No total, 35 artigos atenderam aos critérios de inclusão e foram analisados para esta revisão.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Resultados: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 revisão identificou que o diagnóstico de abdome agudo em mulheres com suspeita de DIP depende de uma abordagem multidisciplinar que inclui a avaliação clínica, exames laboratoriais e técnicas de imagem. A avaliação clínica inicial baseia-se na história detalhada da paciente, incluindo sintomas de dor pélvica, febre, corrimento vaginal anormal e histórico de infecções sexualmente transmissíveis. O exame físico deve incluir palpação abdominal e pélvica para detectar sinais de sensibilidade, massas ou dor à mobilização do colo uterino. Os exames laboratoriais desempenham um papel essencial no diagnóstico da DIP. A contagem de leucócitos, a proteína C-reativa (PCR) e a taxa de sedimentação de eritrócitos (ESR) são frequentemente usados como marcadores inflamatórios para avaliar a presença de infecção. A cultura de secreção vaginal e os testes de amplificação de ácido nucleico (NAATs) são os métodos mais sensíveis para identificar patógenos específicos, como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Chlamydia trachomatis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Neisseria gonorrhoeae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As técnicas de imagem,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como ultrassonografia transvaginal, são fundamentais para avaliar a extensão da inflamação e a presença de abscessos pélvicos ou tubo-ovarianos. A ultrassonografia é a primeira escolha por ser não invasiva, amplamente disponível e eficaz na detecção de complicações associadas à DIP. A tomografia computadorizada (TC) e a ressonância magnética (RM) também são utilizadas, especialmente em casos complexos ou quando a ultrassonografia não fornece informações conclusivas. Esses exames de imagem são úteis para distinguir a DIP de outras condições que causam abdome agudo, como apendicite, gravidez ectópica ou torção ovariana. Adicionalmente, a revisão destacou o papel emergente da laparoscopia diagnóstica, que, embora invasiva, permite a visualização direta dos órgãos pélvicos e a coleta de amostras para confirmação histopatológica em casos duvidosos. Esse procedimento é considerado o padrão-ouro em situações onde o diagnóstico não pode ser confirmado por outros meios.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Considerações Finais: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diagnóstico de abdome agudo em mulheres relacionado à Doença Inflamatória Pélvica é um desafio clínico devido à sobreposição de sintomas com outras condições abdominais. A abordagem diagnóstica deve ser rápida, abrangente e multidisciplinar, combinando anamnese, exame físico, exames laboratoriais e técnicas de imagem. A ultrassonografia transvaginal e o uso de testes moleculares para patógenos específicos são fundamentais para o diagnóstico precoce e preciso. Entretanto, barreiras como o acesso limitado a cuidados especializados e a variabilidade na apresentação clínica podem atrasar o diagnóstico e o tratamento adequados, especialmente em contextos de recursos limitados. Estudos futuros devem focar na implementação de protocolos padronizados para melhorar a detecção precoce e na integração de novas tecnologias para otimizar o manejo da DIP como causa de abdome agudo em mulheres.</w:t>
      </w:r>
    </w:p>
    <w:p w14:paraId="5EA7DFA9" w14:textId="77777777" w:rsidR="00F04B0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Palavras-Chave: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Abdome agudo feminino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Diagnóstico de Doença Inflamatória Pélvica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Imagens diagnósticas ginecológicas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93C50C0" w14:textId="77777777" w:rsidR="00F04B0C" w:rsidRDefault="00F04B0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9F2C757" w14:textId="35AF143E" w:rsidR="00F04B0C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E-mail do autor principal: </w:t>
      </w:r>
      <w:r w:rsidR="00912405" w:rsidRPr="00912405">
        <w:rPr>
          <w:rFonts w:ascii="Times New Roman" w:eastAsia="Times New Roman" w:hAnsi="Times New Roman" w:cs="Times New Roman"/>
          <w:color w:val="000000"/>
          <w:sz w:val="24"/>
          <w:szCs w:val="24"/>
        </w:rPr>
        <w:t>henrique.avasconcelos@gmail.com</w:t>
      </w:r>
    </w:p>
    <w:p w14:paraId="01D63C89" w14:textId="77777777" w:rsidR="00F04B0C" w:rsidRDefault="00F04B0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2DD04C7" w14:textId="77777777" w:rsidR="00F04B0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color w:val="000000"/>
          <w:sz w:val="23"/>
          <w:szCs w:val="23"/>
        </w:rPr>
        <w:t>REFERÊNCIAS:</w:t>
      </w:r>
    </w:p>
    <w:p w14:paraId="440CF1D4" w14:textId="77777777" w:rsidR="00F04B0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FRANCO, P. N.; GARCÍA-BAIZÁN, A.; AYMERICH, M. et al. Gynaecological causes of acute pelvic pain: common and not-so-common imaging findings.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Life (Basel)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v. 13, n. 10, p. 2025, 2023. </w:t>
      </w:r>
    </w:p>
    <w:p w14:paraId="3FA630F3" w14:textId="77777777" w:rsidR="00F04B0C" w:rsidRDefault="00000000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FRASCA, D. J.; JARRIO, C. E.; PERDUE, J. Evaluation of acute pelvic pain in women.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American Family Physician</w:t>
      </w:r>
      <w:r>
        <w:rPr>
          <w:rFonts w:ascii="Times New Roman" w:eastAsia="Times New Roman" w:hAnsi="Times New Roman" w:cs="Times New Roman"/>
          <w:sz w:val="24"/>
          <w:szCs w:val="24"/>
        </w:rPr>
        <w:t>, v. 108, n. 2, p. 175-180, 2023.</w:t>
      </w:r>
    </w:p>
    <w:p w14:paraId="65B0B96F" w14:textId="77777777" w:rsidR="00F04B0C" w:rsidRDefault="00000000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KOLIND, R. S.; MØLLER, N. K.; HOLM, K.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Ugeskrift for Læger</w:t>
      </w:r>
      <w:r>
        <w:rPr>
          <w:rFonts w:ascii="Times New Roman" w:eastAsia="Times New Roman" w:hAnsi="Times New Roman" w:cs="Times New Roman"/>
          <w:sz w:val="24"/>
          <w:szCs w:val="24"/>
        </w:rPr>
        <w:t>, v. 181, n. 10, p. V08180581, 2019.</w:t>
      </w:r>
    </w:p>
    <w:p w14:paraId="47C6CB63" w14:textId="77777777" w:rsidR="00F04B0C" w:rsidRDefault="00000000">
      <w:pPr>
        <w:spacing w:before="240" w:after="240" w:line="360" w:lineRule="auto"/>
        <w:jc w:val="both"/>
        <w:rPr>
          <w:rFonts w:ascii="Roboto" w:eastAsia="Roboto" w:hAnsi="Roboto" w:cs="Roboto"/>
          <w:color w:val="212121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YANG, H.; WANG, R.; ZHAO, L.; YE, J.; LI, N.; KONG, L. Diagnosis and analysis of transabdominal and intracavitary ultrasound in gynecological acute abdomen.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Computational and Mathematical Methods in Medicine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v. 2021, p. 9508838, 2021. Publicado em: 29 dez. 2021. Retratação em: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Computational and Mathematical Methods in Medicine</w:t>
      </w:r>
      <w:r>
        <w:rPr>
          <w:rFonts w:ascii="Times New Roman" w:eastAsia="Times New Roman" w:hAnsi="Times New Roman" w:cs="Times New Roman"/>
          <w:sz w:val="24"/>
          <w:szCs w:val="24"/>
        </w:rPr>
        <w:t>, v. 2022, p. 9896052, 2022.</w:t>
      </w:r>
    </w:p>
    <w:sectPr w:rsidR="00F04B0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701" w:right="1134" w:bottom="1134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3E5E5A" w14:textId="77777777" w:rsidR="0018176A" w:rsidRDefault="0018176A">
      <w:pPr>
        <w:spacing w:after="0" w:line="240" w:lineRule="auto"/>
      </w:pPr>
      <w:r>
        <w:separator/>
      </w:r>
    </w:p>
  </w:endnote>
  <w:endnote w:type="continuationSeparator" w:id="0">
    <w:p w14:paraId="31E95E16" w14:textId="77777777" w:rsidR="0018176A" w:rsidRDefault="001817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6BF6BE2-7718-4005-B008-06C2E7B1F826}"/>
    <w:embedBold r:id="rId2" w:fontKey="{CF68A550-F550-408C-90A0-FD021E183D6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C1C82D2-EF9E-4166-8D5F-11779B15AA2D}"/>
    <w:embedItalic r:id="rId4" w:fontKey="{5CA5E7A4-5146-4B49-BE3F-5BB12920B9F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EF3026AD-0B03-49B9-B25E-EC0ABE375FF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35461DC-68EE-464D-A8CF-BC57CABBCE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05A247" w14:textId="77777777" w:rsidR="00F04B0C" w:rsidRDefault="00F04B0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2FF1C6" w14:textId="77777777" w:rsidR="00F04B0C" w:rsidRDefault="00F04B0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E9448F" w14:textId="77777777" w:rsidR="00F04B0C" w:rsidRDefault="00F04B0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3530AF" w14:textId="77777777" w:rsidR="0018176A" w:rsidRDefault="0018176A">
      <w:pPr>
        <w:spacing w:after="0" w:line="240" w:lineRule="auto"/>
      </w:pPr>
      <w:r>
        <w:separator/>
      </w:r>
    </w:p>
  </w:footnote>
  <w:footnote w:type="continuationSeparator" w:id="0">
    <w:p w14:paraId="63138B7E" w14:textId="77777777" w:rsidR="0018176A" w:rsidRDefault="001817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D6C61E" w14:textId="77777777" w:rsidR="00F04B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color w:val="000000"/>
      </w:rPr>
      <w:pict w14:anchorId="4FCF9A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alt="" style="position:absolute;left:0;text-align:left;margin-left:0;margin-top:0;width:540pt;height:960pt;z-index:-251657216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29F1D1" w14:textId="77777777" w:rsidR="00F04B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Cambria" w:eastAsia="Cambria" w:hAnsi="Cambria" w:cs="Cambria"/>
        <w:color w:val="000000"/>
      </w:rPr>
    </w:pPr>
    <w:r>
      <w:rPr>
        <w:noProof/>
      </w:rPr>
      <w:drawing>
        <wp:anchor distT="0" distB="0" distL="114300" distR="114300" simplePos="0" relativeHeight="251656192" behindDoc="0" locked="0" layoutInCell="1" hidden="0" allowOverlap="1" wp14:anchorId="6A617A82" wp14:editId="38A5CB2F">
          <wp:simplePos x="0" y="0"/>
          <wp:positionH relativeFrom="column">
            <wp:posOffset>-1080134</wp:posOffset>
          </wp:positionH>
          <wp:positionV relativeFrom="paragraph">
            <wp:posOffset>-199389</wp:posOffset>
          </wp:positionV>
          <wp:extent cx="5760085" cy="1271905"/>
          <wp:effectExtent l="0" t="0" r="0" b="0"/>
          <wp:wrapTopAndBottom distT="0" distB="0"/>
          <wp:docPr id="8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760085" cy="127190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0" locked="0" layoutInCell="1" hidden="0" allowOverlap="1" wp14:anchorId="4B708A83" wp14:editId="377EA586">
          <wp:simplePos x="0" y="0"/>
          <wp:positionH relativeFrom="column">
            <wp:posOffset>-289559</wp:posOffset>
          </wp:positionH>
          <wp:positionV relativeFrom="paragraph">
            <wp:posOffset>-339089</wp:posOffset>
          </wp:positionV>
          <wp:extent cx="2000250" cy="1584325"/>
          <wp:effectExtent l="0" t="0" r="0" b="0"/>
          <wp:wrapTopAndBottom distT="0" distB="0"/>
          <wp:docPr id="9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0250" cy="1584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E446B0" w14:textId="77777777" w:rsidR="00F04B0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pict w14:anchorId="10A0C8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540pt;height:960pt;z-index:-251658240;mso-position-horizontal:center;mso-position-horizontal-relative:margin;mso-position-vertical:center;mso-position-vertical-relative:margin">
          <v:imagedata r:id="rId1" o:title="image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B0C"/>
    <w:rsid w:val="0018176A"/>
    <w:rsid w:val="001B2078"/>
    <w:rsid w:val="003423C4"/>
    <w:rsid w:val="003529A1"/>
    <w:rsid w:val="003D1F27"/>
    <w:rsid w:val="003F04FB"/>
    <w:rsid w:val="004665AA"/>
    <w:rsid w:val="004E1DC6"/>
    <w:rsid w:val="00725C40"/>
    <w:rsid w:val="00912405"/>
    <w:rsid w:val="00962284"/>
    <w:rsid w:val="00F04B0C"/>
    <w:rsid w:val="00F72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8014A6"/>
  <w15:docId w15:val="{01F6BD40-1A85-4C34-A1BE-6D7066C273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Zp5QwwXWvQHNmk70z9qmEr0syA==">CgMxLjA4AHIhMS1IQ2UwWVNPd1padV85ZW5lT2Q3S2lIcWdIMVphTE56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1056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Mariana Azevedo</dc:creator>
  <cp:lastModifiedBy>Mariana Azevedo</cp:lastModifiedBy>
  <cp:revision>4</cp:revision>
  <dcterms:created xsi:type="dcterms:W3CDTF">2024-09-06T14:31:00Z</dcterms:created>
  <dcterms:modified xsi:type="dcterms:W3CDTF">2024-09-06T16:08:00Z</dcterms:modified>
</cp:coreProperties>
</file>