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4118293</wp:posOffset>
                </wp:positionH>
                <wp:positionV relativeFrom="page">
                  <wp:posOffset>749618</wp:posOffset>
                </wp:positionV>
                <wp:extent cx="2988945" cy="34480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856290" y="361236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20" w:right="0" w:firstLine="2901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21"/>
                                <w:vertAlign w:val="baseline"/>
                              </w:rPr>
                              <w:t xml:space="preserve">socepis1@gmail.com Sociedade Cearense de Pesquisa e Inovaç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18"/>
                                <w:vertAlign w:val="baseline"/>
                              </w:rPr>
                              <w:t xml:space="preserve">õ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21"/>
                                <w:vertAlign w:val="baseline"/>
                              </w:rPr>
                              <w:t xml:space="preserve">es em Sa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14"/>
                                <w:vertAlign w:val="baseline"/>
                              </w:rPr>
                              <w:t xml:space="preserve">ú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21"/>
                                <w:vertAlign w:val="baseline"/>
                              </w:rPr>
                              <w:t xml:space="preserve">de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4118293</wp:posOffset>
                </wp:positionH>
                <wp:positionV relativeFrom="page">
                  <wp:posOffset>749618</wp:posOffset>
                </wp:positionV>
                <wp:extent cx="2988945" cy="344805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94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IMPACTO DO TRATAMENTO COM NUSINERSENA EM PACIENTE PEDIÁTRICO COM ATROFIA MUSCULAR ESPINHAL (AME) TIPO I: UM ESTUDO DE CASO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Andressa Alves Franco Bravin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Brenda Caroline Melo Sousa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Eloina Hadigyna Leite Sousa Campelo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Francisco Héricles Moreira de Carvalho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, Valberto Alencar Miranda Filho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Lorena Patrícia Leal Mesquita Barreto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Universidade Federal do Piauí (UFPI)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Hospital Infantil Lucídio Portela (lorena_patricia@hotmail.com)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360" w:lineRule="auto"/>
        <w:ind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atrofia Muscular Espinhal (AME) é uma doença neurodegenerativa com herança genética autossômica recessiva, que afeta os motoneurônios alfa (α), resultando em fraqueza e paralisia muscular proximal progressiva e simétrica. A literatura científica aponta que o tratamento precoce de crianças com AME tipo 1 proporciona melhoras significativas na função motora. No Brasil, o único tratamento aprovado é realizado com o medicamento nusinersena, recentemente disponibilizado pelo Sistema Único de Saúde. O presente estudo objetiva realizar uma análise comparativa de um caso acompanhado por 13 meses no Hospital Infantil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Lucídio Portela (Teresina, Piauí), 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intuito de comparar a evolução clínica e funcional da criança com os resultados encontrados na literatura disponível. O estudo de caso baseia-se nos dados recolhidos a partir de prontuários, exame clínico e informações concedidas pelos pais da criança, mediante assinatura do termo de consentimento livre e esclarecido. O tratamento foi realizado seguindo protocolo estabelecido pelo 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inistério 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Saúde. Após cada dose administrada, foi conduzida avaliação fisioterapêutica para acompanhar a evolução da função motora. Após quatros doses e 58 dias desde o início do tratamento, os resultados mostraram que o  paciente aumentou 11 pontos na escala CHOP INTEND e 5,9% na Medida da Função Motora Grossa com relação a deitar e rolar. Mostrou-se ativo e reativo, acompanhando o examinador com o olhar e com a movimentação da cabeça. Houve significativo ganho motor, com presença de movimentação dos membros superiores acima da linha média e melhora na qualidade dos movimentos realizados com os membros inferiores, mantendo-os em flexão por poucos minutos e conseguindo sentar-se com apoio na cadeira de rodas. Concluímos que os resultados obtidos são consistentes com a literatura científica disponível, ressaltando os efeitos positivos do tratamento com nusinersena para AME tipo 1, sobretudo quando estabelecido em fases iniciais da doença.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Palavras-chave/Descritores: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Atrofia Muscular Espinhal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Terapia Medicamentosa. Pediatria.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Temas Livres.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NTRODUÇÃO</w:t>
      </w:r>
    </w:p>
    <w:p w:rsidR="00000000" w:rsidDel="00000000" w:rsidP="00000000" w:rsidRDefault="00000000" w:rsidRPr="00000000" w14:paraId="00000010">
      <w:pPr>
        <w:keepNext w:val="1"/>
        <w:spacing w:after="120" w:before="120" w:line="36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Atrofia Muscular Espinhal (AME) é uma doença neurodegenerativa com herança autossômica recessiva, relacionada a uma deleção homozigótica do gene da proteína de sobrevivência do neurônio motor (SMN) ou por mutações de perda de função no gene que codifica o neurônio motor de sobrevivência (SMN1) no locus 5q13 que resulta em expressão insuficiente da proteína do SMN. (MERCURI et al, 2018)</w:t>
      </w:r>
    </w:p>
    <w:p w:rsidR="00000000" w:rsidDel="00000000" w:rsidP="00000000" w:rsidRDefault="00000000" w:rsidRPr="00000000" w14:paraId="0000001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0" w:firstLine="72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indivíduos que apresentam os sintomas da doença possuem dois alelos SMN1 com mutação, herdados de ambos os progenitores. A falta da proteína responsável leva a degeneração de motoneurônios alfa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(α),o que resulta em fraqueza e paralisia muscular proximal progressiva e simétrica. (BAIONI e AMBIEL,2010)</w:t>
      </w:r>
    </w:p>
    <w:p w:rsidR="00000000" w:rsidDel="00000000" w:rsidP="00000000" w:rsidRDefault="00000000" w:rsidRPr="00000000" w14:paraId="00000012">
      <w:pPr>
        <w:keepNext w:val="1"/>
        <w:spacing w:after="120" w:before="120" w:line="360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A classificação clínica da AME é dada de acordo com a idade de início dos sintomas e com a máxima função motora adquirida, sendo então dividida em: Severa (tipo I ou AME aguda); intermediária (tipo II ou AME crônica); branda (tipo III ou AME juvenil ); e adulta (AME tipo IV). Seu diagnóstico é realizado através de testes genéticos moleculares e por exames como eletroneuromiografia e biópsia muscular. (BAIONI e AMBIEL,2010)</w:t>
      </w:r>
    </w:p>
    <w:p w:rsidR="00000000" w:rsidDel="00000000" w:rsidP="00000000" w:rsidRDefault="00000000" w:rsidRPr="00000000" w14:paraId="0000001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0"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O único tratamento medicamentoso aprovado pela ANVISA e outros órgãos regulatórios é com o Nusinersena, que é um</w:t>
      </w:r>
      <w:r w:rsidDel="00000000" w:rsidR="00000000" w:rsidRPr="00000000">
        <w:rPr>
          <w:rFonts w:ascii="Times New Roman" w:cs="Times New Roman" w:eastAsia="Times New Roman" w:hAnsi="Times New Roman"/>
          <w:color w:val="505050"/>
          <w:sz w:val="27"/>
          <w:szCs w:val="27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oligonucleotídeo antisense que altera o splicing do pré-mRNA do SMN2 para promover a expressão da proteína SMN (VIVO et al. 2019). Somado a isso, é feito uma terapia de suporte com equipe multidisciplinar responsável para melhorar a qualidade de vida dos pacientes. Foi possível observar em estudos clínicos já publicados que crianças que iniciam o tratamento com nusinersena logo após o diagnóstico ou de forma tardia, tiveram um aumento na sobrevida e um avanço significativo na função motora.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METODOLOGIA</w:t>
      </w:r>
    </w:p>
    <w:p w:rsidR="00000000" w:rsidDel="00000000" w:rsidP="00000000" w:rsidRDefault="00000000" w:rsidRPr="00000000" w14:paraId="0000001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Trata-se de um estudo de caso de uma criança com diagnóstico de Amiotrofia Muscular Espinhal tipo I. O presente estudo recebeu anuência do Hospital Infantil Lucídio Portela, em Teresina, Piauí, onde ocorre o tratamento do paciente com o medicamento nusinersena, desenvolvido de acordo com o  Protocolo Clínico e Diretrizes Terapêuticas da Atrofia Muscular Espinhal 5q tipo I, estabelecido conjuntamente pela Comissão Nacional de Incorporação de Tecnologias (Conitec) e o Ministério da Saúde (MS). </w:t>
      </w:r>
    </w:p>
    <w:p w:rsidR="00000000" w:rsidDel="00000000" w:rsidP="00000000" w:rsidRDefault="00000000" w:rsidRPr="00000000" w14:paraId="0000001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Há cinco meses, foi iniciado o tratamento com nusinersena de acordo com o protocolo de tratamento. O esquema de administração foi conduzido por profissional médica, totalizando no período citado quatro doses do medicamento, de acordo com o seguinte esquema de administração: As três primeiras administrações consistiram na dose de 12mg de nusinersena, por via intratecal a cada 14 dias (nos dias 0, 14 e 28). A quarta dose foi administrada 30 dias após a terceira, no 63° dia do esquema terapêutico, já que o paciente apresentou condições clínicas de receber o medicamento. O paciente seguirá recebendo o tratamento de manutenção, também na dose de 12 mg, por via intratecal a cada quatro meses (MS, 2019).  </w:t>
      </w:r>
    </w:p>
    <w:p w:rsidR="00000000" w:rsidDel="00000000" w:rsidP="00000000" w:rsidRDefault="00000000" w:rsidRPr="00000000" w14:paraId="0000001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instrumentos de avaliação utilizados foram: GMFM (Gross Motor Function Measure) e escala CHOP INTEND. Todas as avaliações fisioterapêuticas foram realizadas nos momentos pré e pós o tratamento (após cada dose administrada). A coleta de dados foi baseada em dados primários, obtidos durante os exames clínicos, onde foi aplicado o protocolo de avaliação motora, e os dados secundários foram oriundos do prontuário médico do paciente, bem como de informações concedidas pelos pais da criança, mediante assinatura prévia do assinatura do termo de consentimento livre e esclarecido (TCLE).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0" w:hanging="2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Paciente masculino, nascido em setembro de 2018, apresentou aos 6 meses quadro de dispneia associada a fraqueza motora, cuja sustentação de membros superiores e inferiores e sustentação cervical 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encontravam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prejudicadas. A mãe do paciente, buscou um serviço de neurologia, onde foram solicitados os exames de eletroneuromiografia e exames séricos de TSH e T4 Livre. </w:t>
      </w:r>
    </w:p>
    <w:p w:rsidR="00000000" w:rsidDel="00000000" w:rsidP="00000000" w:rsidRDefault="00000000" w:rsidRPr="00000000" w14:paraId="0000001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dos resultados, a médica responsável suspeitou de AME tipo I e solicitou teste genético pelo swab de saliva, o qual confirmou o diagnóstico. Devido a piora do quadro clínico, precisou ser internado no Hospital Infantil Lucídio Portela (HILP). Foi traqueostomizado com ventilação modo assistido-controlado, com necessidade de aspirações traqueais rotineiras e gastrostomizado para a sonda GTT. Foram administrados polivitamínicos, além fenobarbital para controle da epilepsia. </w:t>
      </w:r>
    </w:p>
    <w:p w:rsidR="00000000" w:rsidDel="00000000" w:rsidP="00000000" w:rsidRDefault="00000000" w:rsidRPr="00000000" w14:paraId="0000001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dezembro de 2019, foi realizado uma avaliação fisioterapêutica, na qual o paciente obteve pontuação de 22 na escala CHOP INTEND e na GMFM (Gross Motor Function Measure) obteve apenas o item Deitar e rolar = 13,7%. No exame Cinesiológico Funcional, o paciente foi diagnosticado com déficit de força grave, com prevalência em membros inferiores, disfunção leve para manuseio de objetos e disfunção grave de mobilidade, deslocamento, transferências, trocas posturais baixas e altas.</w:t>
      </w:r>
    </w:p>
    <w:p w:rsidR="00000000" w:rsidDel="00000000" w:rsidP="00000000" w:rsidRDefault="00000000" w:rsidRPr="00000000" w14:paraId="0000001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Iniciou a terapia com nusinersena com 1 ano e 4 meses. Na segunda análise fisioterapêutica, em março de 2020, o paciente obteve pontuação de 29 na escala CHOP INTEND e na GMFM (Gross Motor Function Measure) obteve apenas o item Deitar e rolar = 17,64%. </w:t>
      </w:r>
    </w:p>
    <w:p w:rsidR="00000000" w:rsidDel="00000000" w:rsidP="00000000" w:rsidRDefault="00000000" w:rsidRPr="00000000" w14:paraId="0000001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julho de 2020, após a quarta dose medicamentosa, houve uma terceira análise fisioterapêutica, na qual o paciente apresentou controle cervical e de tronco, pois iniciou movimentação ativa de rotação e movimentação discreta em quadril direito e esquerdo. O paciente obteve pontuação de 33 na escala CHOP INTEND e na GMFM (Gross Motor Function Measure) obteve apenas o item Deitar e rolar = 19,6%. Foi possível perceber uma evolução significativa na função motora do paciente, pois aumentou 11 pontos na escala CHOP INTEND e 5,9% na GMFM, com relação a deitar e rolar.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Não foram identificadas novas preocupações de segurança e o paciente teve uma boa aceitação do medicamento, sem relatos de efeitos adversos. </w:t>
      </w:r>
    </w:p>
    <w:p w:rsidR="00000000" w:rsidDel="00000000" w:rsidP="00000000" w:rsidRDefault="00000000" w:rsidRPr="00000000" w14:paraId="0000001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Além disso, houve ganho de movimentação nos membros superiores, elevando os membros acima da linha média, bem como nos membros inferiores, sendo capaz de mantê-los em flexão por poucos minutos e sentar-se com apoio na cadeira de rodas. Atualmente, o paciente aguarda a quinta dose, que será administrada em agosto de 2020.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0" w:hanging="2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diagnóstico precoce da atrofia muscular espinhal é imprescindível para a sobrevida do paciente. O caso estudado mostrou que o tratamento realizado no paciente, com o uso da medicação nusinersena, resultou em significativa evolução clínica, sobretudo, em relação à função motora, com melhora dos movimentos e redução do déficit de força apresentado no momento da internação. </w:t>
      </w:r>
    </w:p>
    <w:p w:rsidR="00000000" w:rsidDel="00000000" w:rsidP="00000000" w:rsidRDefault="00000000" w:rsidRPr="00000000" w14:paraId="0000002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Além da evidente melhora clínica, o fármaco nusinersena foi bem tolerado pelo paciente, sem presença de sintomas oriundos de efeitos adversos. Portanto, o presente estudo reforça os resultados encontrados na literatura científica,  acerca do tratamento da AME tipo I com o fármaco nusinersena e enfatiza a necessidade de instituir o diagnóstico e tratamento precoce, possibilitando ao fármaco maior margem de impacto positivo sobre a apresentação clínica da doença.</w:t>
      </w:r>
    </w:p>
    <w:p w:rsidR="00000000" w:rsidDel="00000000" w:rsidP="00000000" w:rsidRDefault="00000000" w:rsidRPr="00000000" w14:paraId="0000002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REFERÊNCIAS </w:t>
      </w:r>
    </w:p>
    <w:p w:rsidR="00000000" w:rsidDel="00000000" w:rsidP="00000000" w:rsidRDefault="00000000" w:rsidRPr="00000000" w14:paraId="0000002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227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BAIONI, Mariana; AMBIEL,Celia.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Atrofia muscular espinhal: diagnóstico, tratamento e perspectivas futuras.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Rio de Janeiro, Jornal de Pediatria, vol.86, ed.4, 2010.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BRASIL. Ministério da Saúde. Secretaria de Ciência, Tecnologia e Insumos Estratégicos. Departamento de Gestão e Incorporação de Tecnologias em Saúde. Protocolo Clínico e Portaria N° 15: Diretrizes Terapêuticas da Atrofia Muscular Espinhal 5q tipo I.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Brasília, Ministério da Saúde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outubro de 2019.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http://conitec.gov.br/images/Protocolos/Portaria_Conjunta_PCDT_Atrofia_Muscular_Espinhal_5q_Tipo-I.pdf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Acesso em: 29 jul.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75" w:line="240" w:lineRule="auto"/>
        <w:ind w:right="5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Instituto Nacional da Atrofia Muscular Espinhal, 2019. Disponível em: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https://iname.org.br/quem-somos/sobre/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em:29 jul. de 2020</w:t>
      </w:r>
    </w:p>
    <w:p w:rsidR="00000000" w:rsidDel="00000000" w:rsidP="00000000" w:rsidRDefault="00000000" w:rsidRPr="00000000" w14:paraId="0000002B">
      <w:pPr>
        <w:spacing w:before="75" w:line="240" w:lineRule="auto"/>
        <w:ind w:right="5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75" w:line="240" w:lineRule="auto"/>
        <w:ind w:right="5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MERCURI, Eugenio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Nusinersen versus Sham Control in late-onset spinal muscular atrophy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The New England Journal of medicine, ed. 378,pág. 625-635, 2018.</w:t>
      </w:r>
    </w:p>
    <w:p w:rsidR="00000000" w:rsidDel="00000000" w:rsidP="00000000" w:rsidRDefault="00000000" w:rsidRPr="00000000" w14:paraId="0000002D">
      <w:pPr>
        <w:spacing w:before="75" w:line="240" w:lineRule="auto"/>
        <w:ind w:right="5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75" w:line="240" w:lineRule="auto"/>
        <w:ind w:right="5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VIVO, Darryl C. de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Nusinersen initiated in infants during the presymptomatic stage of spinal muscular atrophy: Interim efficacy and safety results from the Phase 2 NURTURE stud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Elsevier B.V., vol. 29, ed. 11, pag. 842–856, 2019.</w:t>
      </w:r>
    </w:p>
    <w:p w:rsidR="00000000" w:rsidDel="00000000" w:rsidP="00000000" w:rsidRDefault="00000000" w:rsidRPr="00000000" w14:paraId="0000002F">
      <w:pPr>
        <w:spacing w:before="75" w:line="240" w:lineRule="auto"/>
        <w:ind w:right="5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75" w:line="240" w:lineRule="auto"/>
        <w:ind w:right="5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/>
      <w:pgMar w:bottom="1134" w:top="1701" w:left="1701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01100" y="2911320"/>
                        <a:ext cx="7289800" cy="1737360"/>
                        <a:chOff x="1701100" y="2911320"/>
                        <a:chExt cx="7289800" cy="1737360"/>
                      </a:xfrm>
                    </wpg:grpSpPr>
                    <wpg:grpSp>
                      <wpg:cNvGrpSpPr/>
                      <wpg:grpSpPr>
                        <a:xfrm>
                          <a:off x="1701100" y="2911320"/>
                          <a:ext cx="7289800" cy="1737360"/>
                          <a:chOff x="0" y="0"/>
                          <a:chExt cx="11480" cy="2736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1475" cy="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591" y="0"/>
                            <a:ext cx="9889" cy="349"/>
                          </a:xfrm>
                          <a:custGeom>
                            <a:rect b="b" l="l" r="r" t="t"/>
                            <a:pathLst>
                              <a:path extrusionOk="0" h="349" w="9889">
                                <a:moveTo>
                                  <a:pt x="465" y="0"/>
                                </a:moveTo>
                                <a:lnTo>
                                  <a:pt x="9889" y="0"/>
                                </a:lnTo>
                                <a:lnTo>
                                  <a:pt x="9424" y="349"/>
                                </a:lnTo>
                                <a:lnTo>
                                  <a:pt x="0" y="349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2057" cy="349"/>
                          </a:xfrm>
                          <a:custGeom>
                            <a:rect b="b" l="l" r="r" t="t"/>
                            <a:pathLst>
                              <a:path extrusionOk="0" h="349" w="2057">
                                <a:moveTo>
                                  <a:pt x="0" y="0"/>
                                </a:moveTo>
                                <a:lnTo>
                                  <a:pt x="2056" y="0"/>
                                </a:lnTo>
                                <a:lnTo>
                                  <a:pt x="1591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EA6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05" y="0"/>
                            <a:ext cx="5580" cy="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115" y="241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413" y="0"/>
                            <a:ext cx="68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9" name="Shape 9"/>
                        <wps:spPr>
                          <a:xfrm>
                            <a:off x="0" y="0"/>
                            <a:ext cx="11480" cy="349"/>
                          </a:xfrm>
                          <a:custGeom>
                            <a:rect b="b" l="l" r="r" t="t"/>
                            <a:pathLst>
                              <a:path extrusionOk="0" h="349" w="11480">
                                <a:moveTo>
                                  <a:pt x="11480" y="0"/>
                                </a:moveTo>
                                <a:lnTo>
                                  <a:pt x="2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"/>
                                </a:lnTo>
                                <a:lnTo>
                                  <a:pt x="1591" y="349"/>
                                </a:lnTo>
                                <a:lnTo>
                                  <a:pt x="11015" y="349"/>
                                </a:lnTo>
                                <a:lnTo>
                                  <a:pt x="11480" y="0"/>
                                </a:lnTo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73" y="0"/>
                            <a:ext cx="4414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89800" cy="1737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conitec.gov.br/images/Protocolos/Portaria_Conjunta_PCDT_Atrofia_Muscular_Espinhal_5q_Tipo-I.pdf" TargetMode="External"/><Relationship Id="rId8" Type="http://schemas.openxmlformats.org/officeDocument/2006/relationships/hyperlink" Target="https://iname.org.br/quem-somos/sobr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5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