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5E9F" w14:textId="77777777" w:rsidR="00D7242B" w:rsidRDefault="00D7242B" w:rsidP="005E02E2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469AC1C" w14:textId="77777777" w:rsidR="00D7242B" w:rsidRDefault="00D7242B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FCB0C6" w14:textId="77777777" w:rsidR="00D7242B" w:rsidRDefault="00D7242B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F66729F" w14:textId="3D838CF0" w:rsidR="00D7242B" w:rsidRDefault="00722FB0" w:rsidP="00722FB0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bCs/>
          <w:sz w:val="32"/>
          <w:szCs w:val="32"/>
        </w:rPr>
        <w:t>AVALIAÇÃO NUTRICIONAL</w:t>
      </w:r>
      <w:r w:rsidR="003145D0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PÓLEN APÍCOLA COLETADO EM ÁREA DE ECÓTONO CERRADO AMAZÔNIA, ARAGUAÍNA, TO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</w:t>
      </w:r>
    </w:p>
    <w:p w14:paraId="192FBA52" w14:textId="77777777" w:rsidR="003145D0" w:rsidRDefault="003145D0" w:rsidP="00722FB0">
      <w:pPr>
        <w:jc w:val="center"/>
        <w:rPr>
          <w:rFonts w:ascii="Arial" w:eastAsia="Arial" w:hAnsi="Arial" w:cs="Arial"/>
          <w:sz w:val="20"/>
          <w:szCs w:val="20"/>
        </w:rPr>
      </w:pPr>
    </w:p>
    <w:p w14:paraId="384813DB" w14:textId="06F8E7D2" w:rsidR="00D7242B" w:rsidRDefault="003145D0" w:rsidP="005E02E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ROSÁRIO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Rianna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Bueno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1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Pr="005E02E2">
        <w:rPr>
          <w:rFonts w:ascii="Arial" w:eastAsia="Arial" w:hAnsi="Arial" w:cs="Arial"/>
          <w:b/>
          <w:bCs/>
          <w:sz w:val="24"/>
          <w:szCs w:val="24"/>
        </w:rPr>
        <w:t>RIZZARDO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5E02E2">
        <w:rPr>
          <w:rFonts w:ascii="Arial" w:eastAsia="Arial" w:hAnsi="Arial" w:cs="Arial"/>
          <w:sz w:val="24"/>
          <w:szCs w:val="24"/>
        </w:rPr>
        <w:t>Rômulo Augusto Guedes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2"/>
      </w:r>
      <w:r>
        <w:rPr>
          <w:rFonts w:ascii="Arial" w:eastAsia="Arial" w:hAnsi="Arial" w:cs="Arial"/>
          <w:sz w:val="24"/>
          <w:szCs w:val="24"/>
        </w:rPr>
        <w:t xml:space="preserve">; </w:t>
      </w:r>
      <w:r w:rsidR="005E02E2" w:rsidRPr="005E02E2">
        <w:rPr>
          <w:rFonts w:ascii="Arial" w:eastAsia="Arial" w:hAnsi="Arial" w:cs="Arial"/>
          <w:b/>
          <w:bCs/>
          <w:sz w:val="24"/>
          <w:szCs w:val="24"/>
        </w:rPr>
        <w:t>MILHOMEM</w:t>
      </w:r>
      <w:r>
        <w:rPr>
          <w:rFonts w:ascii="Arial" w:eastAsia="Arial" w:hAnsi="Arial" w:cs="Arial"/>
          <w:sz w:val="24"/>
          <w:szCs w:val="24"/>
        </w:rPr>
        <w:t>, P</w:t>
      </w:r>
      <w:r w:rsidR="005E02E2">
        <w:rPr>
          <w:rFonts w:ascii="Arial" w:eastAsia="Arial" w:hAnsi="Arial" w:cs="Arial"/>
          <w:sz w:val="24"/>
          <w:szCs w:val="24"/>
        </w:rPr>
        <w:t xml:space="preserve">edro </w:t>
      </w:r>
      <w:proofErr w:type="spellStart"/>
      <w:r w:rsidR="005E02E2">
        <w:rPr>
          <w:rFonts w:ascii="Arial" w:eastAsia="Arial" w:hAnsi="Arial" w:cs="Arial"/>
          <w:sz w:val="24"/>
          <w:szCs w:val="24"/>
        </w:rPr>
        <w:t>Hyago</w:t>
      </w:r>
      <w:proofErr w:type="spellEnd"/>
      <w:r w:rsidR="005E02E2">
        <w:rPr>
          <w:rFonts w:ascii="Arial" w:eastAsia="Arial" w:hAnsi="Arial" w:cs="Arial"/>
          <w:sz w:val="24"/>
          <w:szCs w:val="24"/>
        </w:rPr>
        <w:t xml:space="preserve"> da Silva</w:t>
      </w:r>
      <w:r>
        <w:rPr>
          <w:rFonts w:ascii="Arial" w:eastAsia="Arial" w:hAnsi="Arial" w:cs="Arial"/>
          <w:sz w:val="24"/>
          <w:szCs w:val="24"/>
          <w:vertAlign w:val="superscript"/>
        </w:rPr>
        <w:footnoteReference w:id="3"/>
      </w:r>
    </w:p>
    <w:p w14:paraId="402E8715" w14:textId="15E2084E" w:rsidR="00D7242B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</w:t>
      </w:r>
    </w:p>
    <w:p w14:paraId="54011841" w14:textId="77777777" w:rsidR="00D7242B" w:rsidRDefault="00D7242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0C5778" w14:textId="77777777" w:rsidR="00D7242B" w:rsidRDefault="0000000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4DF64D6C" w14:textId="77777777" w:rsidR="00AB6F7E" w:rsidRPr="00E7518A" w:rsidRDefault="00E5219D" w:rsidP="00E5219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7518A">
        <w:rPr>
          <w:rFonts w:ascii="Times New Roman" w:hAnsi="Times New Roman" w:cs="Times New Roman"/>
        </w:rPr>
        <w:t xml:space="preserve">O pólen apícola é coletado pelas abelhas a partir das flores e constitui importante fonte de nutrientes, como proteínas, lipídios e vitaminas. Sua composição varia de acordo com a flora local e o período de coleta, sendo indicativo de qualidade ambiental e produção apícola. O objetivo deste trabalho é comparar os teores de proteína bruta, matéria mineral e matéria seca de amostras de pólen apícola coletadas em diferentes meses do ano, visando identificar os períodos com maior valor nutricional e compreender a variação sazonal desses parâmetros. O experimento foi conduzido em quatro colmeias, no Apiário do Centro de Ciências Agrárias (CCA), na Universidade Federal do Norte do Tocantins (UFNT), em Araguaína, Norte do Tocantins. O manejo seguiu recomendações do laboratório de abelhas, que já estuda as interações das abelhas na região a mais de dez anos. O pólen foi coletado diariamente, em período de safra, meses de setembro e outubro de 2024; março, abril e maio de 2025. Procedeu-se a realização das análises, tabulação dos dados, teste de normalidade e </w:t>
      </w:r>
      <w:proofErr w:type="spellStart"/>
      <w:r w:rsidRPr="00E7518A">
        <w:rPr>
          <w:rFonts w:ascii="Times New Roman" w:hAnsi="Times New Roman" w:cs="Times New Roman"/>
        </w:rPr>
        <w:t>homocedasticidade</w:t>
      </w:r>
      <w:proofErr w:type="spellEnd"/>
      <w:r w:rsidRPr="00E7518A">
        <w:rPr>
          <w:rFonts w:ascii="Times New Roman" w:hAnsi="Times New Roman" w:cs="Times New Roman"/>
        </w:rPr>
        <w:t xml:space="preserve">, permitindo a análise de variância (ANOVA) com comparação das médias pelo teste de </w:t>
      </w:r>
      <w:proofErr w:type="spellStart"/>
      <w:r w:rsidRPr="00E7518A">
        <w:rPr>
          <w:rFonts w:ascii="Times New Roman" w:hAnsi="Times New Roman" w:cs="Times New Roman"/>
        </w:rPr>
        <w:t>Tukey</w:t>
      </w:r>
      <w:proofErr w:type="spellEnd"/>
      <w:r w:rsidRPr="00E7518A">
        <w:rPr>
          <w:rFonts w:ascii="Times New Roman" w:hAnsi="Times New Roman" w:cs="Times New Roman"/>
        </w:rPr>
        <w:t xml:space="preserve"> (5%). Não houve diferença significativa para os teores de matéria seca total, com média de 58,69%, indicando estabilidade ao longo do período avaliado. Por outro lado, os teores de proteína bruta variaram significativamente entre os meses, com média geral de 22,24%, sendo observados o menor valor em setembro (17,22%) e o maior em maio (27,31%), provavelmente relacionado à diversidade botânica da região. A matéria mineral também apresentou diferença significativa ao longo do tempo, com média de 4,17%, variando de 2,65% em setembro a 5,91% em março, o que pode refletir alterações na disponibilidade de nutrientes em função dos tipos polínico</w:t>
      </w:r>
      <w:r w:rsidR="00AB6F7E" w:rsidRPr="00E7518A">
        <w:rPr>
          <w:rFonts w:ascii="Times New Roman" w:hAnsi="Times New Roman" w:cs="Times New Roman"/>
        </w:rPr>
        <w:t xml:space="preserve">s </w:t>
      </w:r>
    </w:p>
    <w:p w14:paraId="421C7C5F" w14:textId="77777777" w:rsidR="00AB6F7E" w:rsidRDefault="00AB6F7E" w:rsidP="00E5219D">
      <w:pPr>
        <w:widowControl w:val="0"/>
        <w:spacing w:after="0" w:line="240" w:lineRule="auto"/>
        <w:jc w:val="both"/>
      </w:pPr>
    </w:p>
    <w:p w14:paraId="6B59A5E7" w14:textId="77777777" w:rsidR="00AB6F7E" w:rsidRDefault="00AB6F7E" w:rsidP="00E5219D">
      <w:pPr>
        <w:widowControl w:val="0"/>
        <w:spacing w:after="0" w:line="240" w:lineRule="auto"/>
        <w:jc w:val="both"/>
      </w:pPr>
    </w:p>
    <w:p w14:paraId="7DD122F9" w14:textId="443CCB8C" w:rsidR="00E5219D" w:rsidRDefault="00E5219D" w:rsidP="00E5219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7518A">
        <w:rPr>
          <w:rFonts w:ascii="Times New Roman" w:hAnsi="Times New Roman" w:cs="Times New Roman"/>
        </w:rPr>
        <w:t>coletados pelas abelhas. Conclui-se que, no período de safra, apenas proteína bruta e matéria mineral variaram com a sazonalidade, enquanto a matéria seca permaneceu estável.</w:t>
      </w:r>
    </w:p>
    <w:p w14:paraId="7514C72D" w14:textId="77777777" w:rsidR="00E7518A" w:rsidRPr="00E7518A" w:rsidRDefault="00E7518A" w:rsidP="00E5219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21D540" w14:textId="22918F6F" w:rsidR="00D7242B" w:rsidRPr="00E7518A" w:rsidRDefault="00000000">
      <w:pPr>
        <w:widowControl w:val="0"/>
        <w:spacing w:after="0" w:line="360" w:lineRule="auto"/>
        <w:rPr>
          <w:rFonts w:ascii="Times New Roman" w:eastAsia="Arial" w:hAnsi="Times New Roman" w:cs="Times New Roman"/>
          <w:sz w:val="24"/>
          <w:szCs w:val="24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</w:rPr>
        <w:t>Palavras-chave</w:t>
      </w:r>
      <w:r w:rsidRPr="00E7518A">
        <w:rPr>
          <w:rFonts w:ascii="Times New Roman" w:eastAsia="Arial" w:hAnsi="Times New Roman" w:cs="Times New Roman"/>
          <w:sz w:val="24"/>
          <w:szCs w:val="24"/>
        </w:rPr>
        <w:t xml:space="preserve">: </w:t>
      </w:r>
      <w:r w:rsidR="009C706A" w:rsidRPr="00E7518A">
        <w:rPr>
          <w:rFonts w:ascii="Times New Roman" w:eastAsia="Arial" w:hAnsi="Times New Roman" w:cs="Times New Roman"/>
          <w:sz w:val="24"/>
          <w:szCs w:val="24"/>
        </w:rPr>
        <w:t xml:space="preserve">Abelhas, pólen, </w:t>
      </w:r>
      <w:r w:rsidR="00E7518A">
        <w:rPr>
          <w:rFonts w:ascii="Times New Roman" w:eastAsia="Arial" w:hAnsi="Times New Roman" w:cs="Times New Roman"/>
          <w:sz w:val="24"/>
          <w:szCs w:val="24"/>
        </w:rPr>
        <w:t xml:space="preserve">Análise </w:t>
      </w:r>
      <w:r w:rsidR="009C706A" w:rsidRPr="00E7518A">
        <w:rPr>
          <w:rFonts w:ascii="Times New Roman" w:eastAsia="Arial" w:hAnsi="Times New Roman" w:cs="Times New Roman"/>
          <w:sz w:val="24"/>
          <w:szCs w:val="24"/>
        </w:rPr>
        <w:t xml:space="preserve">bromatológica, </w:t>
      </w:r>
      <w:r w:rsidR="00933946" w:rsidRPr="00E7518A">
        <w:rPr>
          <w:rFonts w:ascii="Times New Roman" w:eastAsia="Arial" w:hAnsi="Times New Roman" w:cs="Times New Roman"/>
          <w:sz w:val="24"/>
          <w:szCs w:val="24"/>
        </w:rPr>
        <w:t>Cerrado</w:t>
      </w:r>
      <w:r w:rsidRPr="00E7518A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12DCE3" w14:textId="77777777" w:rsidR="00D7242B" w:rsidRDefault="00D7242B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3FB0AA62" w14:textId="77777777" w:rsidR="00D7242B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INTRODUÇÃO/JUSTIFICATIVA</w:t>
      </w:r>
    </w:p>
    <w:p w14:paraId="03059C99" w14:textId="77777777" w:rsidR="00933946" w:rsidRPr="00AB6F7E" w:rsidRDefault="00933946" w:rsidP="00AB6F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7E">
        <w:rPr>
          <w:rFonts w:ascii="Times New Roman" w:eastAsia="Times New Roman" w:hAnsi="Times New Roman" w:cs="Times New Roman"/>
          <w:sz w:val="24"/>
          <w:szCs w:val="24"/>
        </w:rPr>
        <w:t xml:space="preserve">A agricultura familiar se destaca como base produtiva da região norte, no entanto, a apicultura tem apenas uma pequena parcela. Por melhor que seja a biodiversidade a ser explorada de maneira sustentável e voltada ao crescimento da produção, a criação de abelhas é pequena quando comparada as demais regiões brasileiras, com algum nível de produção diversificada, como é o caso da própolis, cera apícola e pólen apícola. </w:t>
      </w:r>
    </w:p>
    <w:p w14:paraId="09555BE6" w14:textId="77777777" w:rsidR="00933946" w:rsidRPr="00AB6F7E" w:rsidRDefault="00933946" w:rsidP="00AB6F7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6F7E">
        <w:rPr>
          <w:rFonts w:ascii="Times New Roman" w:hAnsi="Times New Roman" w:cs="Times New Roman"/>
          <w:sz w:val="24"/>
          <w:szCs w:val="24"/>
        </w:rPr>
        <w:t xml:space="preserve">De acordo com dados de produção de 2020, o Brasil gerou aproximadamente 51.500 toneladas de mel enquanto o estado do Tocantins contribuiu com modestas 93,3 toneladas, muito aquém de sua capacidade de produção em nível nacional, como observado pelo próprio (IBGE, 2020). </w:t>
      </w:r>
    </w:p>
    <w:p w14:paraId="2AB33085" w14:textId="77777777" w:rsidR="00933946" w:rsidRPr="00AB6F7E" w:rsidRDefault="00933946" w:rsidP="00AB6F7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6F7E">
        <w:rPr>
          <w:rFonts w:ascii="Times New Roman" w:hAnsi="Times New Roman" w:cs="Times New Roman"/>
          <w:sz w:val="24"/>
          <w:szCs w:val="24"/>
        </w:rPr>
        <w:t>A certificação do pólen melífero no Brasil começou na década de 1980 e ainda está em um estágio inicial. No entanto, existe um apelo substancial entre os consumidores por tal produto, devido a sua composição natural, nutritivo e terapeuticamente eficaz. Portanto, é mais do que certo julgá-lo um alimento complementar (NEGRÃO, 2014).</w:t>
      </w:r>
    </w:p>
    <w:p w14:paraId="37591DFF" w14:textId="77777777" w:rsidR="00933946" w:rsidRPr="00AB6F7E" w:rsidRDefault="00933946" w:rsidP="00AB6F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7E">
        <w:rPr>
          <w:rFonts w:ascii="Times New Roman" w:eastAsia="Times New Roman" w:hAnsi="Times New Roman" w:cs="Times New Roman"/>
          <w:sz w:val="24"/>
          <w:szCs w:val="24"/>
        </w:rPr>
        <w:t>Existem estudos realizados em outras regiões a respeito da composição bromatológica do pólen apícola, neste contexto destaca-se a determinação do pólen com relação às proteínas, carboidratos, lipídeos, açúcares totais, umidade e pH, visto que já foi realizado na região de Araguaína. Sobre a Legislação da Identidade e Qualidade do Pólen apícola, esta normatiza padrões para comercialização (Brasil, 2001).</w:t>
      </w:r>
    </w:p>
    <w:p w14:paraId="6D0B4FEF" w14:textId="613BCC2C" w:rsidR="00AB6F7E" w:rsidRDefault="00933946" w:rsidP="0085071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6F7E">
        <w:rPr>
          <w:rFonts w:ascii="Times New Roman" w:eastAsia="Times New Roman" w:hAnsi="Times New Roman" w:cs="Times New Roman"/>
          <w:sz w:val="24"/>
          <w:szCs w:val="24"/>
        </w:rPr>
        <w:t xml:space="preserve">Este tipo de pesquisa em caráter de abrangência é </w:t>
      </w:r>
      <w:proofErr w:type="gramStart"/>
      <w:r w:rsidRPr="00AB6F7E">
        <w:rPr>
          <w:rFonts w:ascii="Times New Roman" w:eastAsia="Times New Roman" w:hAnsi="Times New Roman" w:cs="Times New Roman"/>
          <w:sz w:val="24"/>
          <w:szCs w:val="24"/>
        </w:rPr>
        <w:t>voltada</w:t>
      </w:r>
      <w:proofErr w:type="gramEnd"/>
      <w:r w:rsidRPr="00AB6F7E">
        <w:rPr>
          <w:rFonts w:ascii="Times New Roman" w:eastAsia="Times New Roman" w:hAnsi="Times New Roman" w:cs="Times New Roman"/>
          <w:sz w:val="24"/>
          <w:szCs w:val="24"/>
        </w:rPr>
        <w:t xml:space="preserve"> ao estudo da área de manejo da espécie, desenvolvimento de novas tecnologias e aquisições de equipamentos para coleta e processamentos, fundamentais para inserção produtiva na gestão e administração de alto impacto produtivo.</w:t>
      </w:r>
    </w:p>
    <w:p w14:paraId="2A64E81D" w14:textId="77777777" w:rsidR="00850716" w:rsidRDefault="00850716" w:rsidP="00AB6F7E">
      <w:pPr>
        <w:spacing w:after="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85F25" w14:textId="754670DE" w:rsidR="00933946" w:rsidRPr="00933946" w:rsidRDefault="00933946" w:rsidP="00AB6F7E">
      <w:pPr>
        <w:spacing w:after="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946">
        <w:rPr>
          <w:rFonts w:ascii="Times New Roman" w:eastAsia="Times New Roman" w:hAnsi="Times New Roman" w:cs="Times New Roman"/>
          <w:sz w:val="24"/>
          <w:szCs w:val="24"/>
        </w:rPr>
        <w:lastRenderedPageBreak/>
        <w:t>Visando atender a demanda de produtos apícolas é importante desenvolver técnicas para melhorar a produtividade e diversificação dos produtos, a fim de aumentar a renda dos apicultores e produzir alimentos de alto valor nutritivo, importantes à saúde humana, bem como atender a demanda das próprias abelhas</w:t>
      </w:r>
      <w:r w:rsidRPr="00933946">
        <w:rPr>
          <w:rFonts w:ascii="Times New Roman" w:hAnsi="Times New Roman" w:cs="Times New Roman"/>
          <w:sz w:val="24"/>
          <w:szCs w:val="24"/>
        </w:rPr>
        <w:t xml:space="preserve"> (</w:t>
      </w:r>
      <w:r w:rsidRPr="00AB6F7E">
        <w:rPr>
          <w:rFonts w:ascii="Times New Roman" w:hAnsi="Times New Roman" w:cs="Times New Roman"/>
          <w:sz w:val="24"/>
          <w:szCs w:val="24"/>
        </w:rPr>
        <w:t>BARROS et al., 2017; BATISTA et al., 2018).</w:t>
      </w:r>
    </w:p>
    <w:p w14:paraId="1A22F659" w14:textId="45386366" w:rsidR="00D7242B" w:rsidRDefault="00000000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</w:t>
      </w:r>
    </w:p>
    <w:p w14:paraId="4A51845B" w14:textId="77777777" w:rsidR="00D7242B" w:rsidRPr="00E7518A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</w:rPr>
        <w:t>BASE TEÓRICA</w:t>
      </w:r>
    </w:p>
    <w:p w14:paraId="344F7099" w14:textId="77777777" w:rsidR="00D7242B" w:rsidRPr="00E7518A" w:rsidRDefault="00000000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518A">
        <w:rPr>
          <w:rFonts w:ascii="Times New Roman" w:eastAsia="Arial" w:hAnsi="Times New Roman" w:cs="Times New Roman"/>
          <w:sz w:val="24"/>
          <w:szCs w:val="24"/>
        </w:rPr>
        <w:t>Elencar com que autores você dialogou durante a execução de pesquisa e quais as revisões de literatura realizadas para construção da metodologia</w:t>
      </w:r>
    </w:p>
    <w:p w14:paraId="669F79BE" w14:textId="5A43ACC0" w:rsidR="00D7242B" w:rsidRPr="00E7518A" w:rsidRDefault="00D7242B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F0E57E7" w14:textId="77777777" w:rsidR="00D7242B" w:rsidRPr="00E7518A" w:rsidRDefault="00D7242B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44EDF48" w14:textId="77777777" w:rsidR="00D7242B" w:rsidRPr="00E7518A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</w:rPr>
        <w:t>OBJETIVOS</w:t>
      </w:r>
    </w:p>
    <w:p w14:paraId="240F95F0" w14:textId="77777777" w:rsidR="00F0586D" w:rsidRPr="00E7518A" w:rsidRDefault="00F0586D" w:rsidP="00F058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7518A">
        <w:rPr>
          <w:rFonts w:ascii="Times New Roman" w:hAnsi="Times New Roman" w:cs="Times New Roman"/>
          <w:b/>
          <w:bCs/>
        </w:rPr>
        <w:t>Geral:</w:t>
      </w:r>
    </w:p>
    <w:p w14:paraId="04F7D076" w14:textId="77777777" w:rsidR="00F0586D" w:rsidRPr="00E7518A" w:rsidRDefault="00F0586D" w:rsidP="00F0586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 xml:space="preserve">Analisar de forma qualitativa e quantitativa a produção de pólen apícola em área de </w:t>
      </w:r>
      <w:proofErr w:type="spellStart"/>
      <w:r w:rsidRPr="00E7518A">
        <w:rPr>
          <w:rFonts w:ascii="Times New Roman" w:hAnsi="Times New Roman" w:cs="Times New Roman"/>
          <w:sz w:val="24"/>
          <w:szCs w:val="24"/>
        </w:rPr>
        <w:t>ecótono</w:t>
      </w:r>
      <w:proofErr w:type="spellEnd"/>
      <w:r w:rsidRPr="00E7518A">
        <w:rPr>
          <w:rFonts w:ascii="Times New Roman" w:hAnsi="Times New Roman" w:cs="Times New Roman"/>
          <w:sz w:val="24"/>
          <w:szCs w:val="24"/>
        </w:rPr>
        <w:t xml:space="preserve"> Cerrado Amazônia.</w:t>
      </w:r>
    </w:p>
    <w:p w14:paraId="32050227" w14:textId="77777777" w:rsidR="00F0586D" w:rsidRPr="00E7518A" w:rsidRDefault="00F0586D" w:rsidP="00F058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7518A">
        <w:rPr>
          <w:rFonts w:ascii="Times New Roman" w:hAnsi="Times New Roman" w:cs="Times New Roman"/>
          <w:b/>
          <w:bCs/>
        </w:rPr>
        <w:t>Específico:</w:t>
      </w:r>
    </w:p>
    <w:p w14:paraId="0530705B" w14:textId="77777777" w:rsidR="00F0586D" w:rsidRPr="00E7518A" w:rsidRDefault="00F0586D" w:rsidP="00F0586D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>Medir a produção de pólen apícola por colônia.</w:t>
      </w:r>
    </w:p>
    <w:p w14:paraId="2E5312E6" w14:textId="77777777" w:rsidR="00F0586D" w:rsidRPr="00E7518A" w:rsidRDefault="00F0586D" w:rsidP="00F0586D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>Analisar a qualidade nutricional do pólen apícola.</w:t>
      </w:r>
    </w:p>
    <w:p w14:paraId="4408D21A" w14:textId="77777777" w:rsidR="00F0586D" w:rsidRPr="00E7518A" w:rsidRDefault="00F0586D" w:rsidP="00F0586D">
      <w:pPr>
        <w:pStyle w:val="PargrafodaLista"/>
        <w:spacing w:line="36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>Realizar análise bromatológica do pólen apícola.</w:t>
      </w:r>
    </w:p>
    <w:p w14:paraId="228B5650" w14:textId="111AE90B" w:rsidR="00D7242B" w:rsidRDefault="0000000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</w:t>
      </w:r>
    </w:p>
    <w:p w14:paraId="567AEE16" w14:textId="77777777" w:rsidR="00D7242B" w:rsidRDefault="00000000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METODOLOGIA</w:t>
      </w:r>
    </w:p>
    <w:p w14:paraId="6BD1D479" w14:textId="77777777" w:rsidR="00850716" w:rsidRDefault="00850716" w:rsidP="009E2D73">
      <w:pPr>
        <w:pStyle w:val="NormalWeb"/>
        <w:spacing w:before="0" w:beforeAutospacing="0" w:after="0" w:afterAutospacing="0" w:line="360" w:lineRule="auto"/>
        <w:ind w:left="142" w:firstLine="360"/>
        <w:jc w:val="both"/>
        <w:rPr>
          <w:szCs w:val="22"/>
        </w:rPr>
      </w:pPr>
    </w:p>
    <w:p w14:paraId="527325AC" w14:textId="0278B559" w:rsidR="006D5394" w:rsidRDefault="006D5394" w:rsidP="00C35B93">
      <w:pPr>
        <w:pStyle w:val="NormalWeb"/>
        <w:spacing w:before="0" w:beforeAutospacing="0" w:after="0" w:afterAutospacing="0" w:line="360" w:lineRule="auto"/>
        <w:ind w:left="142" w:firstLine="360"/>
        <w:jc w:val="both"/>
        <w:rPr>
          <w:szCs w:val="22"/>
        </w:rPr>
      </w:pPr>
      <w:r w:rsidRPr="00DC47E8">
        <w:rPr>
          <w:szCs w:val="22"/>
        </w:rPr>
        <w:t xml:space="preserve">O experimento foi realizado no meliponário do Centro de Ciências Agrárias (CCA) -Universidade Federal do Norte do Tocantins (UFNT), localizado no município de Araguaína, região Norte do Tocantins (07º11’28’’ S; 48º12’26’’ O), distante 400 km da capital, Palmas. </w:t>
      </w:r>
    </w:p>
    <w:p w14:paraId="75765475" w14:textId="77777777" w:rsidR="00850716" w:rsidRDefault="00850716" w:rsidP="00C35B93">
      <w:pPr>
        <w:pStyle w:val="NormalWeb"/>
        <w:spacing w:before="0" w:beforeAutospacing="0" w:after="0" w:afterAutospacing="0" w:line="360" w:lineRule="auto"/>
        <w:ind w:firstLine="142"/>
        <w:jc w:val="both"/>
      </w:pPr>
    </w:p>
    <w:p w14:paraId="380746C6" w14:textId="77777777" w:rsidR="00850716" w:rsidRDefault="00850716" w:rsidP="00C35B93">
      <w:pPr>
        <w:pStyle w:val="NormalWeb"/>
        <w:spacing w:before="0" w:beforeAutospacing="0" w:after="0" w:afterAutospacing="0" w:line="360" w:lineRule="auto"/>
        <w:ind w:firstLine="142"/>
        <w:jc w:val="both"/>
      </w:pPr>
    </w:p>
    <w:p w14:paraId="26790FD4" w14:textId="2D5EF3EA" w:rsidR="006D5394" w:rsidRPr="00C35B93" w:rsidRDefault="006D5394" w:rsidP="00C35B93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C35B93">
        <w:t>Durante o período de safra, foram selecionadas quatro colônias de abelhas para a coleta de pólen apícola. As coletas foram realizadas diariamente, de terça a sexta-feira, sempre no mesmo horário, com intervalos de 24 horas. Às segundas-feiras, às 11:00h, os coletores de pólen foram instalados nas colmeias e permaneceram até as sextas-feiras, às 11:00h, totalizando quatro coletas semanais ao longo dos meses secos do ano, considerados favoráveis à produção apícola. As produções diárias e mensais de pólen foram registradas e avaliadas ao longo do tempo.</w:t>
      </w:r>
    </w:p>
    <w:p w14:paraId="0D60F16A" w14:textId="77777777" w:rsidR="006D5394" w:rsidRPr="00C35B93" w:rsidRDefault="006D5394" w:rsidP="00C35B93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C35B93">
        <w:t>Cada amostra de pólen coletada foi acondicionada em recipiente individual, devidamente identificado, e armazenada sob congelamento para posterior processamento. O beneficiamento do pólen foi realizado de acordo com a metodologia descrita por Milfont, Freitas e Alves (2011), para pólen apícola desidratado.</w:t>
      </w:r>
    </w:p>
    <w:p w14:paraId="1596B8B8" w14:textId="6DBED385" w:rsidR="006D5394" w:rsidRPr="00C35B93" w:rsidRDefault="009E2D73" w:rsidP="00C35B93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C35B93">
        <w:t>P</w:t>
      </w:r>
      <w:r w:rsidR="006D5394" w:rsidRPr="00C35B93">
        <w:t xml:space="preserve">aralelamente, foram obtidos dados meteorológicos referentes à temperatura média do ar, umidade relativa, pluviosidade e insolação, provenientes da estação meteorológica localizada na próprio Centro de Ciências Agrárias, nos dias correspondentes às coletas. </w:t>
      </w:r>
    </w:p>
    <w:p w14:paraId="52392643" w14:textId="77777777" w:rsidR="006D5394" w:rsidRPr="00C35B93" w:rsidRDefault="006D5394" w:rsidP="00C35B93">
      <w:pPr>
        <w:pStyle w:val="NormalWeb"/>
        <w:spacing w:before="0" w:beforeAutospacing="0" w:after="0" w:afterAutospacing="0" w:line="360" w:lineRule="auto"/>
        <w:jc w:val="both"/>
      </w:pPr>
      <w:r w:rsidRPr="00C35B93">
        <w:t>Os dados referentes à produção e qualidade do pólen foram digitados em planilhas eletrônicas previamente elaboradas e, posteriormente, tabulados e processados para análise.</w:t>
      </w:r>
    </w:p>
    <w:p w14:paraId="757DB3C0" w14:textId="77777777" w:rsidR="006D5394" w:rsidRPr="00C35B93" w:rsidRDefault="006D5394" w:rsidP="00C35B93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C35B93">
        <w:t>As análises bromatológicas das amostras de pólen incluíram determinação do teor de matéria seca, fibra bruta, extrato etéreo, proteína bruta e pH. Essas análises foram conduzidas conforme a metodologia descrita por Silva e Queiroz (2002), visando à avaliação da qualidade nutricional do pólen apícola.</w:t>
      </w:r>
    </w:p>
    <w:p w14:paraId="7265BDAA" w14:textId="77777777" w:rsidR="006D5394" w:rsidRDefault="006D5394" w:rsidP="00C35B93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C35B93">
        <w:t>A análise estatística dos dados foi realizada após a etapa de tabulação, com o acompanhamento do pesquisador responsável. Durante o período experimental, foram elaborados relatórios técnicos conforme as exigências do Programa Institucional de Bolsas de</w:t>
      </w:r>
      <w:r>
        <w:t xml:space="preserve"> Iniciação Científica (PIBIC). Simultaneamente, foi realizada uma revisão bibliográfica contínua, com levantamento de artigos científicos, com o objetivo de embasar tecnicamente o estudo e promover o desenvolvimento do senso crítico. Além disso, foram preparados resumos para submissão em congressos científicos.</w:t>
      </w:r>
    </w:p>
    <w:p w14:paraId="13C53DE2" w14:textId="77777777" w:rsidR="00D7242B" w:rsidRDefault="00D7242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F258727" w14:textId="77777777" w:rsidR="00D7242B" w:rsidRPr="00E7518A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</w:p>
    <w:p w14:paraId="38C18B54" w14:textId="77777777" w:rsidR="005A7ED1" w:rsidRPr="00E7518A" w:rsidRDefault="005A7ED1" w:rsidP="005A7ED1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>A análise bromatológica do pólen ao longo dos meses, conforme dados expostos na Tabela 1, evidenciou que a matéria seca se manteve estável, variando entre 55,63% e 60,32%, sem diferença significativa (p&gt;0,05). Em contrapartida, a proteína bruta apresentou oscilações expressivas, com valores entre 19,22% e 35,36%, sendo o pico observado em março de 2025. A matéria mineral também mostrou diferenças significativas, oscilando de 2,65% a 4,76%. Já o extrato etéreo apresentou valores baixos e sem diferenças significativas, variando de 1,67% a 2,67%.</w:t>
      </w:r>
    </w:p>
    <w:p w14:paraId="5738C952" w14:textId="77777777" w:rsidR="005A7ED1" w:rsidRPr="00E7518A" w:rsidRDefault="005A7ED1" w:rsidP="005A7ED1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 xml:space="preserve">A estabilidade da matéria seca indica que o teor de umidade do pólen não sofreu alterações significativas no período, mantendo a qualidade do material. A variação nos teores de proteína bruta reflete a sazonalidade e a disponibilidade de espécies vegetais em floração, pois a composição nutricional do pólen depende diretamente da flora visitada pelas abelhas. </w:t>
      </w:r>
    </w:p>
    <w:p w14:paraId="64530574" w14:textId="67D7A744" w:rsidR="005A7ED1" w:rsidRDefault="005A7ED1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E7518A">
        <w:rPr>
          <w:rFonts w:ascii="Times New Roman" w:hAnsi="Times New Roman" w:cs="Times New Roman"/>
          <w:sz w:val="24"/>
          <w:szCs w:val="24"/>
        </w:rPr>
        <w:t>O mesmo ocorre com a matéria mineral, cuja variação pode estar associada tanto à diversidade botânica quanto às características do solo das plantas fornecedoras. Já o baixo teor de extrato etéreo, com ausência de diferenças significativas, reforça que o pólen não é uma fonte relevante de lipídios.</w:t>
      </w:r>
    </w:p>
    <w:p w14:paraId="62577593" w14:textId="77777777" w:rsidR="00E7518A" w:rsidRDefault="00E7518A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3980FBAF" w14:textId="77777777" w:rsidR="00E7518A" w:rsidRDefault="00E7518A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6983D060" w14:textId="77777777" w:rsidR="00E7518A" w:rsidRDefault="00E7518A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5CB20439" w14:textId="77777777" w:rsidR="00E7518A" w:rsidRDefault="00E7518A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24076395" w14:textId="77777777" w:rsidR="00E7518A" w:rsidRDefault="00E7518A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49297FAC" w14:textId="77777777" w:rsidR="00E7518A" w:rsidRDefault="00E7518A" w:rsidP="005A7ED1">
      <w:pPr>
        <w:spacing w:line="36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14:paraId="2069F0C0" w14:textId="77777777" w:rsidR="002C761C" w:rsidRPr="00E7518A" w:rsidRDefault="005A7ED1" w:rsidP="00E7518A">
      <w:pPr>
        <w:ind w:firstLine="502"/>
        <w:jc w:val="both"/>
        <w:rPr>
          <w:rFonts w:ascii="Times New Roman" w:hAnsi="Times New Roman" w:cs="Times New Roman"/>
        </w:rPr>
      </w:pPr>
      <w:r w:rsidRPr="00E7518A">
        <w:rPr>
          <w:rFonts w:ascii="Times New Roman" w:hAnsi="Times New Roman" w:cs="Times New Roman"/>
        </w:rPr>
        <w:t xml:space="preserve">Tabela 1. Valores referentes à percentual de matéria seca em estufa (105ºC), teores de proteína bruta, matéria mineral e extrato etéreo em função dos meses do ano, de amostras de pólen coletadas </w:t>
      </w:r>
      <w:r w:rsidRPr="00E7518A">
        <w:rPr>
          <w:rFonts w:ascii="Times New Roman" w:hAnsi="Times New Roman" w:cs="Times New Roman"/>
        </w:rPr>
        <w:lastRenderedPageBreak/>
        <w:t xml:space="preserve">por coletores de pólen em colmeias povoadas por </w:t>
      </w:r>
      <w:r w:rsidRPr="00E7518A">
        <w:rPr>
          <w:rFonts w:ascii="Times New Roman" w:hAnsi="Times New Roman" w:cs="Times New Roman"/>
          <w:i/>
        </w:rPr>
        <w:t xml:space="preserve">Apis </w:t>
      </w:r>
      <w:proofErr w:type="spellStart"/>
      <w:r w:rsidRPr="00E7518A">
        <w:rPr>
          <w:rFonts w:ascii="Times New Roman" w:hAnsi="Times New Roman" w:cs="Times New Roman"/>
          <w:i/>
        </w:rPr>
        <w:t>mellifera</w:t>
      </w:r>
      <w:proofErr w:type="spellEnd"/>
      <w:r w:rsidRPr="00E7518A">
        <w:rPr>
          <w:rFonts w:ascii="Times New Roman" w:hAnsi="Times New Roman" w:cs="Times New Roman"/>
        </w:rPr>
        <w:t>,</w:t>
      </w:r>
      <w:r w:rsidRPr="00E7518A">
        <w:rPr>
          <w:rFonts w:ascii="Times New Roman" w:hAnsi="Times New Roman" w:cs="Times New Roman"/>
          <w:i/>
        </w:rPr>
        <w:t xml:space="preserve"> </w:t>
      </w:r>
      <w:r w:rsidRPr="00E7518A">
        <w:rPr>
          <w:rFonts w:ascii="Times New Roman" w:hAnsi="Times New Roman" w:cs="Times New Roman"/>
        </w:rPr>
        <w:t>no Centro de Ciências Agrárias, CCA/UFNT, Município de Araguaína, TO, entre 2024 e 2025.</w:t>
      </w:r>
    </w:p>
    <w:p w14:paraId="41D4B10C" w14:textId="0BAD689B" w:rsidR="005A7ED1" w:rsidRPr="002C761C" w:rsidRDefault="005A7ED1" w:rsidP="002C761C">
      <w:pPr>
        <w:ind w:firstLine="502"/>
        <w:rPr>
          <w:b/>
          <w:bCs/>
          <w:lang w:eastAsia="zh-CN"/>
        </w:rPr>
      </w:pPr>
      <w:r w:rsidRPr="00996A3E">
        <w:fldChar w:fldCharType="begin"/>
      </w:r>
      <w:r w:rsidRPr="00996A3E">
        <w:instrText xml:space="preserve"> LINK Excel.Sheet.12 "C:\\Users\\UFNT\\Meu Drive (romulo.rizzardo@ufnt.edu.br)\\PIBIC-PIVIC\\2024\\Rianna\\EXTRATO ETEREO RIANNA.xlsx" "PLANILHA!L3C15:L15C19" \a \f 4 \h  \* MERGEFORMAT </w:instrText>
      </w:r>
      <w:r w:rsidRPr="00996A3E">
        <w:fldChar w:fldCharType="separate"/>
      </w:r>
    </w:p>
    <w:tbl>
      <w:tblPr>
        <w:tblW w:w="60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059"/>
        <w:gridCol w:w="1111"/>
        <w:gridCol w:w="1059"/>
        <w:gridCol w:w="1791"/>
      </w:tblGrid>
      <w:tr w:rsidR="005A7ED1" w:rsidRPr="00745669" w14:paraId="0A3AA3A0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8F214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45669">
              <w:rPr>
                <w:b/>
                <w:bCs/>
                <w:color w:val="000000"/>
              </w:rPr>
              <w:t>set/24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B9F23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45669">
              <w:rPr>
                <w:b/>
                <w:bCs/>
                <w:color w:val="000000"/>
              </w:rPr>
              <w:t>out/24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4F28F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45669">
              <w:rPr>
                <w:b/>
                <w:bCs/>
                <w:color w:val="000000"/>
              </w:rPr>
              <w:t>mar/25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A208D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proofErr w:type="spellStart"/>
            <w:r w:rsidRPr="00745669">
              <w:rPr>
                <w:b/>
                <w:bCs/>
                <w:color w:val="000000"/>
              </w:rPr>
              <w:t>abr</w:t>
            </w:r>
            <w:proofErr w:type="spellEnd"/>
            <w:r w:rsidRPr="00745669">
              <w:rPr>
                <w:b/>
                <w:bCs/>
                <w:color w:val="000000"/>
              </w:rPr>
              <w:t>/25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FC1CC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proofErr w:type="spellStart"/>
            <w:r w:rsidRPr="00745669">
              <w:rPr>
                <w:b/>
                <w:bCs/>
                <w:color w:val="000000"/>
              </w:rPr>
              <w:t>mai</w:t>
            </w:r>
            <w:proofErr w:type="spellEnd"/>
            <w:r w:rsidRPr="00745669">
              <w:rPr>
                <w:b/>
                <w:bCs/>
                <w:color w:val="000000"/>
              </w:rPr>
              <w:t>/25</w:t>
            </w:r>
          </w:p>
        </w:tc>
      </w:tr>
      <w:tr w:rsidR="005A7ED1" w:rsidRPr="00745669" w14:paraId="5B1DBBBE" w14:textId="77777777" w:rsidTr="006D70CF">
        <w:trPr>
          <w:trHeight w:val="186"/>
          <w:jc w:val="center"/>
        </w:trPr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3F5EA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45669">
              <w:rPr>
                <w:b/>
                <w:bCs/>
                <w:color w:val="000000"/>
              </w:rPr>
              <w:t>Matéria Seca (%)</w:t>
            </w:r>
          </w:p>
        </w:tc>
      </w:tr>
      <w:tr w:rsidR="005A7ED1" w:rsidRPr="00745669" w14:paraId="2B127D47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4889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59,86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6173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58,53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3CAA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59,11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0EF7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60,32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DEF8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55,63</w:t>
            </w:r>
          </w:p>
        </w:tc>
      </w:tr>
      <w:tr w:rsidR="005A7ED1" w:rsidRPr="00745669" w14:paraId="2753E5B1" w14:textId="77777777" w:rsidTr="006D70CF">
        <w:trPr>
          <w:trHeight w:val="111"/>
          <w:jc w:val="center"/>
        </w:trPr>
        <w:tc>
          <w:tcPr>
            <w:tcW w:w="6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CD492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n/s (p&gt;0,05)</w:t>
            </w:r>
          </w:p>
        </w:tc>
      </w:tr>
      <w:tr w:rsidR="005A7ED1" w:rsidRPr="00745669" w14:paraId="021370EC" w14:textId="77777777" w:rsidTr="006D70CF">
        <w:trPr>
          <w:trHeight w:val="111"/>
          <w:jc w:val="center"/>
        </w:trPr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F8C7E" w14:textId="77777777" w:rsidR="005A7ED1" w:rsidRPr="00996A3E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</w:p>
          <w:p w14:paraId="7BDDABC4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45669">
              <w:rPr>
                <w:b/>
                <w:bCs/>
                <w:color w:val="000000"/>
              </w:rPr>
              <w:t>Proteína (%)</w:t>
            </w:r>
          </w:p>
        </w:tc>
      </w:tr>
      <w:tr w:rsidR="005A7ED1" w:rsidRPr="00745669" w14:paraId="74CA35C1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C4CF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19,22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E0016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21,90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1007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35,36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B3AF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28,37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23EE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33,93</w:t>
            </w:r>
          </w:p>
        </w:tc>
      </w:tr>
      <w:tr w:rsidR="005A7ED1" w:rsidRPr="00745669" w14:paraId="7AC2D755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1438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c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596C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proofErr w:type="spellStart"/>
            <w:r w:rsidRPr="00745669">
              <w:rPr>
                <w:color w:val="000000"/>
              </w:rPr>
              <w:t>bc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5D1A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a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7242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abc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1036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proofErr w:type="spellStart"/>
            <w:r w:rsidRPr="00745669">
              <w:rPr>
                <w:color w:val="000000"/>
              </w:rPr>
              <w:t>ab</w:t>
            </w:r>
            <w:proofErr w:type="spellEnd"/>
          </w:p>
        </w:tc>
      </w:tr>
      <w:tr w:rsidR="005A7ED1" w:rsidRPr="00745669" w14:paraId="03E22FDC" w14:textId="77777777" w:rsidTr="006D70CF">
        <w:trPr>
          <w:trHeight w:val="111"/>
          <w:jc w:val="center"/>
        </w:trPr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BD17D" w14:textId="77777777" w:rsidR="005A7ED1" w:rsidRPr="00996A3E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</w:p>
          <w:p w14:paraId="69307AC1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745669">
              <w:rPr>
                <w:b/>
                <w:bCs/>
                <w:color w:val="000000"/>
              </w:rPr>
              <w:t>Matéria Mineral (%)</w:t>
            </w:r>
          </w:p>
        </w:tc>
      </w:tr>
      <w:tr w:rsidR="005A7ED1" w:rsidRPr="00745669" w14:paraId="00FD105A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B40F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2,65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7292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3,42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440C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4,76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9679C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3,79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B10C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4,10</w:t>
            </w:r>
          </w:p>
        </w:tc>
      </w:tr>
      <w:tr w:rsidR="005A7ED1" w:rsidRPr="00745669" w14:paraId="3F8C8061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EAE5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a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0E62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proofErr w:type="spellStart"/>
            <w:r w:rsidRPr="00745669">
              <w:rPr>
                <w:color w:val="000000"/>
              </w:rPr>
              <w:t>ab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BDF9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b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DF10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proofErr w:type="spellStart"/>
            <w:r w:rsidRPr="00745669">
              <w:rPr>
                <w:color w:val="000000"/>
              </w:rPr>
              <w:t>ab</w:t>
            </w:r>
            <w:proofErr w:type="spellEnd"/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27FA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proofErr w:type="spellStart"/>
            <w:r w:rsidRPr="00745669">
              <w:rPr>
                <w:color w:val="000000"/>
              </w:rPr>
              <w:t>ab</w:t>
            </w:r>
            <w:proofErr w:type="spellEnd"/>
          </w:p>
        </w:tc>
      </w:tr>
      <w:tr w:rsidR="005A7ED1" w:rsidRPr="00745669" w14:paraId="59273E75" w14:textId="77777777" w:rsidTr="006D70CF">
        <w:trPr>
          <w:trHeight w:val="111"/>
          <w:jc w:val="center"/>
        </w:trPr>
        <w:tc>
          <w:tcPr>
            <w:tcW w:w="6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25EC12" w14:textId="77777777" w:rsidR="005A7ED1" w:rsidRPr="00996A3E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</w:p>
          <w:p w14:paraId="25DE386C" w14:textId="77777777" w:rsidR="005A7ED1" w:rsidRPr="00745669" w:rsidRDefault="005A7ED1" w:rsidP="00E7518A">
            <w:pPr>
              <w:spacing w:after="60"/>
              <w:jc w:val="center"/>
              <w:rPr>
                <w:b/>
                <w:bCs/>
                <w:color w:val="000000"/>
              </w:rPr>
            </w:pPr>
            <w:proofErr w:type="spellStart"/>
            <w:r w:rsidRPr="00745669">
              <w:rPr>
                <w:b/>
                <w:bCs/>
                <w:color w:val="000000"/>
              </w:rPr>
              <w:t>Extarto</w:t>
            </w:r>
            <w:proofErr w:type="spellEnd"/>
            <w:r w:rsidRPr="00745669">
              <w:rPr>
                <w:b/>
                <w:bCs/>
                <w:color w:val="000000"/>
              </w:rPr>
              <w:t xml:space="preserve"> Etéreo (%)</w:t>
            </w:r>
          </w:p>
        </w:tc>
      </w:tr>
      <w:tr w:rsidR="005A7ED1" w:rsidRPr="00745669" w14:paraId="52F72BBE" w14:textId="77777777" w:rsidTr="006D70CF">
        <w:trPr>
          <w:trHeight w:val="111"/>
          <w:jc w:val="center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E352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2,55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B24E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2,30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3B4B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2,20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87BC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2,67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08D1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1,67</w:t>
            </w:r>
          </w:p>
        </w:tc>
      </w:tr>
      <w:tr w:rsidR="005A7ED1" w:rsidRPr="00745669" w14:paraId="4EAE02A6" w14:textId="77777777" w:rsidTr="006D70CF">
        <w:trPr>
          <w:trHeight w:val="100"/>
          <w:jc w:val="center"/>
        </w:trPr>
        <w:tc>
          <w:tcPr>
            <w:tcW w:w="6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5EE90" w14:textId="77777777" w:rsidR="005A7ED1" w:rsidRPr="00745669" w:rsidRDefault="005A7ED1" w:rsidP="00E7518A">
            <w:pPr>
              <w:spacing w:after="60"/>
              <w:jc w:val="center"/>
              <w:rPr>
                <w:color w:val="000000"/>
              </w:rPr>
            </w:pPr>
            <w:r w:rsidRPr="00745669">
              <w:rPr>
                <w:color w:val="000000"/>
              </w:rPr>
              <w:t>n/s (p&gt;0,05)</w:t>
            </w:r>
          </w:p>
        </w:tc>
      </w:tr>
    </w:tbl>
    <w:p w14:paraId="34D67EAC" w14:textId="370B42C9" w:rsidR="005A7ED1" w:rsidRPr="002C761C" w:rsidRDefault="005A7ED1" w:rsidP="002C761C">
      <w:pPr>
        <w:pStyle w:val="PargrafodaLista"/>
        <w:ind w:left="502"/>
      </w:pPr>
      <w:r w:rsidRPr="00996A3E">
        <w:fldChar w:fldCharType="end"/>
      </w:r>
    </w:p>
    <w:p w14:paraId="7E44472F" w14:textId="77777777" w:rsidR="00D7242B" w:rsidRDefault="00D7242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00987E18" w14:textId="77777777" w:rsidR="00E7518A" w:rsidRDefault="00E7518A" w:rsidP="00E7518A">
      <w:pPr>
        <w:spacing w:after="0" w:line="360" w:lineRule="auto"/>
        <w:ind w:left="502"/>
        <w:jc w:val="both"/>
        <w:rPr>
          <w:rFonts w:ascii="Arial" w:eastAsia="Arial" w:hAnsi="Arial" w:cs="Arial"/>
          <w:b/>
          <w:sz w:val="24"/>
          <w:szCs w:val="24"/>
        </w:rPr>
      </w:pPr>
    </w:p>
    <w:p w14:paraId="526103CD" w14:textId="0D333582" w:rsidR="006D70CF" w:rsidRDefault="00000000" w:rsidP="006D70CF">
      <w:pPr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CONCLUSÃO/CONSIDERAÇÕES FINAIS</w:t>
      </w:r>
    </w:p>
    <w:p w14:paraId="3F82EED4" w14:textId="2439A44E" w:rsidR="006D70CF" w:rsidRPr="00E7518A" w:rsidRDefault="006D70CF" w:rsidP="006D70CF">
      <w:pPr>
        <w:spacing w:after="0" w:line="360" w:lineRule="auto"/>
        <w:ind w:left="142" w:firstLine="360"/>
        <w:jc w:val="both"/>
        <w:rPr>
          <w:rFonts w:ascii="Times New Roman" w:eastAsia="Arial" w:hAnsi="Times New Roman" w:cs="Times New Roman"/>
          <w:b/>
          <w:sz w:val="28"/>
          <w:szCs w:val="28"/>
        </w:rPr>
      </w:pPr>
      <w:r w:rsidRPr="00E7518A">
        <w:rPr>
          <w:rFonts w:ascii="Times New Roman" w:hAnsi="Times New Roman" w:cs="Times New Roman"/>
          <w:sz w:val="24"/>
          <w:szCs w:val="24"/>
        </w:rPr>
        <w:t>O pólen apresentou qualidade nutricional, com destaque para o alto teor de proteína em determinados períodos, especialmente em março de 2025. As oscilações observadas refletem a influência da flora e da sazonalidade, evidenciando a importância de considerar a época do ano tanto no manejo apícola quanto na caracterização nutricional do pólen.</w:t>
      </w:r>
    </w:p>
    <w:p w14:paraId="1D112471" w14:textId="77777777" w:rsidR="006D70CF" w:rsidRPr="00745669" w:rsidRDefault="006D70CF" w:rsidP="006D70CF">
      <w:pPr>
        <w:ind w:left="142"/>
        <w:jc w:val="both"/>
      </w:pPr>
    </w:p>
    <w:p w14:paraId="593E7FFA" w14:textId="77777777" w:rsidR="00D7242B" w:rsidRDefault="00D7242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C06C64" w14:textId="1371DF70" w:rsidR="00D7242B" w:rsidRDefault="00D7242B">
      <w:pPr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6A0B189C" w14:textId="77777777" w:rsidR="00D7242B" w:rsidRDefault="00D7242B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14A621" w14:textId="77777777" w:rsidR="00452109" w:rsidRPr="00E7518A" w:rsidRDefault="00000000" w:rsidP="00452109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6DE6FEEE" w14:textId="49273B24" w:rsidR="00452109" w:rsidRPr="00E7518A" w:rsidRDefault="00452109" w:rsidP="00452109">
      <w:pPr>
        <w:spacing w:after="0" w:line="360" w:lineRule="auto"/>
        <w:ind w:left="14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E7518A">
        <w:rPr>
          <w:rStyle w:val="Forte"/>
          <w:rFonts w:ascii="Times New Roman" w:hAnsi="Times New Roman" w:cs="Times New Roman"/>
        </w:rPr>
        <w:t>MILFONT, M. O.; FREITAS, B. M.; ALVES, J. E.</w:t>
      </w:r>
      <w:r w:rsidRPr="00E7518A">
        <w:rPr>
          <w:rFonts w:ascii="Times New Roman" w:hAnsi="Times New Roman" w:cs="Times New Roman"/>
        </w:rPr>
        <w:t xml:space="preserve"> </w:t>
      </w:r>
      <w:r w:rsidRPr="00E7518A">
        <w:rPr>
          <w:rStyle w:val="nfase"/>
          <w:rFonts w:ascii="Times New Roman" w:hAnsi="Times New Roman" w:cs="Times New Roman"/>
        </w:rPr>
        <w:t>Pólen apícola: manejo para a produção e comercialização.</w:t>
      </w:r>
      <w:r w:rsidRPr="00E7518A">
        <w:rPr>
          <w:rFonts w:ascii="Times New Roman" w:hAnsi="Times New Roman" w:cs="Times New Roman"/>
        </w:rPr>
        <w:t xml:space="preserve"> 2011.</w:t>
      </w:r>
    </w:p>
    <w:p w14:paraId="51CEE6B2" w14:textId="77777777" w:rsidR="00452109" w:rsidRPr="00E7518A" w:rsidRDefault="00452109" w:rsidP="00452109">
      <w:pPr>
        <w:pStyle w:val="NormalWeb"/>
      </w:pPr>
      <w:r w:rsidRPr="00E7518A">
        <w:rPr>
          <w:rStyle w:val="Forte"/>
        </w:rPr>
        <w:t>SILVA, D. J.; QUEIROZ, A. C.</w:t>
      </w:r>
      <w:r w:rsidRPr="00E7518A">
        <w:t xml:space="preserve"> </w:t>
      </w:r>
      <w:r w:rsidRPr="00E7518A">
        <w:rPr>
          <w:rStyle w:val="nfase"/>
        </w:rPr>
        <w:t>Análise de alimentos: métodos químicos e biológicos.</w:t>
      </w:r>
      <w:r w:rsidRPr="00E7518A">
        <w:t xml:space="preserve"> 3. ed. Viçosa: Imprensa Universitária da UFV, 2002. 235 p.</w:t>
      </w:r>
    </w:p>
    <w:p w14:paraId="7E35A6D4" w14:textId="4F2ABD64" w:rsidR="00D7242B" w:rsidRPr="00E7518A" w:rsidRDefault="00452109" w:rsidP="00DD763A">
      <w:pPr>
        <w:pStyle w:val="NormalWeb"/>
      </w:pPr>
      <w:r w:rsidRPr="00E7518A">
        <w:rPr>
          <w:rStyle w:val="Forte"/>
        </w:rPr>
        <w:t>IBGE; INSTITUTO BRASILEIRO DE GEOGRAFIA E ESTATÍSTICA.</w:t>
      </w:r>
      <w:r w:rsidRPr="00E7518A">
        <w:t xml:space="preserve"> </w:t>
      </w:r>
      <w:r w:rsidRPr="00E7518A">
        <w:rPr>
          <w:rStyle w:val="nfase"/>
        </w:rPr>
        <w:t>Produção da pecuária municipal.</w:t>
      </w:r>
      <w:r w:rsidRPr="00E7518A">
        <w:t xml:space="preserve"> Disponível em: </w:t>
      </w:r>
      <w:hyperlink r:id="rId7" w:tgtFrame="_new" w:history="1">
        <w:r w:rsidRPr="00E7518A">
          <w:rPr>
            <w:rStyle w:val="Hyperlink"/>
          </w:rPr>
          <w:t>https://sidra.ibge.gov.br/Busca?q=mel</w:t>
        </w:r>
      </w:hyperlink>
      <w:r w:rsidRPr="00E7518A">
        <w:t>. Acesso em: 5 jul. 2022.</w:t>
      </w:r>
    </w:p>
    <w:p w14:paraId="6B4E1D8E" w14:textId="77777777" w:rsidR="00D7242B" w:rsidRPr="00E7518A" w:rsidRDefault="00000000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  <w:u w:val="single"/>
        </w:rPr>
        <w:t>TRABALHO PUBLICADO EM EVENTO</w:t>
      </w:r>
    </w:p>
    <w:p w14:paraId="49F28C37" w14:textId="77777777" w:rsidR="0085599E" w:rsidRPr="00E7518A" w:rsidRDefault="0085599E" w:rsidP="00A14AF5">
      <w:pPr>
        <w:spacing w:after="0" w:line="240" w:lineRule="auto"/>
        <w:ind w:firstLine="142"/>
        <w:rPr>
          <w:rStyle w:val="Forte"/>
          <w:rFonts w:ascii="Times New Roman" w:hAnsi="Times New Roman" w:cs="Times New Roman"/>
        </w:rPr>
      </w:pPr>
    </w:p>
    <w:p w14:paraId="1B11F0B4" w14:textId="59270B8A" w:rsidR="00D7242B" w:rsidRPr="00E7518A" w:rsidRDefault="00A14AF5" w:rsidP="0085599E">
      <w:pPr>
        <w:spacing w:after="0" w:line="240" w:lineRule="auto"/>
        <w:ind w:firstLine="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7518A">
        <w:rPr>
          <w:rStyle w:val="Forte"/>
          <w:rFonts w:ascii="Times New Roman" w:hAnsi="Times New Roman" w:cs="Times New Roman"/>
        </w:rPr>
        <w:t xml:space="preserve">ROSÁRIO, </w:t>
      </w:r>
      <w:proofErr w:type="spellStart"/>
      <w:r w:rsidRPr="00E7518A">
        <w:rPr>
          <w:rStyle w:val="Forte"/>
          <w:rFonts w:ascii="Times New Roman" w:hAnsi="Times New Roman" w:cs="Times New Roman"/>
        </w:rPr>
        <w:t>Rianna</w:t>
      </w:r>
      <w:proofErr w:type="spellEnd"/>
      <w:r w:rsidRPr="00E7518A">
        <w:rPr>
          <w:rStyle w:val="Forte"/>
          <w:rFonts w:ascii="Times New Roman" w:hAnsi="Times New Roman" w:cs="Times New Roman"/>
        </w:rPr>
        <w:t xml:space="preserve"> Bueno; LEITE, Yasmine Alexandre Silva; MILHOMEM, Pedro </w:t>
      </w:r>
      <w:proofErr w:type="spellStart"/>
      <w:r w:rsidRPr="00E7518A">
        <w:rPr>
          <w:rStyle w:val="Forte"/>
          <w:rFonts w:ascii="Times New Roman" w:hAnsi="Times New Roman" w:cs="Times New Roman"/>
        </w:rPr>
        <w:t>Hysgo</w:t>
      </w:r>
      <w:proofErr w:type="spellEnd"/>
      <w:r w:rsidRPr="00E7518A">
        <w:rPr>
          <w:rStyle w:val="Forte"/>
          <w:rFonts w:ascii="Times New Roman" w:hAnsi="Times New Roman" w:cs="Times New Roman"/>
        </w:rPr>
        <w:t xml:space="preserve"> da Silva; RIZZARDO, Rômulo Augusto Guedes.</w:t>
      </w:r>
      <w:r w:rsidRPr="00E7518A">
        <w:rPr>
          <w:rFonts w:ascii="Times New Roman" w:hAnsi="Times New Roman" w:cs="Times New Roman"/>
        </w:rPr>
        <w:t xml:space="preserve"> </w:t>
      </w:r>
      <w:r w:rsidRPr="00E7518A">
        <w:rPr>
          <w:rStyle w:val="nfase"/>
          <w:rFonts w:ascii="Times New Roman" w:hAnsi="Times New Roman" w:cs="Times New Roman"/>
        </w:rPr>
        <w:t>Avaliação da capacidade de termorregulação em abelhas sem ferrão.</w:t>
      </w:r>
      <w:r w:rsidRPr="00E7518A">
        <w:rPr>
          <w:rFonts w:ascii="Times New Roman" w:hAnsi="Times New Roman" w:cs="Times New Roman"/>
        </w:rPr>
        <w:t xml:space="preserve"> In: </w:t>
      </w:r>
      <w:r w:rsidRPr="00E7518A">
        <w:rPr>
          <w:rStyle w:val="Forte"/>
          <w:rFonts w:ascii="Times New Roman" w:hAnsi="Times New Roman" w:cs="Times New Roman"/>
        </w:rPr>
        <w:t>CONGRESSO NORDESTINO DE PRODUÇÃO ANIMAL</w:t>
      </w:r>
      <w:r w:rsidRPr="00E7518A">
        <w:rPr>
          <w:rFonts w:ascii="Times New Roman" w:hAnsi="Times New Roman" w:cs="Times New Roman"/>
        </w:rPr>
        <w:t xml:space="preserve">, 18., 2024, Aracaju, SE. </w:t>
      </w:r>
      <w:r w:rsidRPr="00E7518A">
        <w:rPr>
          <w:rStyle w:val="nfase"/>
          <w:rFonts w:ascii="Times New Roman" w:hAnsi="Times New Roman" w:cs="Times New Roman"/>
        </w:rPr>
        <w:t>Anais [...].</w:t>
      </w:r>
      <w:r w:rsidRPr="00E7518A">
        <w:rPr>
          <w:rFonts w:ascii="Times New Roman" w:hAnsi="Times New Roman" w:cs="Times New Roman"/>
        </w:rPr>
        <w:t xml:space="preserve"> Aracaju, SE: [Editora do evento], 2024.</w:t>
      </w:r>
    </w:p>
    <w:p w14:paraId="1A4BE171" w14:textId="77777777" w:rsidR="00D7242B" w:rsidRDefault="00D7242B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77678382" w14:textId="77777777" w:rsidR="00E7518A" w:rsidRPr="00E7518A" w:rsidRDefault="00E7518A">
      <w:pPr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</w:rPr>
      </w:pPr>
    </w:p>
    <w:p w14:paraId="6C145A6E" w14:textId="77777777" w:rsidR="00D7242B" w:rsidRDefault="00000000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E7518A">
        <w:rPr>
          <w:rFonts w:ascii="Times New Roman" w:eastAsia="Arial" w:hAnsi="Times New Roman" w:cs="Times New Roman"/>
          <w:b/>
          <w:sz w:val="24"/>
          <w:szCs w:val="24"/>
        </w:rPr>
        <w:t>AGRADECIMENTOS</w:t>
      </w:r>
    </w:p>
    <w:p w14:paraId="3156D5A4" w14:textId="77777777" w:rsidR="00E7518A" w:rsidRPr="00E7518A" w:rsidRDefault="00E7518A" w:rsidP="00E7518A">
      <w:pPr>
        <w:spacing w:after="0" w:line="240" w:lineRule="auto"/>
        <w:ind w:left="502"/>
        <w:rPr>
          <w:rFonts w:ascii="Times New Roman" w:eastAsia="Arial" w:hAnsi="Times New Roman" w:cs="Times New Roman"/>
          <w:b/>
          <w:sz w:val="24"/>
          <w:szCs w:val="24"/>
        </w:rPr>
      </w:pPr>
    </w:p>
    <w:p w14:paraId="629063C0" w14:textId="6291C4AE" w:rsidR="00D7242B" w:rsidRPr="00E7518A" w:rsidRDefault="00E7518A" w:rsidP="004A0171">
      <w:pPr>
        <w:spacing w:after="0" w:line="240" w:lineRule="auto"/>
        <w:ind w:firstLine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Os autores a</w:t>
      </w:r>
      <w:r w:rsidR="004A0171" w:rsidRPr="00E7518A">
        <w:rPr>
          <w:rFonts w:ascii="Times New Roman" w:hAnsi="Times New Roman" w:cs="Times New Roman"/>
        </w:rPr>
        <w:t>grade</w:t>
      </w:r>
      <w:r>
        <w:rPr>
          <w:rFonts w:ascii="Times New Roman" w:hAnsi="Times New Roman" w:cs="Times New Roman"/>
        </w:rPr>
        <w:t>cem</w:t>
      </w:r>
      <w:r w:rsidR="004A0171" w:rsidRPr="00E7518A">
        <w:rPr>
          <w:rFonts w:ascii="Times New Roman" w:hAnsi="Times New Roman" w:cs="Times New Roman"/>
        </w:rPr>
        <w:t xml:space="preserve"> à </w:t>
      </w:r>
      <w:r w:rsidR="004A0171" w:rsidRPr="00E7518A">
        <w:rPr>
          <w:rStyle w:val="Forte"/>
          <w:rFonts w:ascii="Times New Roman" w:hAnsi="Times New Roman" w:cs="Times New Roman"/>
        </w:rPr>
        <w:t>Fundação de Amparo à Pesquisa do Tocantins (FAPT)</w:t>
      </w:r>
      <w:r w:rsidR="004A0171" w:rsidRPr="00E7518A">
        <w:rPr>
          <w:rFonts w:ascii="Times New Roman" w:hAnsi="Times New Roman" w:cs="Times New Roman"/>
        </w:rPr>
        <w:t xml:space="preserve"> pelo apoio e incentivo à realização deste trabalho, e ao </w:t>
      </w:r>
      <w:r w:rsidR="004A0171" w:rsidRPr="00E7518A">
        <w:rPr>
          <w:rStyle w:val="Forte"/>
          <w:rFonts w:ascii="Times New Roman" w:hAnsi="Times New Roman" w:cs="Times New Roman"/>
        </w:rPr>
        <w:t>Grupo de Estudos em Abelhas do Tocantins</w:t>
      </w:r>
      <w:r w:rsidR="004A0171" w:rsidRPr="00E7518A">
        <w:rPr>
          <w:rFonts w:ascii="Times New Roman" w:hAnsi="Times New Roman" w:cs="Times New Roman"/>
        </w:rPr>
        <w:t>, pelo suporte técnico, parceria e aprendizado durante toda a pesquisa.</w:t>
      </w:r>
    </w:p>
    <w:sectPr w:rsidR="00D7242B" w:rsidRPr="00E75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B0D5" w14:textId="77777777" w:rsidR="00770C9F" w:rsidRDefault="00770C9F">
      <w:pPr>
        <w:spacing w:after="0" w:line="240" w:lineRule="auto"/>
      </w:pPr>
      <w:r>
        <w:separator/>
      </w:r>
    </w:p>
  </w:endnote>
  <w:endnote w:type="continuationSeparator" w:id="0">
    <w:p w14:paraId="651BA81A" w14:textId="77777777" w:rsidR="00770C9F" w:rsidRDefault="0077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B463" w14:textId="77777777" w:rsidR="00D7242B" w:rsidRDefault="00D7242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95510" w14:textId="77777777" w:rsidR="00D7242B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722FB0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C7F0" w14:textId="77777777" w:rsidR="00D7242B" w:rsidRDefault="00000000">
    <w:pPr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EAD6A" w14:textId="77777777" w:rsidR="00770C9F" w:rsidRDefault="00770C9F">
      <w:pPr>
        <w:spacing w:after="0" w:line="240" w:lineRule="auto"/>
      </w:pPr>
      <w:r>
        <w:separator/>
      </w:r>
    </w:p>
  </w:footnote>
  <w:footnote w:type="continuationSeparator" w:id="0">
    <w:p w14:paraId="455D08CD" w14:textId="77777777" w:rsidR="00770C9F" w:rsidRDefault="00770C9F">
      <w:pPr>
        <w:spacing w:after="0" w:line="240" w:lineRule="auto"/>
      </w:pPr>
      <w:r>
        <w:continuationSeparator/>
      </w:r>
    </w:p>
  </w:footnote>
  <w:footnote w:id="1">
    <w:p w14:paraId="5A04A3BE" w14:textId="77777777" w:rsidR="00D7242B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Bolsista do Programa de Iniciação Científica (PIBIC/PIBITI). Universidade Federal do Norte do Tocantins (UFNT), Centro de XXXX. e-mail. </w:t>
      </w:r>
    </w:p>
  </w:footnote>
  <w:footnote w:id="2">
    <w:p w14:paraId="7F0A8DFB" w14:textId="77777777" w:rsidR="00D7242B" w:rsidRDefault="00000000">
      <w:pPr>
        <w:spacing w:after="0" w:line="240" w:lineRule="auto"/>
        <w:ind w:left="142" w:hanging="14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Voluntário do Programa de Iniciação Científica (PIVIC). Universidade Federal do Norte do Tocantins (UFNT), Centro de XXXX. e-mail. </w:t>
      </w:r>
    </w:p>
  </w:footnote>
  <w:footnote w:id="3">
    <w:p w14:paraId="52F5CDD8" w14:textId="77777777" w:rsidR="00D7242B" w:rsidRDefault="00000000">
      <w:pPr>
        <w:spacing w:after="0" w:line="240" w:lineRule="auto"/>
        <w:ind w:left="142" w:hanging="14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Professora Doutora da Faculdade de Nutrição, Universidade Federal de Goiás (UFG), coordenadora do projeto de extensão. sousa@hotmail.com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9FBB" w14:textId="77777777" w:rsidR="00D7242B" w:rsidRDefault="00D7242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9E41" w14:textId="77777777" w:rsidR="00D7242B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793D1D75" wp14:editId="38A010C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010FAA" w14:textId="77777777" w:rsidR="00D7242B" w:rsidRDefault="00D724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6E2F" w14:textId="77777777" w:rsidR="00D7242B" w:rsidRDefault="00000000">
    <w:r>
      <w:rPr>
        <w:noProof/>
      </w:rPr>
      <w:drawing>
        <wp:anchor distT="0" distB="0" distL="0" distR="0" simplePos="0" relativeHeight="251659264" behindDoc="0" locked="0" layoutInCell="1" hidden="0" allowOverlap="1" wp14:anchorId="6FB1A00D" wp14:editId="0C55FE2C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870575" cy="191960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0575" cy="1919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1FC82F" w14:textId="77777777" w:rsidR="00D7242B" w:rsidRDefault="00D724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33D8"/>
    <w:multiLevelType w:val="multilevel"/>
    <w:tmpl w:val="62E698D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16F2C02"/>
    <w:multiLevelType w:val="multilevel"/>
    <w:tmpl w:val="06E0FA9A"/>
    <w:lvl w:ilvl="0">
      <w:start w:val="1"/>
      <w:numFmt w:val="upperRoman"/>
      <w:lvlText w:val="%1."/>
      <w:lvlJc w:val="right"/>
      <w:pPr>
        <w:ind w:left="50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736856986">
    <w:abstractNumId w:val="0"/>
  </w:num>
  <w:num w:numId="2" w16cid:durableId="450437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242B"/>
    <w:rsid w:val="002C761C"/>
    <w:rsid w:val="003145D0"/>
    <w:rsid w:val="00452109"/>
    <w:rsid w:val="004A0171"/>
    <w:rsid w:val="005A7ED1"/>
    <w:rsid w:val="005E02E2"/>
    <w:rsid w:val="006D5394"/>
    <w:rsid w:val="006D70CF"/>
    <w:rsid w:val="00722FB0"/>
    <w:rsid w:val="00756571"/>
    <w:rsid w:val="00770C9F"/>
    <w:rsid w:val="00850716"/>
    <w:rsid w:val="0085599E"/>
    <w:rsid w:val="0086155F"/>
    <w:rsid w:val="00933946"/>
    <w:rsid w:val="009C706A"/>
    <w:rsid w:val="009E2D73"/>
    <w:rsid w:val="00A14AF5"/>
    <w:rsid w:val="00A31FAD"/>
    <w:rsid w:val="00AB6F7E"/>
    <w:rsid w:val="00C35B93"/>
    <w:rsid w:val="00D26BFC"/>
    <w:rsid w:val="00D7242B"/>
    <w:rsid w:val="00DD763A"/>
    <w:rsid w:val="00E415BF"/>
    <w:rsid w:val="00E5219D"/>
    <w:rsid w:val="00E7518A"/>
    <w:rsid w:val="00F0586D"/>
    <w:rsid w:val="00F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678A7"/>
  <w15:docId w15:val="{10D465C8-A0AE-43E5-B789-FC8BFE0E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33946"/>
    <w:pPr>
      <w:spacing w:after="200" w:line="276" w:lineRule="auto"/>
      <w:ind w:left="720"/>
      <w:contextualSpacing/>
    </w:pPr>
    <w:rPr>
      <w:lang w:eastAsia="zh-CN"/>
    </w:rPr>
  </w:style>
  <w:style w:type="paragraph" w:styleId="NormalWeb">
    <w:name w:val="Normal (Web)"/>
    <w:basedOn w:val="Normal"/>
    <w:uiPriority w:val="99"/>
    <w:unhideWhenUsed/>
    <w:rsid w:val="006D5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52109"/>
    <w:rPr>
      <w:b/>
      <w:bCs/>
    </w:rPr>
  </w:style>
  <w:style w:type="character" w:styleId="nfase">
    <w:name w:val="Emphasis"/>
    <w:basedOn w:val="Fontepargpadro"/>
    <w:uiPriority w:val="20"/>
    <w:qFormat/>
    <w:rsid w:val="00452109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521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dra.ibge.gov.br/Busca?q=me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1718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Rianna Bueno</dc:creator>
  <cp:keywords/>
  <dc:description/>
  <cp:lastModifiedBy>Rômulo Rizzardo</cp:lastModifiedBy>
  <cp:revision>6</cp:revision>
  <dcterms:created xsi:type="dcterms:W3CDTF">2025-10-10T11:30:00Z</dcterms:created>
  <dcterms:modified xsi:type="dcterms:W3CDTF">2025-10-10T17:50:00Z</dcterms:modified>
</cp:coreProperties>
</file>