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2435" w14:textId="77777777" w:rsidR="00C82079" w:rsidRDefault="00C82079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76566B" w14:textId="6F21B070" w:rsidR="00981A3D" w:rsidRPr="00197666" w:rsidRDefault="008F3944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SORO</w:t>
      </w:r>
      <w:r w:rsidR="007F7CC5">
        <w:rPr>
          <w:rFonts w:ascii="Times New Roman" w:hAnsi="Times New Roman" w:cs="Times New Roman"/>
          <w:b/>
          <w:bCs/>
          <w:sz w:val="24"/>
          <w:szCs w:val="24"/>
        </w:rPr>
        <w:t xml:space="preserve">PREVALÊNCIA DE </w:t>
      </w:r>
      <w:r w:rsidR="00ED1ED8" w:rsidRPr="00ED1ED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Toxoplasma </w:t>
      </w:r>
      <w:proofErr w:type="spellStart"/>
      <w:r w:rsidR="00ED1ED8" w:rsidRPr="00ED1ED8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gondii</w:t>
      </w:r>
      <w:proofErr w:type="spellEnd"/>
      <w:r w:rsidR="007F7CC5">
        <w:rPr>
          <w:rFonts w:ascii="Times New Roman" w:hAnsi="Times New Roman" w:cs="Times New Roman"/>
          <w:b/>
          <w:bCs/>
          <w:sz w:val="24"/>
          <w:szCs w:val="24"/>
        </w:rPr>
        <w:t xml:space="preserve"> EM DOADORES DE SANGUE DO HEMONÚCLEO DE SOUSA, NO SEMIÁRIDO DA PARAÍBA</w:t>
      </w:r>
    </w:p>
    <w:p w14:paraId="395D3B12" w14:textId="03EFBE78" w:rsidR="00C4304D" w:rsidRPr="00D67845" w:rsidRDefault="00ED1ED8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Basílio Felizardo de </w:t>
      </w:r>
      <w:r w:rsidRPr="0017489F">
        <w:rPr>
          <w:rFonts w:ascii="Times New Roman" w:hAnsi="Times New Roman" w:cs="Times New Roman"/>
          <w:b/>
          <w:bCs/>
          <w:sz w:val="24"/>
          <w:szCs w:val="24"/>
        </w:rPr>
        <w:t>Lima Neto</w:t>
      </w:r>
      <w:r w:rsidR="00D67845" w:rsidRPr="00D22C07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</w:t>
      </w:r>
      <w:r w:rsidR="00D67845" w:rsidRPr="00D22C07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 w:rsidR="00D67845">
        <w:rPr>
          <w:rFonts w:ascii="Times New Roman" w:hAnsi="Times New Roman" w:cs="Times New Roman"/>
          <w:bCs/>
          <w:sz w:val="24"/>
          <w:szCs w:val="24"/>
        </w:rPr>
        <w:t xml:space="preserve">Jordania Oliveira </w:t>
      </w:r>
      <w:r w:rsidR="00D67845" w:rsidRPr="00D22C07">
        <w:rPr>
          <w:rFonts w:ascii="Times New Roman" w:hAnsi="Times New Roman" w:cs="Times New Roman"/>
          <w:b/>
          <w:sz w:val="24"/>
          <w:szCs w:val="24"/>
        </w:rPr>
        <w:t>Silva</w:t>
      </w:r>
      <w:r w:rsidR="00D67845" w:rsidRPr="00D22C07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D67845" w:rsidRPr="00D67845">
        <w:rPr>
          <w:rFonts w:ascii="Times New Roman" w:hAnsi="Times New Roman" w:cs="Times New Roman"/>
          <w:bCs/>
          <w:sz w:val="24"/>
          <w:szCs w:val="24"/>
        </w:rPr>
        <w:t xml:space="preserve">; Francisco Manuel Alves </w:t>
      </w:r>
      <w:r w:rsidR="00D67845" w:rsidRPr="00D22C07">
        <w:rPr>
          <w:rFonts w:ascii="Times New Roman" w:hAnsi="Times New Roman" w:cs="Times New Roman"/>
          <w:b/>
          <w:sz w:val="24"/>
          <w:szCs w:val="24"/>
        </w:rPr>
        <w:t>Fonsêca</w:t>
      </w:r>
      <w:r w:rsidR="00D22C07" w:rsidRPr="00D22C07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="00D67845" w:rsidRPr="00D67845">
        <w:rPr>
          <w:rFonts w:ascii="Times New Roman" w:hAnsi="Times New Roman" w:cs="Times New Roman"/>
          <w:bCs/>
          <w:sz w:val="24"/>
          <w:szCs w:val="24"/>
        </w:rPr>
        <w:t>;</w:t>
      </w:r>
      <w:r w:rsidR="00D67845">
        <w:rPr>
          <w:rFonts w:ascii="Times New Roman" w:hAnsi="Times New Roman" w:cs="Times New Roman"/>
          <w:bCs/>
          <w:sz w:val="24"/>
          <w:szCs w:val="24"/>
        </w:rPr>
        <w:t xml:space="preserve"> Evellyn do Nascimento Oliveira de </w:t>
      </w:r>
      <w:r w:rsidR="00D67845" w:rsidRPr="00D22C07">
        <w:rPr>
          <w:rFonts w:ascii="Times New Roman" w:hAnsi="Times New Roman" w:cs="Times New Roman"/>
          <w:b/>
          <w:sz w:val="24"/>
          <w:szCs w:val="24"/>
        </w:rPr>
        <w:t>Alexandria</w:t>
      </w:r>
      <w:r w:rsidR="00D67845" w:rsidRPr="00D22C07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="00D67845">
        <w:rPr>
          <w:rFonts w:ascii="Times New Roman" w:hAnsi="Times New Roman" w:cs="Times New Roman"/>
          <w:bCs/>
          <w:sz w:val="24"/>
          <w:szCs w:val="24"/>
        </w:rPr>
        <w:t xml:space="preserve">; </w:t>
      </w:r>
      <w:proofErr w:type="spellStart"/>
      <w:r w:rsidR="00D67845">
        <w:rPr>
          <w:rFonts w:ascii="Times New Roman" w:hAnsi="Times New Roman" w:cs="Times New Roman"/>
          <w:bCs/>
          <w:sz w:val="24"/>
          <w:szCs w:val="24"/>
        </w:rPr>
        <w:t>Thayline</w:t>
      </w:r>
      <w:proofErr w:type="spellEnd"/>
      <w:r w:rsidR="00D67845">
        <w:rPr>
          <w:rFonts w:ascii="Times New Roman" w:hAnsi="Times New Roman" w:cs="Times New Roman"/>
          <w:bCs/>
          <w:sz w:val="24"/>
          <w:szCs w:val="24"/>
        </w:rPr>
        <w:t xml:space="preserve"> Holanda da </w:t>
      </w:r>
      <w:r w:rsidR="00D67845" w:rsidRPr="00D22C07">
        <w:rPr>
          <w:rFonts w:ascii="Times New Roman" w:hAnsi="Times New Roman" w:cs="Times New Roman"/>
          <w:b/>
          <w:sz w:val="24"/>
          <w:szCs w:val="24"/>
        </w:rPr>
        <w:t>Silva</w:t>
      </w:r>
      <w:r w:rsidR="00D22C07" w:rsidRPr="00D67845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2</w:t>
      </w:r>
      <w:r w:rsidR="00D67845"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="0017489F">
        <w:rPr>
          <w:rFonts w:ascii="Times New Roman" w:hAnsi="Times New Roman" w:cs="Times New Roman"/>
          <w:sz w:val="24"/>
          <w:szCs w:val="24"/>
        </w:rPr>
        <w:t xml:space="preserve">Vinicius Longo Ribeiro </w:t>
      </w:r>
      <w:r w:rsidR="0017489F" w:rsidRPr="00D67845">
        <w:rPr>
          <w:rFonts w:ascii="Times New Roman" w:hAnsi="Times New Roman" w:cs="Times New Roman"/>
          <w:b/>
          <w:bCs/>
          <w:sz w:val="24"/>
          <w:szCs w:val="24"/>
        </w:rPr>
        <w:t>Vilela</w:t>
      </w:r>
      <w:r w:rsidR="00D67845" w:rsidRPr="00D67845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1,2</w:t>
      </w:r>
      <w:r w:rsidR="005349D6" w:rsidRPr="00C96F2D">
        <w:rPr>
          <w:rFonts w:ascii="Times New Roman" w:hAnsi="Times New Roman" w:cs="Times New Roman"/>
          <w:sz w:val="24"/>
          <w:szCs w:val="24"/>
        </w:rPr>
        <w:t>;</w:t>
      </w:r>
      <w:r w:rsidR="00D67845">
        <w:rPr>
          <w:rFonts w:ascii="Times New Roman" w:hAnsi="Times New Roman" w:cs="Times New Roman"/>
          <w:sz w:val="24"/>
          <w:szCs w:val="24"/>
        </w:rPr>
        <w:t xml:space="preserve"> </w:t>
      </w:r>
      <w:r w:rsidR="0017489F">
        <w:rPr>
          <w:rFonts w:ascii="Times New Roman" w:hAnsi="Times New Roman" w:cs="Times New Roman"/>
          <w:sz w:val="24"/>
          <w:szCs w:val="24"/>
        </w:rPr>
        <w:t xml:space="preserve">Thais Ferreira </w:t>
      </w:r>
      <w:r w:rsidR="0017489F" w:rsidRPr="00D67845">
        <w:rPr>
          <w:rFonts w:ascii="Times New Roman" w:hAnsi="Times New Roman" w:cs="Times New Roman"/>
          <w:b/>
          <w:bCs/>
          <w:sz w:val="24"/>
          <w:szCs w:val="24"/>
        </w:rPr>
        <w:t>Feitosa</w:t>
      </w:r>
      <w:r w:rsidR="00D67845" w:rsidRPr="00D67845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1,2</w:t>
      </w:r>
      <w:r w:rsidR="00D67845">
        <w:rPr>
          <w:rFonts w:ascii="Times New Roman" w:hAnsi="Times New Roman" w:cs="Times New Roman"/>
          <w:sz w:val="20"/>
          <w:szCs w:val="20"/>
        </w:rPr>
        <w:t>.</w:t>
      </w:r>
    </w:p>
    <w:p w14:paraId="4DD3E55F" w14:textId="7306F6EA" w:rsidR="00197666" w:rsidRDefault="00981A3D" w:rsidP="00F15C3D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D67845">
        <w:rPr>
          <w:rFonts w:ascii="Times New Roman" w:hAnsi="Times New Roman" w:cs="Times New Roman"/>
          <w:color w:val="000000"/>
          <w:sz w:val="20"/>
          <w:szCs w:val="20"/>
        </w:rPr>
        <w:t>Programa de Pós-Graduação em Ciência e Saúde Animal, UFCG, Campus Patos, Patos-PB, Brasil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68C9BA5C" w14:textId="77777777" w:rsidR="00D67845" w:rsidRDefault="00197666" w:rsidP="00F15C3D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D67845">
        <w:rPr>
          <w:rFonts w:ascii="Times New Roman" w:hAnsi="Times New Roman" w:cs="Times New Roman"/>
          <w:color w:val="000000"/>
          <w:sz w:val="20"/>
          <w:szCs w:val="20"/>
        </w:rPr>
        <w:t>Departamento de Medicina Veterinária</w:t>
      </w:r>
      <w:r w:rsidR="00D67845" w:rsidRPr="00D6784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D67845">
        <w:rPr>
          <w:rFonts w:ascii="Times New Roman" w:hAnsi="Times New Roman" w:cs="Times New Roman"/>
          <w:color w:val="000000"/>
          <w:sz w:val="20"/>
          <w:szCs w:val="20"/>
        </w:rPr>
        <w:t>IFPB</w:t>
      </w:r>
      <w:r w:rsidR="00D67845" w:rsidRPr="00D67845">
        <w:rPr>
          <w:rFonts w:ascii="Times New Roman" w:hAnsi="Times New Roman" w:cs="Times New Roman"/>
          <w:color w:val="000000"/>
          <w:sz w:val="20"/>
          <w:szCs w:val="20"/>
        </w:rPr>
        <w:t xml:space="preserve">, Campus </w:t>
      </w:r>
      <w:r w:rsidR="00D67845">
        <w:rPr>
          <w:rFonts w:ascii="Times New Roman" w:hAnsi="Times New Roman" w:cs="Times New Roman"/>
          <w:color w:val="000000"/>
          <w:sz w:val="20"/>
          <w:szCs w:val="20"/>
        </w:rPr>
        <w:t>Sousa</w:t>
      </w:r>
      <w:r w:rsidR="00D67845" w:rsidRPr="00D67845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D67845">
        <w:rPr>
          <w:rFonts w:ascii="Times New Roman" w:hAnsi="Times New Roman" w:cs="Times New Roman"/>
          <w:color w:val="000000"/>
          <w:sz w:val="20"/>
          <w:szCs w:val="20"/>
        </w:rPr>
        <w:t>Sousa</w:t>
      </w:r>
      <w:r w:rsidR="00D67845" w:rsidRPr="00D67845">
        <w:rPr>
          <w:rFonts w:ascii="Times New Roman" w:hAnsi="Times New Roman" w:cs="Times New Roman"/>
          <w:color w:val="000000"/>
          <w:sz w:val="20"/>
          <w:szCs w:val="20"/>
        </w:rPr>
        <w:t xml:space="preserve">-PB, Brasil </w:t>
      </w:r>
    </w:p>
    <w:p w14:paraId="22C42ED4" w14:textId="547EA0C3" w:rsidR="00C82079" w:rsidRPr="00D67845" w:rsidRDefault="00D22C07" w:rsidP="00F15C3D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D22C07">
        <w:rPr>
          <w:rFonts w:ascii="Times New Roman" w:hAnsi="Times New Roman" w:cs="Times New Roman"/>
          <w:b/>
          <w:bCs/>
          <w:color w:val="000000"/>
          <w:sz w:val="24"/>
          <w:szCs w:val="24"/>
          <w:vertAlign w:val="superscript"/>
        </w:rPr>
        <w:t>*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67845" w:rsidRPr="00D67845">
        <w:rPr>
          <w:rFonts w:ascii="Times New Roman" w:hAnsi="Times New Roman" w:cs="Times New Roman"/>
          <w:color w:val="000000"/>
          <w:sz w:val="20"/>
          <w:szCs w:val="20"/>
        </w:rPr>
        <w:t xml:space="preserve">E-mail: </w:t>
      </w:r>
      <w:r w:rsidR="00D67845">
        <w:rPr>
          <w:rFonts w:ascii="Times New Roman" w:hAnsi="Times New Roman" w:cs="Times New Roman"/>
          <w:color w:val="000000"/>
          <w:sz w:val="20"/>
          <w:szCs w:val="20"/>
          <w:u w:val="single"/>
        </w:rPr>
        <w:t>felizardobasilio95@gmail.com</w:t>
      </w:r>
    </w:p>
    <w:p w14:paraId="1DB22FB1" w14:textId="77777777" w:rsidR="00D67845" w:rsidRDefault="00D67845" w:rsidP="00C820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42D0CE" w14:textId="1E1BE4B0" w:rsidR="00110F71" w:rsidRPr="00110F71" w:rsidRDefault="00096391" w:rsidP="00C82079">
      <w:pPr>
        <w:spacing w:after="0"/>
        <w:jc w:val="both"/>
        <w:rPr>
          <w:rFonts w:ascii="Times New Roman" w:eastAsia="Times New Roman" w:hAnsi="Times New Roman" w:cs="Times New Roman"/>
          <w:color w:val="00000A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10F71" w:rsidRPr="00110F71">
        <w:rPr>
          <w:rFonts w:ascii="Times New Roman" w:hAnsi="Times New Roman" w:cs="Times New Roman"/>
          <w:bCs/>
          <w:sz w:val="24"/>
          <w:szCs w:val="24"/>
        </w:rPr>
        <w:t>O</w:t>
      </w:r>
      <w:r w:rsidR="00110F71" w:rsidRPr="00110F71">
        <w:rPr>
          <w:rFonts w:ascii="Times New Roman" w:eastAsia="Times New Roman" w:hAnsi="Times New Roman" w:cs="Times New Roman"/>
          <w:color w:val="00000A"/>
        </w:rPr>
        <w:t>bjetivo</w:t>
      </w:r>
      <w:r w:rsidR="00110F71">
        <w:rPr>
          <w:rFonts w:ascii="Times New Roman" w:eastAsia="Times New Roman" w:hAnsi="Times New Roman" w:cs="Times New Roman"/>
          <w:color w:val="00000A"/>
        </w:rPr>
        <w:t>u-se com esse estudo</w:t>
      </w:r>
      <w:r w:rsidR="00110F71" w:rsidRPr="00110F71">
        <w:rPr>
          <w:rFonts w:ascii="Times New Roman" w:eastAsia="Times New Roman" w:hAnsi="Times New Roman" w:cs="Times New Roman"/>
          <w:color w:val="00000A"/>
        </w:rPr>
        <w:t xml:space="preserve"> determinar a soroprevalência de </w:t>
      </w:r>
      <w:r w:rsidR="00ED1ED8" w:rsidRPr="00ED1ED8">
        <w:rPr>
          <w:rFonts w:ascii="Times New Roman" w:eastAsia="Times New Roman" w:hAnsi="Times New Roman" w:cs="Times New Roman"/>
          <w:i/>
          <w:iCs/>
          <w:color w:val="00000A"/>
        </w:rPr>
        <w:t xml:space="preserve">T. </w:t>
      </w:r>
      <w:proofErr w:type="spellStart"/>
      <w:r w:rsidR="00ED1ED8" w:rsidRPr="00ED1ED8">
        <w:rPr>
          <w:rFonts w:ascii="Times New Roman" w:eastAsia="Times New Roman" w:hAnsi="Times New Roman" w:cs="Times New Roman"/>
          <w:i/>
          <w:iCs/>
          <w:color w:val="00000A"/>
        </w:rPr>
        <w:t>gondii</w:t>
      </w:r>
      <w:proofErr w:type="spellEnd"/>
      <w:r w:rsidR="00110F71" w:rsidRPr="00110F71">
        <w:rPr>
          <w:rFonts w:ascii="Times New Roman" w:eastAsia="Times New Roman" w:hAnsi="Times New Roman" w:cs="Times New Roman"/>
          <w:color w:val="00000A"/>
        </w:rPr>
        <w:t xml:space="preserve"> em doadores de sangue aptos à doação no Hemonúcleo de Sousa, localizado no Semiárido da Paraíba. </w:t>
      </w:r>
      <w:r w:rsidR="00110F71">
        <w:rPr>
          <w:rFonts w:ascii="Times New Roman" w:eastAsia="Times New Roman" w:hAnsi="Times New Roman" w:cs="Times New Roman"/>
          <w:color w:val="00000A"/>
        </w:rPr>
        <w:t>Foram coletadas</w:t>
      </w:r>
      <w:r w:rsidR="00110F71" w:rsidRPr="00110F71">
        <w:rPr>
          <w:rFonts w:ascii="Times New Roman" w:eastAsia="Times New Roman" w:hAnsi="Times New Roman" w:cs="Times New Roman"/>
          <w:color w:val="00000A"/>
        </w:rPr>
        <w:t xml:space="preserve"> 128 amostras de sangue de doadores no Hemonúcleo de Sousa-PB. As amostras foram obtidas durante a triagem laboratorial, utilizando sistema estéril de coleta acoplado à bolsa de sangue. A detecção de anticorpos </w:t>
      </w:r>
      <w:proofErr w:type="spellStart"/>
      <w:r w:rsidR="00110F71">
        <w:rPr>
          <w:rFonts w:ascii="Times New Roman" w:eastAsia="Times New Roman" w:hAnsi="Times New Roman" w:cs="Times New Roman"/>
          <w:color w:val="00000A"/>
        </w:rPr>
        <w:t>IgM</w:t>
      </w:r>
      <w:proofErr w:type="spellEnd"/>
      <w:r w:rsidR="00110F71">
        <w:rPr>
          <w:rFonts w:ascii="Times New Roman" w:eastAsia="Times New Roman" w:hAnsi="Times New Roman" w:cs="Times New Roman"/>
          <w:color w:val="00000A"/>
        </w:rPr>
        <w:t xml:space="preserve"> e IgG </w:t>
      </w:r>
      <w:proofErr w:type="spellStart"/>
      <w:r w:rsidR="00110F71" w:rsidRPr="00110F71">
        <w:rPr>
          <w:rFonts w:ascii="Times New Roman" w:eastAsia="Times New Roman" w:hAnsi="Times New Roman" w:cs="Times New Roman"/>
          <w:color w:val="00000A"/>
        </w:rPr>
        <w:t>anti-</w:t>
      </w:r>
      <w:r w:rsidR="00ED1ED8" w:rsidRPr="00ED1ED8">
        <w:rPr>
          <w:rFonts w:ascii="Times New Roman" w:eastAsia="Times New Roman" w:hAnsi="Times New Roman" w:cs="Times New Roman"/>
          <w:i/>
          <w:iCs/>
          <w:color w:val="00000A"/>
        </w:rPr>
        <w:t>T</w:t>
      </w:r>
      <w:proofErr w:type="spellEnd"/>
      <w:r w:rsidR="00ED1ED8" w:rsidRPr="00ED1ED8">
        <w:rPr>
          <w:rFonts w:ascii="Times New Roman" w:eastAsia="Times New Roman" w:hAnsi="Times New Roman" w:cs="Times New Roman"/>
          <w:i/>
          <w:iCs/>
          <w:color w:val="00000A"/>
        </w:rPr>
        <w:t xml:space="preserve">. </w:t>
      </w:r>
      <w:proofErr w:type="spellStart"/>
      <w:r w:rsidR="00ED1ED8" w:rsidRPr="00ED1ED8">
        <w:rPr>
          <w:rFonts w:ascii="Times New Roman" w:eastAsia="Times New Roman" w:hAnsi="Times New Roman" w:cs="Times New Roman"/>
          <w:i/>
          <w:iCs/>
          <w:color w:val="00000A"/>
        </w:rPr>
        <w:t>gondii</w:t>
      </w:r>
      <w:proofErr w:type="spellEnd"/>
      <w:r w:rsidR="00110F71" w:rsidRPr="00110F71">
        <w:rPr>
          <w:rFonts w:ascii="Times New Roman" w:eastAsia="Times New Roman" w:hAnsi="Times New Roman" w:cs="Times New Roman"/>
          <w:color w:val="00000A"/>
        </w:rPr>
        <w:t xml:space="preserve"> foi realizada </w:t>
      </w:r>
      <w:r w:rsidR="00110F71">
        <w:rPr>
          <w:rFonts w:ascii="Times New Roman" w:eastAsia="Times New Roman" w:hAnsi="Times New Roman" w:cs="Times New Roman"/>
          <w:color w:val="00000A"/>
        </w:rPr>
        <w:t xml:space="preserve">utilizando </w:t>
      </w:r>
      <w:r w:rsidR="00110F71" w:rsidRPr="00110F71">
        <w:rPr>
          <w:rFonts w:ascii="Times New Roman" w:eastAsia="Times New Roman" w:hAnsi="Times New Roman" w:cs="Times New Roman"/>
          <w:color w:val="00000A"/>
        </w:rPr>
        <w:t xml:space="preserve">kits </w:t>
      </w:r>
      <w:r w:rsidR="00ED1ED8">
        <w:rPr>
          <w:rFonts w:ascii="Times New Roman" w:eastAsia="Times New Roman" w:hAnsi="Times New Roman" w:cs="Times New Roman"/>
          <w:color w:val="00000A"/>
        </w:rPr>
        <w:t xml:space="preserve"> ELISA </w:t>
      </w:r>
      <w:r w:rsidR="00110F71" w:rsidRPr="00110F71">
        <w:rPr>
          <w:rFonts w:ascii="Times New Roman" w:eastAsia="Times New Roman" w:hAnsi="Times New Roman" w:cs="Times New Roman"/>
          <w:color w:val="00000A"/>
        </w:rPr>
        <w:t xml:space="preserve">comerciais. Entre as amostras avaliadas, 59,3% (76/128) foram positivas para anticorpos IgG </w:t>
      </w:r>
      <w:proofErr w:type="spellStart"/>
      <w:r w:rsidR="00110F71" w:rsidRPr="00110F71">
        <w:rPr>
          <w:rFonts w:ascii="Times New Roman" w:eastAsia="Times New Roman" w:hAnsi="Times New Roman" w:cs="Times New Roman"/>
          <w:color w:val="00000A"/>
        </w:rPr>
        <w:t>anti-</w:t>
      </w:r>
      <w:r w:rsidR="00ED1ED8" w:rsidRPr="00ED1ED8">
        <w:rPr>
          <w:rFonts w:ascii="Times New Roman" w:eastAsia="Times New Roman" w:hAnsi="Times New Roman" w:cs="Times New Roman"/>
          <w:i/>
          <w:iCs/>
          <w:color w:val="00000A"/>
        </w:rPr>
        <w:t>T</w:t>
      </w:r>
      <w:proofErr w:type="spellEnd"/>
      <w:r w:rsidR="00ED1ED8" w:rsidRPr="00ED1ED8">
        <w:rPr>
          <w:rFonts w:ascii="Times New Roman" w:eastAsia="Times New Roman" w:hAnsi="Times New Roman" w:cs="Times New Roman"/>
          <w:i/>
          <w:iCs/>
          <w:color w:val="00000A"/>
        </w:rPr>
        <w:t xml:space="preserve">. </w:t>
      </w:r>
      <w:proofErr w:type="spellStart"/>
      <w:r w:rsidR="00ED1ED8" w:rsidRPr="00ED1ED8">
        <w:rPr>
          <w:rFonts w:ascii="Times New Roman" w:eastAsia="Times New Roman" w:hAnsi="Times New Roman" w:cs="Times New Roman"/>
          <w:i/>
          <w:iCs/>
          <w:color w:val="00000A"/>
        </w:rPr>
        <w:t>gondii</w:t>
      </w:r>
      <w:proofErr w:type="spellEnd"/>
      <w:r w:rsidR="00110F71" w:rsidRPr="00110F71">
        <w:rPr>
          <w:rFonts w:ascii="Times New Roman" w:eastAsia="Times New Roman" w:hAnsi="Times New Roman" w:cs="Times New Roman"/>
          <w:color w:val="00000A"/>
        </w:rPr>
        <w:t xml:space="preserve">. Em contrapartida, nenhuma amostra apresentou positividade para anticorpos </w:t>
      </w:r>
      <w:proofErr w:type="spellStart"/>
      <w:r w:rsidR="00110F71" w:rsidRPr="00110F71">
        <w:rPr>
          <w:rFonts w:ascii="Times New Roman" w:eastAsia="Times New Roman" w:hAnsi="Times New Roman" w:cs="Times New Roman"/>
          <w:color w:val="00000A"/>
        </w:rPr>
        <w:t>IgM</w:t>
      </w:r>
      <w:proofErr w:type="spellEnd"/>
      <w:r w:rsidR="00110F71" w:rsidRPr="00110F71">
        <w:rPr>
          <w:rFonts w:ascii="Times New Roman" w:eastAsia="Times New Roman" w:hAnsi="Times New Roman" w:cs="Times New Roman"/>
          <w:color w:val="00000A"/>
        </w:rPr>
        <w:t xml:space="preserve">. Conclui-se que os doadores de sangue do Hemonúcleo de Sousa </w:t>
      </w:r>
      <w:r w:rsidR="00110F71">
        <w:rPr>
          <w:rFonts w:ascii="Times New Roman" w:eastAsia="Times New Roman" w:hAnsi="Times New Roman" w:cs="Times New Roman"/>
          <w:color w:val="00000A"/>
        </w:rPr>
        <w:t>possuem</w:t>
      </w:r>
      <w:r w:rsidR="00110F71" w:rsidRPr="00110F71">
        <w:rPr>
          <w:rFonts w:ascii="Times New Roman" w:eastAsia="Times New Roman" w:hAnsi="Times New Roman" w:cs="Times New Roman"/>
          <w:color w:val="00000A"/>
        </w:rPr>
        <w:t xml:space="preserve"> expressiva soroprevalência de anticorpos IgG </w:t>
      </w:r>
      <w:proofErr w:type="spellStart"/>
      <w:r w:rsidR="00110F71" w:rsidRPr="00110F71">
        <w:rPr>
          <w:rFonts w:ascii="Times New Roman" w:eastAsia="Times New Roman" w:hAnsi="Times New Roman" w:cs="Times New Roman"/>
          <w:color w:val="00000A"/>
        </w:rPr>
        <w:t>anti-</w:t>
      </w:r>
      <w:r w:rsidR="00ED1ED8" w:rsidRPr="00ED1ED8">
        <w:rPr>
          <w:rFonts w:ascii="Times New Roman" w:eastAsia="Times New Roman" w:hAnsi="Times New Roman" w:cs="Times New Roman"/>
          <w:i/>
          <w:iCs/>
          <w:color w:val="00000A"/>
        </w:rPr>
        <w:t>T</w:t>
      </w:r>
      <w:proofErr w:type="spellEnd"/>
      <w:r w:rsidR="00ED1ED8" w:rsidRPr="00ED1ED8">
        <w:rPr>
          <w:rFonts w:ascii="Times New Roman" w:eastAsia="Times New Roman" w:hAnsi="Times New Roman" w:cs="Times New Roman"/>
          <w:i/>
          <w:iCs/>
          <w:color w:val="00000A"/>
        </w:rPr>
        <w:t xml:space="preserve">. </w:t>
      </w:r>
      <w:proofErr w:type="spellStart"/>
      <w:r w:rsidR="00ED1ED8" w:rsidRPr="00ED1ED8">
        <w:rPr>
          <w:rFonts w:ascii="Times New Roman" w:eastAsia="Times New Roman" w:hAnsi="Times New Roman" w:cs="Times New Roman"/>
          <w:i/>
          <w:iCs/>
          <w:color w:val="00000A"/>
        </w:rPr>
        <w:t>gondii</w:t>
      </w:r>
      <w:proofErr w:type="spellEnd"/>
      <w:r w:rsidR="00110F71" w:rsidRPr="00110F71">
        <w:rPr>
          <w:rFonts w:ascii="Times New Roman" w:eastAsia="Times New Roman" w:hAnsi="Times New Roman" w:cs="Times New Roman"/>
          <w:color w:val="00000A"/>
        </w:rPr>
        <w:t xml:space="preserve">, enquanto a ausência de anticorpos </w:t>
      </w:r>
      <w:proofErr w:type="spellStart"/>
      <w:r w:rsidR="00110F71" w:rsidRPr="00110F71">
        <w:rPr>
          <w:rFonts w:ascii="Times New Roman" w:eastAsia="Times New Roman" w:hAnsi="Times New Roman" w:cs="Times New Roman"/>
          <w:color w:val="00000A"/>
        </w:rPr>
        <w:t>IgM</w:t>
      </w:r>
      <w:proofErr w:type="spellEnd"/>
      <w:r w:rsidR="00110F71" w:rsidRPr="00110F71">
        <w:rPr>
          <w:rFonts w:ascii="Times New Roman" w:eastAsia="Times New Roman" w:hAnsi="Times New Roman" w:cs="Times New Roman"/>
          <w:color w:val="00000A"/>
        </w:rPr>
        <w:t xml:space="preserve"> sugere baixo risco de transmissão transfusional </w:t>
      </w:r>
      <w:r w:rsidR="00F15C3D">
        <w:rPr>
          <w:rFonts w:ascii="Times New Roman" w:eastAsia="Times New Roman" w:hAnsi="Times New Roman" w:cs="Times New Roman"/>
          <w:color w:val="00000A"/>
        </w:rPr>
        <w:t>de</w:t>
      </w:r>
      <w:r w:rsidR="00110F71" w:rsidRPr="00110F71">
        <w:rPr>
          <w:rFonts w:ascii="Times New Roman" w:eastAsia="Times New Roman" w:hAnsi="Times New Roman" w:cs="Times New Roman"/>
          <w:color w:val="00000A"/>
        </w:rPr>
        <w:t xml:space="preserve"> </w:t>
      </w:r>
      <w:r w:rsidR="00F15C3D" w:rsidRPr="00F15C3D">
        <w:rPr>
          <w:rFonts w:ascii="Times New Roman" w:eastAsia="Times New Roman" w:hAnsi="Times New Roman" w:cs="Times New Roman"/>
          <w:i/>
          <w:iCs/>
          <w:color w:val="00000A"/>
        </w:rPr>
        <w:t xml:space="preserve">T. </w:t>
      </w:r>
      <w:proofErr w:type="spellStart"/>
      <w:r w:rsidR="00F15C3D" w:rsidRPr="00F15C3D">
        <w:rPr>
          <w:rFonts w:ascii="Times New Roman" w:eastAsia="Times New Roman" w:hAnsi="Times New Roman" w:cs="Times New Roman"/>
          <w:i/>
          <w:iCs/>
          <w:color w:val="00000A"/>
        </w:rPr>
        <w:t>gondii</w:t>
      </w:r>
      <w:proofErr w:type="spellEnd"/>
      <w:r w:rsidR="00110F71" w:rsidRPr="00110F71">
        <w:rPr>
          <w:rFonts w:ascii="Times New Roman" w:eastAsia="Times New Roman" w:hAnsi="Times New Roman" w:cs="Times New Roman"/>
          <w:color w:val="00000A"/>
        </w:rPr>
        <w:t xml:space="preserve"> </w:t>
      </w:r>
      <w:r w:rsidR="00F15C3D">
        <w:rPr>
          <w:rFonts w:ascii="Times New Roman" w:eastAsia="Times New Roman" w:hAnsi="Times New Roman" w:cs="Times New Roman"/>
          <w:color w:val="00000A"/>
        </w:rPr>
        <w:t>no</w:t>
      </w:r>
      <w:r w:rsidR="00110F71" w:rsidRPr="00110F71">
        <w:rPr>
          <w:rFonts w:ascii="Times New Roman" w:eastAsia="Times New Roman" w:hAnsi="Times New Roman" w:cs="Times New Roman"/>
          <w:color w:val="00000A"/>
        </w:rPr>
        <w:t xml:space="preserve"> </w:t>
      </w:r>
      <w:r w:rsidR="00F15C3D">
        <w:rPr>
          <w:rFonts w:ascii="Times New Roman" w:eastAsia="Times New Roman" w:hAnsi="Times New Roman" w:cs="Times New Roman"/>
          <w:color w:val="00000A"/>
        </w:rPr>
        <w:t>Semiárido paraibano</w:t>
      </w:r>
      <w:r w:rsidR="00110F71" w:rsidRPr="00110F71">
        <w:rPr>
          <w:rFonts w:ascii="Times New Roman" w:eastAsia="Times New Roman" w:hAnsi="Times New Roman" w:cs="Times New Roman"/>
          <w:color w:val="00000A"/>
        </w:rPr>
        <w:t>.</w:t>
      </w:r>
    </w:p>
    <w:p w14:paraId="4E35F3AD" w14:textId="0C75C19D" w:rsidR="00C96F2D" w:rsidRPr="00C82079" w:rsidRDefault="0081157E" w:rsidP="00C8207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</w:rPr>
      </w:pP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332B6E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</w:t>
      </w:r>
      <w:r w:rsidRPr="00332B6E">
        <w:rPr>
          <w:rFonts w:ascii="Times New Roman" w:eastAsia="Times New Roman" w:hAnsi="Times New Roman" w:cs="Times New Roman"/>
          <w:b/>
          <w:color w:val="00000A"/>
        </w:rPr>
        <w:t>:</w:t>
      </w:r>
      <w:r w:rsidRPr="00332B6E">
        <w:rPr>
          <w:rFonts w:ascii="Times New Roman" w:eastAsia="Times New Roman" w:hAnsi="Times New Roman" w:cs="Times New Roman"/>
          <w:color w:val="00000A"/>
        </w:rPr>
        <w:t xml:space="preserve"> </w:t>
      </w:r>
      <w:r w:rsidR="00C82079">
        <w:rPr>
          <w:rFonts w:ascii="Times New Roman" w:eastAsia="Times New Roman" w:hAnsi="Times New Roman" w:cs="Times New Roman"/>
          <w:color w:val="00000A"/>
        </w:rPr>
        <w:t>epidemiologia; segurança transfusional; toxoplasmose</w:t>
      </w:r>
      <w:r w:rsidR="00332B6E" w:rsidRPr="00332B6E">
        <w:rPr>
          <w:rFonts w:ascii="Times New Roman" w:eastAsia="Helvetica Neue" w:hAnsi="Times New Roman" w:cs="Times New Roman"/>
          <w:color w:val="000000"/>
        </w:rPr>
        <w:t xml:space="preserve">. </w:t>
      </w:r>
    </w:p>
    <w:p w14:paraId="7EA5CD1C" w14:textId="77777777" w:rsidR="0081157E" w:rsidRPr="0081157E" w:rsidRDefault="0081157E" w:rsidP="00C8207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ascii="Helvetica Neue" w:eastAsia="Helvetica Neue" w:hAnsi="Helvetica Neue" w:cs="Helvetica Neue"/>
          <w:color w:val="000000"/>
          <w:sz w:val="16"/>
          <w:szCs w:val="16"/>
        </w:rPr>
      </w:pPr>
    </w:p>
    <w:p w14:paraId="52BA04A4" w14:textId="77777777" w:rsidR="007F7CC5" w:rsidRDefault="00BE61DE" w:rsidP="007F7CC5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54FBA375" w14:textId="2DD177AF" w:rsidR="007F7CC5" w:rsidRDefault="00ED1ED8" w:rsidP="007F7CC5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Toxoplasma </w:t>
      </w:r>
      <w:proofErr w:type="spellStart"/>
      <w:r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gondii</w:t>
      </w:r>
      <w:proofErr w:type="spellEnd"/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é um protozoário intracelular obrigatório</w:t>
      </w:r>
      <w:r w:rsid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causador da toxoplasmose, uma zoonose de distribuição cosmopolita</w:t>
      </w:r>
      <w:r w:rsidR="001D649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1D6497">
        <w:rPr>
          <w:rFonts w:ascii="Times New Roman" w:eastAsia="Helvetica Neue" w:hAnsi="Times New Roman" w:cs="Times New Roman"/>
          <w:color w:val="000000"/>
          <w:sz w:val="24"/>
          <w:szCs w:val="24"/>
        </w:rPr>
        <w:t>Dubey</w:t>
      </w:r>
      <w:proofErr w:type="spellEnd"/>
      <w:r w:rsidR="001D6497">
        <w:rPr>
          <w:rFonts w:ascii="Times New Roman" w:eastAsia="Helvetica Neue" w:hAnsi="Times New Roman" w:cs="Times New Roman"/>
          <w:color w:val="000000"/>
          <w:sz w:val="24"/>
          <w:szCs w:val="24"/>
        </w:rPr>
        <w:t>, 2021)</w:t>
      </w:r>
      <w:r w:rsidR="00DD26E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toxoplasmose </w:t>
      </w:r>
      <w:r w:rsidR="00FD297D">
        <w:rPr>
          <w:rFonts w:ascii="Times New Roman" w:eastAsia="Helvetica Neue" w:hAnsi="Times New Roman" w:cs="Times New Roman"/>
          <w:color w:val="000000"/>
          <w:sz w:val="24"/>
          <w:szCs w:val="24"/>
        </w:rPr>
        <w:t>é relevante n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>o Semiárido brasileiro, onde soroprevalência</w:t>
      </w:r>
      <w:r w:rsid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>s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 66% já foram </w:t>
      </w:r>
      <w:r w:rsid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>encontradas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>em seres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humanos </w:t>
      </w:r>
      <w:r w:rsidR="00B8162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(Aloise </w:t>
      </w:r>
      <w:r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al.</w:t>
      </w:r>
      <w:r w:rsidR="00B8162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2018)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Essa região apresenta características ambientais específicas que podem influenciar a dinâmica do ciclo de vida de </w:t>
      </w:r>
      <w:r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T. </w:t>
      </w:r>
      <w:proofErr w:type="spellStart"/>
      <w:r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gondii</w:t>
      </w:r>
      <w:proofErr w:type="spellEnd"/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B8162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(Silva </w:t>
      </w:r>
      <w:r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al.</w:t>
      </w:r>
      <w:r w:rsidR="00B8162F">
        <w:rPr>
          <w:rFonts w:ascii="Times New Roman" w:eastAsia="Helvetica Neue" w:hAnsi="Times New Roman" w:cs="Times New Roman"/>
          <w:color w:val="000000"/>
          <w:sz w:val="24"/>
          <w:szCs w:val="24"/>
        </w:rPr>
        <w:t>, 2025)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</w:p>
    <w:p w14:paraId="2E2896C2" w14:textId="49DFEAFE" w:rsidR="00952767" w:rsidRDefault="007F7CC5" w:rsidP="00952767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Em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seres </w:t>
      </w:r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humanos, a infecção é geralmente de origem alimentar </w:t>
      </w:r>
      <w:r w:rsidR="00B8162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(Almeria; </w:t>
      </w:r>
      <w:proofErr w:type="spellStart"/>
      <w:r w:rsidR="00B8162F">
        <w:rPr>
          <w:rFonts w:ascii="Times New Roman" w:eastAsia="Helvetica Neue" w:hAnsi="Times New Roman" w:cs="Times New Roman"/>
          <w:color w:val="000000"/>
          <w:sz w:val="24"/>
          <w:szCs w:val="24"/>
        </w:rPr>
        <w:t>Dubey</w:t>
      </w:r>
      <w:proofErr w:type="spellEnd"/>
      <w:r w:rsidR="00B8162F">
        <w:rPr>
          <w:rFonts w:ascii="Times New Roman" w:eastAsia="Helvetica Neue" w:hAnsi="Times New Roman" w:cs="Times New Roman"/>
          <w:color w:val="000000"/>
          <w:sz w:val="24"/>
          <w:szCs w:val="24"/>
        </w:rPr>
        <w:t>, 2021)</w:t>
      </w:r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No entanto</w:t>
      </w:r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a transmissão também pode ocorrer por transfusão sanguínea, quando doadores infectados em fases </w:t>
      </w:r>
      <w:proofErr w:type="spellStart"/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>parasitêmicas</w:t>
      </w:r>
      <w:proofErr w:type="spellEnd"/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transmitem </w:t>
      </w:r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T. </w:t>
      </w:r>
      <w:proofErr w:type="spellStart"/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gondii</w:t>
      </w:r>
      <w:proofErr w:type="spellEnd"/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DD26EC">
        <w:rPr>
          <w:rFonts w:ascii="Times New Roman" w:eastAsia="Helvetica Neue" w:hAnsi="Times New Roman" w:cs="Times New Roman"/>
          <w:color w:val="000000"/>
          <w:sz w:val="24"/>
          <w:szCs w:val="24"/>
        </w:rPr>
        <w:t>através de sua bolsa infectada por</w:t>
      </w:r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>taquizoítos</w:t>
      </w:r>
      <w:proofErr w:type="spellEnd"/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B8162F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proofErr w:type="spellStart"/>
      <w:r w:rsidR="00B8162F">
        <w:rPr>
          <w:rFonts w:ascii="Times New Roman" w:eastAsia="Helvetica Neue" w:hAnsi="Times New Roman" w:cs="Times New Roman"/>
          <w:color w:val="000000"/>
          <w:sz w:val="24"/>
          <w:szCs w:val="24"/>
        </w:rPr>
        <w:t>Paraboni</w:t>
      </w:r>
      <w:proofErr w:type="spellEnd"/>
      <w:r w:rsidR="00B8162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al.</w:t>
      </w:r>
      <w:r w:rsidR="00B8162F">
        <w:rPr>
          <w:rFonts w:ascii="Times New Roman" w:eastAsia="Helvetica Neue" w:hAnsi="Times New Roman" w:cs="Times New Roman"/>
          <w:color w:val="000000"/>
          <w:sz w:val="24"/>
          <w:szCs w:val="24"/>
        </w:rPr>
        <w:t>, 2022).</w:t>
      </w:r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Bolsas de sangue infectadas por </w:t>
      </w:r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T. </w:t>
      </w:r>
      <w:proofErr w:type="spellStart"/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gondii</w:t>
      </w:r>
      <w:proofErr w:type="spellEnd"/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pode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m</w:t>
      </w:r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representar</w:t>
      </w:r>
      <w:r w:rsidR="00F15C3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risco para indivíduos imunocomprometidos </w:t>
      </w:r>
      <w:r w:rsidR="00B8162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(Zhou </w:t>
      </w:r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al.</w:t>
      </w:r>
      <w:r w:rsidR="00B8162F">
        <w:rPr>
          <w:rFonts w:ascii="Times New Roman" w:eastAsia="Helvetica Neue" w:hAnsi="Times New Roman" w:cs="Times New Roman"/>
          <w:color w:val="000000"/>
          <w:sz w:val="24"/>
          <w:szCs w:val="24"/>
        </w:rPr>
        <w:t>, 2019)</w:t>
      </w:r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>, pode</w:t>
      </w:r>
      <w:r w:rsid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>ndo levar a</w:t>
      </w:r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graves </w:t>
      </w:r>
      <w:r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manifestações </w:t>
      </w:r>
      <w:r w:rsid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>clínicas</w:t>
      </w:r>
      <w:r w:rsidR="00B8162F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7A7A6B">
        <w:rPr>
          <w:rFonts w:ascii="Times New Roman" w:eastAsia="Helvetica Neue" w:hAnsi="Times New Roman" w:cs="Times New Roman"/>
          <w:color w:val="000000"/>
          <w:sz w:val="24"/>
          <w:szCs w:val="24"/>
        </w:rPr>
        <w:t>(</w:t>
      </w:r>
      <w:proofErr w:type="spellStart"/>
      <w:r w:rsidR="007A7A6B" w:rsidRPr="007A7A6B">
        <w:rPr>
          <w:rFonts w:ascii="Times New Roman" w:eastAsia="Helvetica Neue" w:hAnsi="Times New Roman" w:cs="Times New Roman"/>
          <w:color w:val="000000"/>
          <w:sz w:val="24"/>
          <w:szCs w:val="24"/>
        </w:rPr>
        <w:t>Khurana</w:t>
      </w:r>
      <w:proofErr w:type="spellEnd"/>
      <w:r w:rsidR="007A7A6B" w:rsidRPr="007A7A6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="007A7A6B" w:rsidRPr="007A7A6B">
        <w:rPr>
          <w:rFonts w:ascii="Times New Roman" w:eastAsia="Helvetica Neue" w:hAnsi="Times New Roman" w:cs="Times New Roman"/>
          <w:color w:val="000000"/>
          <w:sz w:val="24"/>
          <w:szCs w:val="24"/>
        </w:rPr>
        <w:t>Batra</w:t>
      </w:r>
      <w:proofErr w:type="spellEnd"/>
      <w:r w:rsidR="007A7A6B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7A7A6B" w:rsidRPr="007A7A6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7A7A6B">
        <w:rPr>
          <w:rFonts w:ascii="Times New Roman" w:eastAsia="Helvetica Neue" w:hAnsi="Times New Roman" w:cs="Times New Roman"/>
          <w:color w:val="000000"/>
          <w:sz w:val="24"/>
          <w:szCs w:val="24"/>
        </w:rPr>
        <w:t>2016</w:t>
      </w:r>
      <w:r w:rsidR="00DD26EC">
        <w:rPr>
          <w:rFonts w:ascii="Times New Roman" w:eastAsia="Helvetica Neue" w:hAnsi="Times New Roman" w:cs="Times New Roman"/>
          <w:color w:val="000000"/>
          <w:sz w:val="24"/>
          <w:szCs w:val="24"/>
        </w:rPr>
        <w:t>).</w:t>
      </w:r>
    </w:p>
    <w:p w14:paraId="35EA0B0E" w14:textId="2E46E0E0" w:rsidR="00BF2050" w:rsidRPr="00952767" w:rsidRDefault="00952767" w:rsidP="00952767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Estudos sobre a </w:t>
      </w:r>
      <w:proofErr w:type="spellStart"/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soroepidemiologia</w:t>
      </w:r>
      <w:proofErr w:type="spellEnd"/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de </w:t>
      </w:r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T. </w:t>
      </w:r>
      <w:proofErr w:type="spellStart"/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gondii</w:t>
      </w:r>
      <w:proofErr w:type="spellEnd"/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em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doadores de sangue no Brasil são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poucos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 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se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concentram em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regiões com condições climáticas distintas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do Semiárido</w:t>
      </w:r>
      <w:r w:rsidR="00DD26E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(Coêlho </w:t>
      </w:r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al.</w:t>
      </w:r>
      <w:r w:rsidR="00DD26E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2003; </w:t>
      </w:r>
      <w:proofErr w:type="spellStart"/>
      <w:r w:rsidR="00DD26EC">
        <w:rPr>
          <w:rFonts w:ascii="Times New Roman" w:eastAsia="Helvetica Neue" w:hAnsi="Times New Roman" w:cs="Times New Roman"/>
          <w:color w:val="000000"/>
          <w:sz w:val="24"/>
          <w:szCs w:val="24"/>
        </w:rPr>
        <w:t>Paraboni</w:t>
      </w:r>
      <w:proofErr w:type="spellEnd"/>
      <w:r w:rsidR="00DD26E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al.</w:t>
      </w:r>
      <w:r w:rsidR="00DD26E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2022; </w:t>
      </w:r>
      <w:proofErr w:type="spellStart"/>
      <w:r w:rsidR="00DD26EC">
        <w:rPr>
          <w:rFonts w:ascii="Times New Roman" w:eastAsia="Helvetica Neue" w:hAnsi="Times New Roman" w:cs="Times New Roman"/>
          <w:color w:val="000000"/>
          <w:sz w:val="24"/>
          <w:szCs w:val="24"/>
        </w:rPr>
        <w:t>Assoni</w:t>
      </w:r>
      <w:proofErr w:type="spellEnd"/>
      <w:r w:rsidR="00DD26E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al.</w:t>
      </w:r>
      <w:r w:rsidR="00DD26EC">
        <w:rPr>
          <w:rFonts w:ascii="Times New Roman" w:eastAsia="Helvetica Neue" w:hAnsi="Times New Roman" w:cs="Times New Roman"/>
          <w:color w:val="000000"/>
          <w:sz w:val="24"/>
          <w:szCs w:val="24"/>
        </w:rPr>
        <w:t>, 2024)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Este estudo é inédito na avaliação a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soroprevalência de </w:t>
      </w:r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T. </w:t>
      </w:r>
      <w:proofErr w:type="spellStart"/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gondii</w:t>
      </w:r>
      <w:proofErr w:type="spellEnd"/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entre doadores de sangue no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Hemonúcleo de Sousa-PB, localizado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lastRenderedPageBreak/>
        <w:t>no Semiárido brasileiro,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fornecendo evidências para subsidiar o desenvolvimento de medidas de </w:t>
      </w:r>
      <w:r w:rsid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>prevenção da toxoplasmose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em receptores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de transfusões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imunocomprometidos. Portanto, este estudo teve como objetivo determinar a </w:t>
      </w:r>
      <w:r w:rsid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>soro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prevalência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de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T. </w:t>
      </w:r>
      <w:proofErr w:type="spellStart"/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gondii</w:t>
      </w:r>
      <w:proofErr w:type="spellEnd"/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em doadores de sangue aptos à doação</w:t>
      </w:r>
      <w:r w:rsid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>,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no Hemonúcleo de Sousa</w:t>
      </w:r>
      <w:r w:rsidR="007F7CC5" w:rsidRPr="007F7CC5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no Semiárido </w:t>
      </w:r>
      <w:r w:rsidR="00B8162F">
        <w:rPr>
          <w:rFonts w:ascii="Times New Roman" w:eastAsia="Helvetica Neue" w:hAnsi="Times New Roman" w:cs="Times New Roman"/>
          <w:color w:val="000000"/>
          <w:sz w:val="24"/>
          <w:szCs w:val="24"/>
        </w:rPr>
        <w:t>da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Paraíba</w:t>
      </w:r>
      <w:r w:rsidR="00B8162F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</w:p>
    <w:p w14:paraId="195AA95C" w14:textId="77777777" w:rsidR="005F545F" w:rsidRPr="005F545F" w:rsidRDefault="005F545F" w:rsidP="00C82079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ind w:right="-1" w:firstLine="300"/>
        <w:jc w:val="both"/>
        <w:rPr>
          <w:rFonts w:eastAsia="Helvetica Neue"/>
          <w:color w:val="000000"/>
        </w:rPr>
      </w:pPr>
    </w:p>
    <w:p w14:paraId="5F6EC239" w14:textId="55FBE13D" w:rsidR="00952767" w:rsidRDefault="00FC01C7" w:rsidP="005F545F">
      <w:pPr>
        <w:spacing w:after="0" w:line="360" w:lineRule="auto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Material e métodos</w:t>
      </w:r>
    </w:p>
    <w:p w14:paraId="196F7435" w14:textId="7AEA57F7" w:rsidR="005F545F" w:rsidRDefault="00952767" w:rsidP="00FD297D">
      <w:pPr>
        <w:spacing w:after="0" w:line="360" w:lineRule="auto"/>
        <w:ind w:firstLine="720"/>
        <w:jc w:val="both"/>
        <w:rPr>
          <w:rFonts w:ascii="Times New Roman" w:eastAsia="Helvetica Neue" w:hAnsi="Times New Roman" w:cs="Times New Roman"/>
          <w:color w:val="000000"/>
          <w:sz w:val="24"/>
          <w:szCs w:val="24"/>
        </w:rPr>
      </w:pP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Esse estudo foi aprovado pelo Comitê de Ética em Pesquisa do </w:t>
      </w:r>
      <w:r w:rsidR="00D22C07">
        <w:rPr>
          <w:rFonts w:ascii="Times New Roman" w:eastAsia="Helvetica Neue" w:hAnsi="Times New Roman" w:cs="Times New Roman"/>
          <w:color w:val="000000"/>
          <w:sz w:val="24"/>
          <w:szCs w:val="24"/>
        </w:rPr>
        <w:t>IFPB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sob o parecer</w:t>
      </w:r>
      <w:r w:rsid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nº </w:t>
      </w:r>
      <w:r w:rsidR="008F3944" w:rsidRP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>7</w:t>
      </w:r>
      <w:r w:rsid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 w:rsidR="008F3944" w:rsidRP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>675</w:t>
      </w:r>
      <w:r w:rsid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 w:rsidR="008F3944" w:rsidRP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>492</w:t>
      </w:r>
      <w:r w:rsid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Foram</w:t>
      </w:r>
      <w:r w:rsidRP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coleta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das</w:t>
      </w:r>
      <w:r w:rsidRP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128 amostras de sangue de doadores aptos à doação,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no Hemonúcleo de Sousa-PB</w:t>
      </w:r>
      <w:r w:rsidRP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Todos os participantes assinaram </w:t>
      </w:r>
      <w:r>
        <w:rPr>
          <w:rFonts w:ascii="Times New Roman" w:eastAsia="Helvetica Neue" w:hAnsi="Times New Roman" w:cs="Times New Roman"/>
          <w:color w:val="000000"/>
          <w:sz w:val="24"/>
          <w:szCs w:val="24"/>
        </w:rPr>
        <w:t>um</w:t>
      </w:r>
      <w:r w:rsidRP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Termo de Consentimento Livre e Esclarecido.</w:t>
      </w:r>
      <w:r w:rsidR="00FD297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P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>As amostras foram obtidas durante a</w:t>
      </w:r>
      <w:r w:rsid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coleta da</w:t>
      </w:r>
      <w:r w:rsidRP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triagem laboratorial do hemo</w:t>
      </w:r>
      <w:r w:rsidR="00DD26EC">
        <w:rPr>
          <w:rFonts w:ascii="Times New Roman" w:eastAsia="Helvetica Neue" w:hAnsi="Times New Roman" w:cs="Times New Roman"/>
          <w:color w:val="000000"/>
          <w:sz w:val="24"/>
          <w:szCs w:val="24"/>
        </w:rPr>
        <w:t>núcleo</w:t>
      </w:r>
      <w:r w:rsidRP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utilizando tubos acoplados a um sistema estéril de </w:t>
      </w:r>
      <w:r w:rsidR="00D22C07">
        <w:rPr>
          <w:rFonts w:ascii="Times New Roman" w:eastAsia="Helvetica Neue" w:hAnsi="Times New Roman" w:cs="Times New Roman"/>
          <w:color w:val="000000"/>
          <w:sz w:val="24"/>
          <w:szCs w:val="24"/>
        </w:rPr>
        <w:t>coleta</w:t>
      </w:r>
      <w:r w:rsidRP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>.</w:t>
      </w:r>
      <w:r w:rsid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P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Após a coleta, as amostras foram centrifugadas </w:t>
      </w:r>
      <w:r w:rsid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>e o</w:t>
      </w:r>
      <w:r w:rsidRP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soro</w:t>
      </w:r>
      <w:r w:rsid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foi separado e </w:t>
      </w:r>
      <w:r w:rsidRP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>armazenado a −20 °C até a realização do</w:t>
      </w:r>
      <w:r w:rsidR="00F15C3D">
        <w:rPr>
          <w:rFonts w:ascii="Times New Roman" w:eastAsia="Helvetica Neue" w:hAnsi="Times New Roman" w:cs="Times New Roman"/>
          <w:color w:val="000000"/>
          <w:sz w:val="24"/>
          <w:szCs w:val="24"/>
        </w:rPr>
        <w:t>s testes</w:t>
      </w:r>
      <w:r w:rsidRP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ELISA.</w:t>
      </w:r>
      <w:r w:rsidR="00FD297D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P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>A detecção de anticorpos</w:t>
      </w:r>
      <w:r w:rsid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>IgM</w:t>
      </w:r>
      <w:proofErr w:type="spellEnd"/>
      <w:r w:rsid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IgG </w:t>
      </w:r>
      <w:proofErr w:type="spellStart"/>
      <w:r w:rsidRP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>anti-</w:t>
      </w:r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T</w:t>
      </w:r>
      <w:proofErr w:type="spellEnd"/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. </w:t>
      </w:r>
      <w:proofErr w:type="spellStart"/>
      <w:r w:rsidR="00ED1ED8" w:rsidRPr="00ED1ED8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gondii</w:t>
      </w:r>
      <w:proofErr w:type="spellEnd"/>
      <w:r w:rsidRP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foi realizada </w:t>
      </w:r>
      <w:r w:rsidR="008F3944" w:rsidRP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utilizando os kits comerciais BIOLISA TOXOPLASMOSE </w:t>
      </w:r>
      <w:proofErr w:type="spellStart"/>
      <w:r w:rsidR="008F3944" w:rsidRP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>IgM</w:t>
      </w:r>
      <w:proofErr w:type="spellEnd"/>
      <w:r w:rsidR="008F3944" w:rsidRP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DD26E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e </w:t>
      </w:r>
      <w:r w:rsidR="008F3944" w:rsidRP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>IgG (</w:t>
      </w:r>
      <w:proofErr w:type="spellStart"/>
      <w:r w:rsidR="008F3944" w:rsidRP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>Bioclin</w:t>
      </w:r>
      <w:proofErr w:type="spellEnd"/>
      <w:r w:rsidR="008F3944" w:rsidRP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>®, Belo Horizonte, Brasil), de acordo com as instruções do fabricante</w:t>
      </w:r>
      <w:r w:rsidRPr="00952767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</w:t>
      </w:r>
      <w:r w:rsidR="00DD26EC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Para a interpretação, foi utilizada uma </w:t>
      </w:r>
      <w:r w:rsidR="008F3944" w:rsidRP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leitora de microplacas para ELISA (LMR-96i, </w:t>
      </w:r>
      <w:proofErr w:type="spellStart"/>
      <w:r w:rsidR="008F3944" w:rsidRP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>Loccus</w:t>
      </w:r>
      <w:proofErr w:type="spellEnd"/>
      <w:r w:rsidR="008F3944" w:rsidRPr="008F3944">
        <w:rPr>
          <w:rFonts w:ascii="Times New Roman" w:eastAsia="Helvetica Neue" w:hAnsi="Times New Roman" w:cs="Times New Roman"/>
          <w:color w:val="000000"/>
          <w:sz w:val="24"/>
          <w:szCs w:val="24"/>
        </w:rPr>
        <w:t>, Cotia, SP, Brasil).</w:t>
      </w:r>
    </w:p>
    <w:p w14:paraId="31134538" w14:textId="77777777" w:rsidR="008F3944" w:rsidRDefault="008F3944" w:rsidP="00C82079">
      <w:pPr>
        <w:spacing w:after="0" w:line="240" w:lineRule="auto"/>
        <w:ind w:firstLine="7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26A6BCBE" w14:textId="66EC7760" w:rsidR="00A64D86" w:rsidRDefault="00C34A7D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 xml:space="preserve"> e discussão</w:t>
      </w:r>
    </w:p>
    <w:p w14:paraId="02F49BC6" w14:textId="77C590D5" w:rsidR="00A64D86" w:rsidRPr="00A64D86" w:rsidRDefault="00A64D86" w:rsidP="00A64D86">
      <w:pPr>
        <w:spacing w:after="0" w:line="360" w:lineRule="auto"/>
        <w:ind w:firstLine="720"/>
        <w:jc w:val="both"/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>De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ntre as amostras avaliadas, 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>59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</w:rPr>
        <w:t>,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>3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</w:rPr>
        <w:t>% (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>76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</w:rPr>
        <w:t>/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>128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</w:rPr>
        <w:t>)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foram positivas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para anticorpos</w:t>
      </w:r>
      <w:r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IgG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Pr="00A64D86">
        <w:rPr>
          <w:rFonts w:ascii="Helvetica Neue" w:eastAsia="Helvetica Neue" w:hAnsi="Helvetica Neue" w:cs="Helvetica Neue"/>
          <w:color w:val="000000"/>
          <w:sz w:val="24"/>
          <w:szCs w:val="24"/>
        </w:rPr>
        <w:t>anti-</w:t>
      </w:r>
      <w:r w:rsidR="00ED1ED8" w:rsidRPr="00ED1ED8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T</w:t>
      </w:r>
      <w:proofErr w:type="spellEnd"/>
      <w:r w:rsidR="00ED1ED8" w:rsidRPr="00ED1ED8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 xml:space="preserve">. </w:t>
      </w:r>
      <w:proofErr w:type="spellStart"/>
      <w:r w:rsidR="00ED1ED8" w:rsidRPr="00ED1ED8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gondii</w:t>
      </w:r>
      <w:proofErr w:type="spellEnd"/>
      <w:r w:rsidRPr="00A64D86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. 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A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expressiva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soro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prevalência 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encontrada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corrobora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com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</w:t>
      </w:r>
      <w:r w:rsidR="00FD297D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a de 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doadores de sangue no </w:t>
      </w:r>
      <w:r w:rsidR="00FD297D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Sudeste e Sul do 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Brasil, </w:t>
      </w:r>
      <w:r w:rsidR="00FD297D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que possuem 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soroprevalência</w:t>
      </w:r>
      <w:r w:rsidR="00FD297D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s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de</w:t>
      </w:r>
      <w:r w:rsidR="00DD26E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48%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e 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43,7%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, respectivamente </w:t>
      </w:r>
      <w:r w:rsidR="00DD26E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(Paraboni </w:t>
      </w:r>
      <w:r w:rsidR="00ED1ED8" w:rsidRPr="00ED1ED8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  <w:lang w:val="pt-PT"/>
        </w:rPr>
        <w:t>et al.</w:t>
      </w:r>
      <w:r w:rsidR="00DD26E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, 2022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;</w:t>
      </w:r>
      <w:r w:rsidR="002E143C" w:rsidRP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Assoni </w:t>
      </w:r>
      <w:r w:rsidR="00ED1ED8" w:rsidRPr="00ED1ED8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  <w:lang w:val="pt-PT"/>
        </w:rPr>
        <w:t>et al.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, 2024</w:t>
      </w:r>
      <w:r w:rsidR="00DD26E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)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. A </w:t>
      </w:r>
      <w:r w:rsidR="00F52A48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soro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prevalência de anticorpos IgG observada 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no Hemonúcleo de Sousa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é consistente com resultados obtidos em outras áreas do Brasil, sugerindo elevada exposição dos doadores de sangue a </w:t>
      </w:r>
      <w:r w:rsidR="00ED1ED8" w:rsidRPr="00ED1ED8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  <w:lang w:val="pt-PT"/>
        </w:rPr>
        <w:t>T. gondii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, 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independente da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regi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ão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geográfica.</w:t>
      </w:r>
    </w:p>
    <w:p w14:paraId="5B851E92" w14:textId="059FDE96" w:rsidR="00B8162F" w:rsidRDefault="00A64D86" w:rsidP="00A64D86">
      <w:pPr>
        <w:spacing w:after="0" w:line="360" w:lineRule="auto"/>
        <w:ind w:firstLine="720"/>
        <w:jc w:val="both"/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</w:pP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Em contraste, 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a soroprevalência </w:t>
      </w:r>
      <w:r w:rsidR="00F15C3D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encontrada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</w:t>
      </w:r>
      <w:r w:rsidR="00F15C3D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neste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estudo difere </w:t>
      </w:r>
      <w:r w:rsidR="00F15C3D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de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outro </w:t>
      </w:r>
      <w:r w:rsidR="00F15C3D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estudo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na Região Nordeste, porém em uma área de clima tropical úmido, onde foi relatada soroprevalência de 75% para anticorpos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IgG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anti-</w:t>
      </w:r>
      <w:r w:rsidR="00ED1ED8" w:rsidRPr="00ED1ED8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  <w:lang w:val="pt-PT"/>
        </w:rPr>
        <w:t>T. gondii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</w:t>
      </w:r>
      <w:r w:rsidR="00DD26E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(Coêlho </w:t>
      </w:r>
      <w:r w:rsidR="00ED1ED8" w:rsidRPr="00ED1ED8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  <w:lang w:val="pt-PT"/>
        </w:rPr>
        <w:t>et al.</w:t>
      </w:r>
      <w:r w:rsidR="00DD26E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, 2003)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. 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De acordo com Silva </w:t>
      </w:r>
      <w:r w:rsidR="00ED1ED8" w:rsidRPr="00ED1ED8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  <w:lang w:val="pt-PT"/>
        </w:rPr>
        <w:t>et al.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</w:t>
      </w:r>
      <w:r w:rsidR="00DD26E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(2025)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, em condições semiáridas, caracterizadas por altas temperaturas, períodos prolongados de seca e baixa umidade, os oocistos podem ser inativados em até 36 horas, reduzindo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a probabilidade de infecção. A discrepância observada 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com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áreas tropicais úmidas reforça a 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importância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dos fatores ambientais na dinâmica de transmissão de </w:t>
      </w:r>
      <w:r w:rsidR="00ED1ED8" w:rsidRPr="00ED1ED8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  <w:lang w:val="pt-PT"/>
        </w:rPr>
        <w:t>T. gondii</w:t>
      </w:r>
      <w:r w:rsidRPr="00A64D86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.</w:t>
      </w:r>
      <w:r w:rsidR="00B8162F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</w:t>
      </w:r>
    </w:p>
    <w:p w14:paraId="6E985232" w14:textId="3EFF9578" w:rsidR="005F545F" w:rsidRDefault="00B8162F" w:rsidP="002E143C">
      <w:pPr>
        <w:spacing w:after="0" w:line="360" w:lineRule="auto"/>
        <w:ind w:firstLine="720"/>
        <w:jc w:val="both"/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Nenhuma </w:t>
      </w:r>
      <w:r w:rsidRPr="00B8162F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das amostras 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foi</w:t>
      </w:r>
      <w:r w:rsidRPr="00B8162F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positiva para anticorpos</w:t>
      </w:r>
      <w:r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IgM</w:t>
      </w:r>
      <w:r w:rsidRPr="00B8162F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anti-</w:t>
      </w:r>
      <w:r w:rsidR="00ED1ED8" w:rsidRPr="00ED1ED8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  <w:lang w:val="pt-PT"/>
        </w:rPr>
        <w:t>T. gondii</w:t>
      </w:r>
      <w:r w:rsidRPr="00B8162F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. Baixas soroprevalência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s</w:t>
      </w:r>
      <w:r w:rsidR="00F15C3D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para IgM</w:t>
      </w:r>
      <w:r w:rsidRPr="00B8162F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também foram</w:t>
      </w:r>
      <w:r w:rsidR="00F15C3D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já foram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relatadas </w:t>
      </w:r>
      <w:r w:rsidR="00F15C3D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em doadores </w:t>
      </w:r>
      <w:r w:rsidRPr="00B8162F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no Brasil, com </w:t>
      </w:r>
      <w:r w:rsidRPr="00B8162F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lastRenderedPageBreak/>
        <w:t>positividade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s</w:t>
      </w:r>
      <w:r w:rsidRPr="00B8162F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de 1,6% </w:t>
      </w:r>
      <w:r w:rsidR="00DD26E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(Paraboni </w:t>
      </w:r>
      <w:r w:rsidR="00ED1ED8" w:rsidRPr="00ED1ED8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  <w:lang w:val="pt-PT"/>
        </w:rPr>
        <w:t>et al.</w:t>
      </w:r>
      <w:r w:rsidR="00DD26E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, 2022)</w:t>
      </w:r>
      <w:r w:rsidRPr="00B8162F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e 1,9% </w:t>
      </w:r>
      <w:r w:rsidR="00DD26E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(Assoni </w:t>
      </w:r>
      <w:r w:rsidR="00ED1ED8" w:rsidRPr="00ED1ED8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  <w:lang w:val="pt-PT"/>
        </w:rPr>
        <w:t>et al.</w:t>
      </w:r>
      <w:r w:rsidR="00DD26E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, 2024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)</w:t>
      </w:r>
      <w:r w:rsidRPr="00B8162F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. Esse achado pode ser atribuído </w:t>
      </w:r>
      <w:r w:rsidR="00DD26E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aos critérios para doação de sangue 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no</w:t>
      </w:r>
      <w:r w:rsidRPr="00B8162F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Brasil, que exigem a exclusão, durante a triagem clínica, de doadores que apresentem febre ou linfadenopatia antes da doação </w:t>
      </w:r>
      <w:r w:rsidR="00DD26E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(BRASIL, 2016)</w:t>
      </w:r>
      <w:r w:rsidRPr="00B8162F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. A presença de sinais clínicos 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de</w:t>
      </w:r>
      <w:r w:rsidRPr="00B8162F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 xml:space="preserve"> fase aguda pode levar à exclusão de candidatos sintomáticos, contribuindo para a menor frequência de resultados IgM-positivos em estudos epidemiológicos</w:t>
      </w:r>
      <w:r w:rsidR="002E143C">
        <w:rPr>
          <w:rFonts w:ascii="Helvetica Neue" w:eastAsia="Helvetica Neue" w:hAnsi="Helvetica Neue" w:cs="Helvetica Neue"/>
          <w:color w:val="000000"/>
          <w:sz w:val="24"/>
          <w:szCs w:val="24"/>
          <w:lang w:val="pt-PT"/>
        </w:rPr>
        <w:t>.</w:t>
      </w:r>
    </w:p>
    <w:p w14:paraId="1277B1D2" w14:textId="77777777" w:rsidR="00DD26EC" w:rsidRDefault="00DD26EC" w:rsidP="00C82079">
      <w:pPr>
        <w:spacing w:after="0" w:line="240" w:lineRule="auto"/>
        <w:ind w:firstLine="720"/>
        <w:jc w:val="both"/>
        <w:rPr>
          <w:rFonts w:ascii="Helvetica Neue" w:eastAsia="Helvetica Neue" w:hAnsi="Helvetica Neue" w:cs="Helvetica Neue"/>
          <w:color w:val="000000"/>
        </w:rPr>
      </w:pPr>
    </w:p>
    <w:p w14:paraId="428ECCB7" w14:textId="05562F5D" w:rsidR="00B8162F" w:rsidRDefault="00096391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eastAsia="Helvetica Neue"/>
        </w:rPr>
      </w:pPr>
      <w:r w:rsidRPr="00C96F2D">
        <w:rPr>
          <w:b/>
          <w:color w:val="000000"/>
        </w:rPr>
        <w:t>Conclusão</w:t>
      </w:r>
    </w:p>
    <w:p w14:paraId="17487239" w14:textId="2C576279" w:rsidR="005F545F" w:rsidRPr="005F545F" w:rsidRDefault="00B8162F" w:rsidP="00F52A4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firstLine="720"/>
        <w:jc w:val="both"/>
        <w:rPr>
          <w:rFonts w:ascii="Helvetica Neue" w:eastAsia="Helvetica Neue" w:hAnsi="Helvetica Neue" w:cs="Helvetica Neue"/>
          <w:color w:val="000000"/>
        </w:rPr>
      </w:pPr>
      <w:r>
        <w:rPr>
          <w:rFonts w:eastAsia="Helvetica Neue"/>
          <w:color w:val="000000"/>
        </w:rPr>
        <w:t>Conclui-se que é expressiva a soroprevalência de anticorpos IgG anti-</w:t>
      </w:r>
      <w:r w:rsidR="00ED1ED8" w:rsidRPr="00ED1ED8">
        <w:rPr>
          <w:rFonts w:eastAsia="Helvetica Neue"/>
          <w:i/>
          <w:iCs/>
          <w:color w:val="000000"/>
        </w:rPr>
        <w:t>T. gondii</w:t>
      </w:r>
      <w:r>
        <w:rPr>
          <w:rFonts w:eastAsia="Helvetica Neue"/>
          <w:color w:val="000000"/>
        </w:rPr>
        <w:t xml:space="preserve"> em doadores de sangue do Hemonúcleo de Sousa</w:t>
      </w:r>
      <w:r w:rsidR="005F545F" w:rsidRPr="00332B6E">
        <w:rPr>
          <w:rFonts w:eastAsia="Helvetica Neue"/>
          <w:color w:val="000000"/>
        </w:rPr>
        <w:t>.</w:t>
      </w:r>
      <w:r>
        <w:rPr>
          <w:rFonts w:eastAsia="Helvetica Neue"/>
          <w:color w:val="000000"/>
        </w:rPr>
        <w:t xml:space="preserve"> Em contraste, é baixa a soroprevalência de anticorpos IgM, sugerindo baixo risco de transmissão trasnfusional de </w:t>
      </w:r>
      <w:r w:rsidR="00ED1ED8" w:rsidRPr="00ED1ED8">
        <w:rPr>
          <w:rFonts w:eastAsia="Helvetica Neue"/>
          <w:i/>
          <w:iCs/>
          <w:color w:val="000000"/>
        </w:rPr>
        <w:t>T. gondii</w:t>
      </w:r>
      <w:r>
        <w:rPr>
          <w:rFonts w:eastAsia="Helvetica Neue"/>
          <w:color w:val="000000"/>
        </w:rPr>
        <w:t>.</w:t>
      </w:r>
    </w:p>
    <w:p w14:paraId="5896F279" w14:textId="51D1DE14" w:rsidR="005F545F" w:rsidRDefault="005F545F" w:rsidP="00C8207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16E067C" w14:textId="5FAF734A" w:rsidR="003D561B" w:rsidRDefault="00771BAA" w:rsidP="00F52A48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1B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</w:p>
    <w:p w14:paraId="1E4718FC" w14:textId="35177916" w:rsidR="001D6497" w:rsidRDefault="001D6497" w:rsidP="007A7A6B">
      <w:pPr>
        <w:widowControl w:val="0"/>
        <w:autoSpaceDE w:val="0"/>
        <w:autoSpaceDN w:val="0"/>
        <w:spacing w:before="1" w:line="240" w:lineRule="auto"/>
        <w:ind w:right="333"/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</w:pPr>
      <w:r w:rsidRPr="001D6497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ASSONI, L. C. P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. et al. </w:t>
      </w:r>
      <w:proofErr w:type="spellStart"/>
      <w:r w:rsidRPr="001D6497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Seroepidemiology</w:t>
      </w:r>
      <w:proofErr w:type="spellEnd"/>
      <w:r w:rsidRPr="001D6497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of </w:t>
      </w:r>
      <w:r w:rsidR="00ED1ED8" w:rsidRPr="00ED1E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en-US"/>
        </w:rPr>
        <w:t>Toxoplasma gondii</w:t>
      </w:r>
      <w:r w:rsidRPr="001D6497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infection in blood donors in a population from the northwestern region of São Paulo state, Brazil. </w:t>
      </w:r>
      <w:r w:rsidRPr="001D649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Trans R Soc Trop Med </w:t>
      </w:r>
      <w:proofErr w:type="spellStart"/>
      <w:r w:rsidRPr="001D649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Hyg</w:t>
      </w:r>
      <w:proofErr w:type="spellEnd"/>
      <w:r w:rsidRPr="001D6497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, v. 118, n. 2, p. 102-109, 2024.</w:t>
      </w:r>
    </w:p>
    <w:p w14:paraId="0348A135" w14:textId="1EC440A4" w:rsidR="001D6497" w:rsidRPr="001D6497" w:rsidRDefault="001D6497" w:rsidP="007A7A6B">
      <w:pPr>
        <w:widowControl w:val="0"/>
        <w:autoSpaceDE w:val="0"/>
        <w:autoSpaceDN w:val="0"/>
        <w:spacing w:before="1" w:line="240" w:lineRule="auto"/>
        <w:ind w:right="333"/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</w:pPr>
      <w:r w:rsidRPr="001D6497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ALMERIA, S.; DUBEY, J. P. Foodborne transmission of </w:t>
      </w:r>
      <w:r w:rsidR="00ED1ED8" w:rsidRPr="00ED1E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 w:eastAsia="en-US"/>
        </w:rPr>
        <w:t>Toxoplasma gondii</w:t>
      </w:r>
      <w:r w:rsidRPr="001D6497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 xml:space="preserve"> infection in the last decade. An overview. </w:t>
      </w:r>
      <w:r w:rsidRPr="001D6497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>Res Vet Sci</w:t>
      </w:r>
      <w:r w:rsidRPr="001D6497">
        <w:rPr>
          <w:rFonts w:ascii="Times New Roman" w:eastAsia="Times New Roman" w:hAnsi="Times New Roman" w:cs="Times New Roman"/>
          <w:bCs/>
          <w:sz w:val="24"/>
          <w:szCs w:val="24"/>
          <w:lang w:val="en-US" w:eastAsia="en-US"/>
        </w:rPr>
        <w:t>, v. 135, p. 371-385, 2021.</w:t>
      </w:r>
    </w:p>
    <w:p w14:paraId="2202F273" w14:textId="42E4F78C" w:rsidR="001D6497" w:rsidRDefault="001D6497" w:rsidP="007A7A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497">
        <w:rPr>
          <w:rFonts w:ascii="Times New Roman" w:hAnsi="Times New Roman" w:cs="Times New Roman"/>
          <w:color w:val="000000"/>
          <w:sz w:val="24"/>
          <w:szCs w:val="24"/>
        </w:rPr>
        <w:t>ALOISE, D.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et al</w:t>
      </w:r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Seroprevalence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risk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factors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for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human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toxoplasmosis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northeastern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Brazil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7A7A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J</w:t>
      </w:r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7A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Trop</w:t>
      </w:r>
      <w:proofErr w:type="spellEnd"/>
      <w:r w:rsidRPr="007A7A6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7A7A6B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Pathol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>, v. 46, n. 4, p. 307-320, 2018.</w:t>
      </w:r>
    </w:p>
    <w:p w14:paraId="6E08D7D5" w14:textId="0549E55D" w:rsidR="001D6497" w:rsidRDefault="001D6497" w:rsidP="007A7A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BRASIL. Ministério da Saúde. </w:t>
      </w:r>
      <w:r w:rsidRPr="00EF58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Portaria nº 158, de 4 de fevereiro de 2016</w:t>
      </w:r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. Diário Oficial da União: seção 1, Brasília, DF, 05 fev. 2016. </w:t>
      </w:r>
    </w:p>
    <w:p w14:paraId="63EF46F5" w14:textId="4EE98E2F" w:rsidR="001D6497" w:rsidRDefault="001D6497" w:rsidP="007A7A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COÊLHO, R. A.; KOBAYASHI, M.; CARVALHO, L. B.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Prevalence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IgG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antibodies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specific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to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D1ED8" w:rsidRPr="00ED1ED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Toxoplasma </w:t>
      </w:r>
      <w:proofErr w:type="spellStart"/>
      <w:r w:rsidR="00ED1ED8" w:rsidRPr="00ED1ED8">
        <w:rPr>
          <w:rFonts w:ascii="Times New Roman" w:hAnsi="Times New Roman" w:cs="Times New Roman"/>
          <w:i/>
          <w:iCs/>
          <w:color w:val="000000"/>
          <w:sz w:val="24"/>
          <w:szCs w:val="24"/>
        </w:rPr>
        <w:t>gondii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among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blood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donors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in Recife,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Northeast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color w:val="000000"/>
          <w:sz w:val="24"/>
          <w:szCs w:val="24"/>
        </w:rPr>
        <w:t>Brazil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EF58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Rev</w:t>
      </w:r>
      <w:proofErr w:type="spellEnd"/>
      <w:r w:rsidRPr="00EF58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EF58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</w:t>
      </w:r>
      <w:proofErr w:type="spellEnd"/>
      <w:r w:rsidRPr="00EF58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Med </w:t>
      </w:r>
      <w:proofErr w:type="spellStart"/>
      <w:r w:rsidRPr="00EF58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Trop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>, v. 45, n. 4, p. 229-231, 2003.</w:t>
      </w:r>
    </w:p>
    <w:p w14:paraId="78172F60" w14:textId="091C695E" w:rsidR="00F52A48" w:rsidRDefault="001D6497" w:rsidP="007A7A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D6497">
        <w:rPr>
          <w:rFonts w:ascii="Times New Roman" w:hAnsi="Times New Roman" w:cs="Times New Roman"/>
          <w:color w:val="000000"/>
          <w:sz w:val="24"/>
          <w:szCs w:val="24"/>
        </w:rPr>
        <w:t xml:space="preserve">DUBEY, J. P. </w:t>
      </w:r>
      <w:proofErr w:type="spellStart"/>
      <w:r w:rsidRPr="001D6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Toxoplasmosis</w:t>
      </w:r>
      <w:proofErr w:type="spellEnd"/>
      <w:r w:rsidRPr="001D6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of</w:t>
      </w:r>
      <w:proofErr w:type="spellEnd"/>
      <w:r w:rsidRPr="001D6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Animals</w:t>
      </w:r>
      <w:proofErr w:type="spellEnd"/>
      <w:r w:rsidRPr="001D6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</w:t>
      </w:r>
      <w:proofErr w:type="spellEnd"/>
      <w:r w:rsidRPr="001D6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Humans</w:t>
      </w:r>
      <w:proofErr w:type="spellEnd"/>
      <w:r w:rsidRPr="001D6497">
        <w:rPr>
          <w:rFonts w:ascii="Times New Roman" w:hAnsi="Times New Roman" w:cs="Times New Roman"/>
          <w:color w:val="000000"/>
          <w:sz w:val="24"/>
          <w:szCs w:val="24"/>
        </w:rPr>
        <w:t>. 3rd ed. Boca Raton: CRC Press, 2021.</w:t>
      </w:r>
    </w:p>
    <w:p w14:paraId="361B0277" w14:textId="784E6B39" w:rsidR="007A7A6B" w:rsidRPr="001D6497" w:rsidRDefault="007A7A6B" w:rsidP="007A7A6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A7A6B">
        <w:rPr>
          <w:rFonts w:ascii="Times New Roman" w:hAnsi="Times New Roman" w:cs="Times New Roman"/>
          <w:color w:val="000000"/>
          <w:sz w:val="24"/>
          <w:szCs w:val="24"/>
        </w:rPr>
        <w:t xml:space="preserve">KHURANA, S.; BATRA, N. </w:t>
      </w:r>
      <w:proofErr w:type="spellStart"/>
      <w:r w:rsidRPr="007A7A6B">
        <w:rPr>
          <w:rFonts w:ascii="Times New Roman" w:hAnsi="Times New Roman" w:cs="Times New Roman"/>
          <w:color w:val="000000"/>
          <w:sz w:val="24"/>
          <w:szCs w:val="24"/>
        </w:rPr>
        <w:t>Toxoplasmosis</w:t>
      </w:r>
      <w:proofErr w:type="spellEnd"/>
      <w:r w:rsidRPr="007A7A6B">
        <w:rPr>
          <w:rFonts w:ascii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Pr="007A7A6B">
        <w:rPr>
          <w:rFonts w:ascii="Times New Roman" w:hAnsi="Times New Roman" w:cs="Times New Roman"/>
          <w:color w:val="000000"/>
          <w:sz w:val="24"/>
          <w:szCs w:val="24"/>
        </w:rPr>
        <w:t>organ</w:t>
      </w:r>
      <w:proofErr w:type="spellEnd"/>
      <w:r w:rsidRPr="007A7A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7A6B">
        <w:rPr>
          <w:rFonts w:ascii="Times New Roman" w:hAnsi="Times New Roman" w:cs="Times New Roman"/>
          <w:color w:val="000000"/>
          <w:sz w:val="24"/>
          <w:szCs w:val="24"/>
        </w:rPr>
        <w:t>transplant</w:t>
      </w:r>
      <w:proofErr w:type="spellEnd"/>
      <w:r w:rsidRPr="007A7A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7A6B">
        <w:rPr>
          <w:rFonts w:ascii="Times New Roman" w:hAnsi="Times New Roman" w:cs="Times New Roman"/>
          <w:color w:val="000000"/>
          <w:sz w:val="24"/>
          <w:szCs w:val="24"/>
        </w:rPr>
        <w:t>recipients</w:t>
      </w:r>
      <w:proofErr w:type="spellEnd"/>
      <w:r w:rsidRPr="007A7A6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7A7A6B">
        <w:rPr>
          <w:rFonts w:ascii="Times New Roman" w:hAnsi="Times New Roman" w:cs="Times New Roman"/>
          <w:color w:val="000000"/>
          <w:sz w:val="24"/>
          <w:szCs w:val="24"/>
        </w:rPr>
        <w:t>evaluation</w:t>
      </w:r>
      <w:proofErr w:type="spellEnd"/>
      <w:r w:rsidRPr="007A7A6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7A6B">
        <w:rPr>
          <w:rFonts w:ascii="Times New Roman" w:hAnsi="Times New Roman" w:cs="Times New Roman"/>
          <w:color w:val="000000"/>
          <w:sz w:val="24"/>
          <w:szCs w:val="24"/>
        </w:rPr>
        <w:t>implication</w:t>
      </w:r>
      <w:proofErr w:type="spellEnd"/>
      <w:r w:rsidRPr="007A7A6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7A7A6B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7A7A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A7A6B">
        <w:rPr>
          <w:rFonts w:ascii="Times New Roman" w:hAnsi="Times New Roman" w:cs="Times New Roman"/>
          <w:color w:val="000000"/>
          <w:sz w:val="24"/>
          <w:szCs w:val="24"/>
        </w:rPr>
        <w:t>prevention</w:t>
      </w:r>
      <w:proofErr w:type="spellEnd"/>
      <w:r w:rsidRPr="007A7A6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F580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Trop. </w:t>
      </w:r>
      <w:proofErr w:type="spellStart"/>
      <w:r w:rsidRPr="00EF58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Parasitol</w:t>
      </w:r>
      <w:proofErr w:type="spellEnd"/>
      <w:r w:rsidRPr="00EF580C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v. </w:t>
      </w:r>
      <w:r w:rsidRPr="007A7A6B">
        <w:rPr>
          <w:rFonts w:ascii="Times New Roman" w:hAnsi="Times New Roman" w:cs="Times New Roman"/>
          <w:color w:val="000000"/>
          <w:sz w:val="24"/>
          <w:szCs w:val="24"/>
        </w:rPr>
        <w:t xml:space="preserve">6,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p. </w:t>
      </w:r>
      <w:r w:rsidRPr="007A7A6B">
        <w:rPr>
          <w:rFonts w:ascii="Times New Roman" w:hAnsi="Times New Roman" w:cs="Times New Roman"/>
          <w:color w:val="000000"/>
          <w:sz w:val="24"/>
          <w:szCs w:val="24"/>
        </w:rPr>
        <w:t>123</w:t>
      </w: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7A7A6B">
        <w:rPr>
          <w:rFonts w:ascii="Times New Roman" w:hAnsi="Times New Roman" w:cs="Times New Roman"/>
          <w:color w:val="000000"/>
          <w:sz w:val="24"/>
          <w:szCs w:val="24"/>
        </w:rPr>
        <w:t>128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A7A6B">
        <w:rPr>
          <w:rFonts w:ascii="Times New Roman" w:hAnsi="Times New Roman" w:cs="Times New Roman"/>
          <w:color w:val="000000"/>
          <w:sz w:val="24"/>
          <w:szCs w:val="24"/>
        </w:rPr>
        <w:t>2016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76F2D7F" w14:textId="3B24ACEC" w:rsidR="00DA0A6C" w:rsidRDefault="001D6497" w:rsidP="007A7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97">
        <w:rPr>
          <w:rFonts w:ascii="Times New Roman" w:hAnsi="Times New Roman" w:cs="Times New Roman"/>
          <w:sz w:val="24"/>
          <w:szCs w:val="24"/>
        </w:rPr>
        <w:t>SILVA, A. L. P.;</w:t>
      </w:r>
      <w:r>
        <w:rPr>
          <w:rFonts w:ascii="Times New Roman" w:hAnsi="Times New Roman" w:cs="Times New Roman"/>
          <w:sz w:val="24"/>
          <w:szCs w:val="24"/>
        </w:rPr>
        <w:t xml:space="preserve"> et al</w:t>
      </w:r>
      <w:r w:rsidRPr="001D6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Survival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viability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r w:rsidR="00ED1ED8" w:rsidRPr="00ED1ED8">
        <w:rPr>
          <w:rFonts w:ascii="Times New Roman" w:hAnsi="Times New Roman" w:cs="Times New Roman"/>
          <w:i/>
          <w:iCs/>
          <w:sz w:val="24"/>
          <w:szCs w:val="24"/>
        </w:rPr>
        <w:t xml:space="preserve">Toxoplasma </w:t>
      </w:r>
      <w:proofErr w:type="spellStart"/>
      <w:r w:rsidR="00ED1ED8" w:rsidRPr="00ED1ED8">
        <w:rPr>
          <w:rFonts w:ascii="Times New Roman" w:hAnsi="Times New Roman" w:cs="Times New Roman"/>
          <w:i/>
          <w:iCs/>
          <w:sz w:val="24"/>
          <w:szCs w:val="24"/>
        </w:rPr>
        <w:t>gondii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oocysts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under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natural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dry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season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conditions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Brazilian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semi-arid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region. </w:t>
      </w:r>
      <w:proofErr w:type="spellStart"/>
      <w:r w:rsidRPr="00FD297D">
        <w:rPr>
          <w:rFonts w:ascii="Times New Roman" w:hAnsi="Times New Roman" w:cs="Times New Roman"/>
          <w:b/>
          <w:bCs/>
          <w:sz w:val="24"/>
          <w:szCs w:val="24"/>
        </w:rPr>
        <w:t>Vet</w:t>
      </w:r>
      <w:proofErr w:type="spellEnd"/>
      <w:r w:rsidRPr="00FD297D">
        <w:rPr>
          <w:rFonts w:ascii="Times New Roman" w:hAnsi="Times New Roman" w:cs="Times New Roman"/>
          <w:b/>
          <w:bCs/>
          <w:sz w:val="24"/>
          <w:szCs w:val="24"/>
        </w:rPr>
        <w:t xml:space="preserve"> Res </w:t>
      </w:r>
      <w:proofErr w:type="spellStart"/>
      <w:r w:rsidRPr="00FD297D">
        <w:rPr>
          <w:rFonts w:ascii="Times New Roman" w:hAnsi="Times New Roman" w:cs="Times New Roman"/>
          <w:b/>
          <w:bCs/>
          <w:sz w:val="24"/>
          <w:szCs w:val="24"/>
        </w:rPr>
        <w:t>Commun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>, v. 49, n. 4, p. 191, 2025.</w:t>
      </w:r>
    </w:p>
    <w:p w14:paraId="738C9778" w14:textId="77FCFE13" w:rsidR="0075219E" w:rsidRDefault="001D6497" w:rsidP="007A7A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97">
        <w:rPr>
          <w:rFonts w:ascii="Times New Roman" w:hAnsi="Times New Roman" w:cs="Times New Roman"/>
          <w:sz w:val="24"/>
          <w:szCs w:val="24"/>
        </w:rPr>
        <w:t>PARABONI, M. L. R</w:t>
      </w:r>
      <w:r>
        <w:rPr>
          <w:rFonts w:ascii="Times New Roman" w:hAnsi="Times New Roman" w:cs="Times New Roman"/>
          <w:sz w:val="24"/>
          <w:szCs w:val="24"/>
        </w:rPr>
        <w:t>. et al.</w:t>
      </w:r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Seroprevalence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systemic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immune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biomarkers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associated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r w:rsidR="00ED1ED8" w:rsidRPr="00ED1ED8">
        <w:rPr>
          <w:rFonts w:ascii="Times New Roman" w:hAnsi="Times New Roman" w:cs="Times New Roman"/>
          <w:i/>
          <w:iCs/>
          <w:sz w:val="24"/>
          <w:szCs w:val="24"/>
        </w:rPr>
        <w:t xml:space="preserve">Toxoplasma </w:t>
      </w:r>
      <w:proofErr w:type="spellStart"/>
      <w:r w:rsidR="00ED1ED8" w:rsidRPr="00ED1ED8">
        <w:rPr>
          <w:rFonts w:ascii="Times New Roman" w:hAnsi="Times New Roman" w:cs="Times New Roman"/>
          <w:i/>
          <w:iCs/>
          <w:sz w:val="24"/>
          <w:szCs w:val="24"/>
        </w:rPr>
        <w:t>gondii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infection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blood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donors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Southern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Brazil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297D">
        <w:rPr>
          <w:rFonts w:ascii="Times New Roman" w:hAnsi="Times New Roman" w:cs="Times New Roman"/>
          <w:b/>
          <w:bCs/>
          <w:sz w:val="24"/>
          <w:szCs w:val="24"/>
        </w:rPr>
        <w:t>Immunobiology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>, v. 227, n. 6, p. 152294, 2022.</w:t>
      </w:r>
    </w:p>
    <w:p w14:paraId="547AF4B0" w14:textId="48ADE681" w:rsidR="0075219E" w:rsidRPr="00C96F2D" w:rsidRDefault="001D6497" w:rsidP="00C820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6497">
        <w:rPr>
          <w:rFonts w:ascii="Times New Roman" w:hAnsi="Times New Roman" w:cs="Times New Roman"/>
          <w:sz w:val="24"/>
          <w:szCs w:val="24"/>
        </w:rPr>
        <w:t>ZHOU, N.</w:t>
      </w:r>
      <w:r>
        <w:rPr>
          <w:rFonts w:ascii="Times New Roman" w:hAnsi="Times New Roman" w:cs="Times New Roman"/>
          <w:sz w:val="24"/>
          <w:szCs w:val="24"/>
        </w:rPr>
        <w:t xml:space="preserve"> et al.</w:t>
      </w:r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Seroprevalence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r w:rsidR="00ED1ED8" w:rsidRPr="00ED1ED8">
        <w:rPr>
          <w:rFonts w:ascii="Times New Roman" w:hAnsi="Times New Roman" w:cs="Times New Roman"/>
          <w:i/>
          <w:iCs/>
          <w:sz w:val="24"/>
          <w:szCs w:val="24"/>
        </w:rPr>
        <w:t xml:space="preserve">Toxoplasma </w:t>
      </w:r>
      <w:proofErr w:type="spellStart"/>
      <w:r w:rsidR="00ED1ED8" w:rsidRPr="00ED1ED8">
        <w:rPr>
          <w:rFonts w:ascii="Times New Roman" w:hAnsi="Times New Roman" w:cs="Times New Roman"/>
          <w:i/>
          <w:iCs/>
          <w:sz w:val="24"/>
          <w:szCs w:val="24"/>
        </w:rPr>
        <w:t>gondii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infection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leukemia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in Shandong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Province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>, Eastern China: a case-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prospective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6497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D297D">
        <w:rPr>
          <w:rFonts w:ascii="Times New Roman" w:hAnsi="Times New Roman" w:cs="Times New Roman"/>
          <w:b/>
          <w:bCs/>
          <w:sz w:val="24"/>
          <w:szCs w:val="24"/>
        </w:rPr>
        <w:t>PeerJ</w:t>
      </w:r>
      <w:proofErr w:type="spellEnd"/>
      <w:r w:rsidRPr="001D6497">
        <w:rPr>
          <w:rFonts w:ascii="Times New Roman" w:hAnsi="Times New Roman" w:cs="Times New Roman"/>
          <w:sz w:val="24"/>
          <w:szCs w:val="24"/>
        </w:rPr>
        <w:t>, v. 7, p. e6604, 2019.</w:t>
      </w:r>
    </w:p>
    <w:sectPr w:rsidR="0075219E" w:rsidRPr="00C96F2D" w:rsidSect="000526E1">
      <w:headerReference w:type="default" r:id="rId8"/>
      <w:footerReference w:type="default" r:id="rId9"/>
      <w:pgSz w:w="11906" w:h="16838" w:code="9"/>
      <w:pgMar w:top="2159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2A35A" w14:textId="77777777" w:rsidR="00875339" w:rsidRDefault="00875339" w:rsidP="00AB75BD">
      <w:pPr>
        <w:spacing w:after="0" w:line="240" w:lineRule="auto"/>
      </w:pPr>
      <w:r>
        <w:separator/>
      </w:r>
    </w:p>
  </w:endnote>
  <w:endnote w:type="continuationSeparator" w:id="0">
    <w:p w14:paraId="01313758" w14:textId="77777777" w:rsidR="00875339" w:rsidRDefault="00875339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51E6" w14:textId="77777777" w:rsidR="00875339" w:rsidRDefault="00875339" w:rsidP="00AB75BD">
      <w:pPr>
        <w:spacing w:after="0" w:line="240" w:lineRule="auto"/>
      </w:pPr>
      <w:r>
        <w:separator/>
      </w:r>
    </w:p>
  </w:footnote>
  <w:footnote w:type="continuationSeparator" w:id="0">
    <w:p w14:paraId="40134653" w14:textId="77777777" w:rsidR="00875339" w:rsidRDefault="00875339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887076B" w14:textId="33EF6425" w:rsidR="000526E1" w:rsidRPr="000526E1" w:rsidRDefault="000526E1" w:rsidP="000526E1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5D0CDCB7">
              <wp:simplePos x="0" y="0"/>
              <wp:positionH relativeFrom="column">
                <wp:posOffset>-30480</wp:posOffset>
              </wp:positionH>
              <wp:positionV relativeFrom="paragraph">
                <wp:posOffset>-417830</wp:posOffset>
              </wp:positionV>
              <wp:extent cx="5930900" cy="1482725"/>
              <wp:effectExtent l="0" t="0" r="0" b="3175"/>
              <wp:wrapNone/>
              <wp:docPr id="2136544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0900" cy="148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DFA59A0" w14:textId="41E61CE5" w:rsidR="000526E1" w:rsidRDefault="000526E1">
        <w:pPr>
          <w:pStyle w:val="Cabealho"/>
          <w:jc w:val="right"/>
          <w:rPr>
            <w:noProof/>
          </w:rPr>
        </w:pPr>
      </w:p>
      <w:p w14:paraId="39A44401" w14:textId="65BBB6FB" w:rsidR="00D540F6" w:rsidRDefault="00D540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28158" w14:textId="77777777" w:rsidR="00D540F6" w:rsidRDefault="00D540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E6C36"/>
    <w:multiLevelType w:val="hybridMultilevel"/>
    <w:tmpl w:val="E6B672B8"/>
    <w:lvl w:ilvl="0" w:tplc="F2B8187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  <w:sz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63267"/>
    <w:multiLevelType w:val="hybridMultilevel"/>
    <w:tmpl w:val="744E3B14"/>
    <w:lvl w:ilvl="0" w:tplc="295E756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auto"/>
        <w:sz w:val="24"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06521">
    <w:abstractNumId w:val="0"/>
  </w:num>
  <w:num w:numId="2" w16cid:durableId="1057624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51623"/>
    <w:rsid w:val="000526E1"/>
    <w:rsid w:val="000738E7"/>
    <w:rsid w:val="00087BA3"/>
    <w:rsid w:val="00096391"/>
    <w:rsid w:val="000B082B"/>
    <w:rsid w:val="000C44E9"/>
    <w:rsid w:val="000D200C"/>
    <w:rsid w:val="000D741E"/>
    <w:rsid w:val="000E7CC2"/>
    <w:rsid w:val="00110F71"/>
    <w:rsid w:val="00132F53"/>
    <w:rsid w:val="00133F76"/>
    <w:rsid w:val="001359B8"/>
    <w:rsid w:val="0017489F"/>
    <w:rsid w:val="00187E72"/>
    <w:rsid w:val="00193F35"/>
    <w:rsid w:val="00197666"/>
    <w:rsid w:val="001D2BFE"/>
    <w:rsid w:val="001D4FBB"/>
    <w:rsid w:val="001D6497"/>
    <w:rsid w:val="001F77CF"/>
    <w:rsid w:val="00207DD5"/>
    <w:rsid w:val="002241DD"/>
    <w:rsid w:val="0024740F"/>
    <w:rsid w:val="00266DF0"/>
    <w:rsid w:val="00270172"/>
    <w:rsid w:val="00270BC3"/>
    <w:rsid w:val="002947DB"/>
    <w:rsid w:val="002A6AA0"/>
    <w:rsid w:val="002E143C"/>
    <w:rsid w:val="002F117F"/>
    <w:rsid w:val="00326A9A"/>
    <w:rsid w:val="00332B6E"/>
    <w:rsid w:val="00332CAC"/>
    <w:rsid w:val="003515C2"/>
    <w:rsid w:val="00371349"/>
    <w:rsid w:val="00381700"/>
    <w:rsid w:val="00383A79"/>
    <w:rsid w:val="003A40B1"/>
    <w:rsid w:val="003D561B"/>
    <w:rsid w:val="00407C06"/>
    <w:rsid w:val="004146B4"/>
    <w:rsid w:val="00421F5B"/>
    <w:rsid w:val="0045468D"/>
    <w:rsid w:val="004656B6"/>
    <w:rsid w:val="00495242"/>
    <w:rsid w:val="0049645F"/>
    <w:rsid w:val="004B31C1"/>
    <w:rsid w:val="004C2666"/>
    <w:rsid w:val="00512482"/>
    <w:rsid w:val="00530FAF"/>
    <w:rsid w:val="005349D6"/>
    <w:rsid w:val="005371F7"/>
    <w:rsid w:val="00581AAE"/>
    <w:rsid w:val="00594058"/>
    <w:rsid w:val="005A73B4"/>
    <w:rsid w:val="005C2B12"/>
    <w:rsid w:val="005F545F"/>
    <w:rsid w:val="006057C5"/>
    <w:rsid w:val="00622858"/>
    <w:rsid w:val="00664B38"/>
    <w:rsid w:val="0067087E"/>
    <w:rsid w:val="006875EA"/>
    <w:rsid w:val="006C1804"/>
    <w:rsid w:val="006F5C08"/>
    <w:rsid w:val="0070355F"/>
    <w:rsid w:val="007144E5"/>
    <w:rsid w:val="00720767"/>
    <w:rsid w:val="0075219E"/>
    <w:rsid w:val="00771BAA"/>
    <w:rsid w:val="00773621"/>
    <w:rsid w:val="007A7A6B"/>
    <w:rsid w:val="007B686E"/>
    <w:rsid w:val="007F7CC5"/>
    <w:rsid w:val="0081157E"/>
    <w:rsid w:val="00822565"/>
    <w:rsid w:val="00846746"/>
    <w:rsid w:val="0085652D"/>
    <w:rsid w:val="008636B8"/>
    <w:rsid w:val="00875339"/>
    <w:rsid w:val="008D66ED"/>
    <w:rsid w:val="008F3944"/>
    <w:rsid w:val="0090054B"/>
    <w:rsid w:val="0090092D"/>
    <w:rsid w:val="00904400"/>
    <w:rsid w:val="00906F1D"/>
    <w:rsid w:val="00921FBF"/>
    <w:rsid w:val="00950F5D"/>
    <w:rsid w:val="00952767"/>
    <w:rsid w:val="00953E92"/>
    <w:rsid w:val="00955EF8"/>
    <w:rsid w:val="009621A2"/>
    <w:rsid w:val="00981A3D"/>
    <w:rsid w:val="009D52B2"/>
    <w:rsid w:val="009E23CD"/>
    <w:rsid w:val="00A046E7"/>
    <w:rsid w:val="00A64D86"/>
    <w:rsid w:val="00A878EF"/>
    <w:rsid w:val="00A90D44"/>
    <w:rsid w:val="00AA7EED"/>
    <w:rsid w:val="00AB3616"/>
    <w:rsid w:val="00AB75BD"/>
    <w:rsid w:val="00AC4C9E"/>
    <w:rsid w:val="00AD21ED"/>
    <w:rsid w:val="00AD764A"/>
    <w:rsid w:val="00AE7494"/>
    <w:rsid w:val="00AF3B88"/>
    <w:rsid w:val="00B0066A"/>
    <w:rsid w:val="00B03E00"/>
    <w:rsid w:val="00B040C3"/>
    <w:rsid w:val="00B21C05"/>
    <w:rsid w:val="00B27DA7"/>
    <w:rsid w:val="00B40F63"/>
    <w:rsid w:val="00B8162F"/>
    <w:rsid w:val="00BC5E67"/>
    <w:rsid w:val="00BD3E40"/>
    <w:rsid w:val="00BD6EA9"/>
    <w:rsid w:val="00BE075D"/>
    <w:rsid w:val="00BE61DE"/>
    <w:rsid w:val="00BF2050"/>
    <w:rsid w:val="00C04C9C"/>
    <w:rsid w:val="00C05A68"/>
    <w:rsid w:val="00C34A7D"/>
    <w:rsid w:val="00C4304D"/>
    <w:rsid w:val="00C50B11"/>
    <w:rsid w:val="00C50D9B"/>
    <w:rsid w:val="00C512C2"/>
    <w:rsid w:val="00C74280"/>
    <w:rsid w:val="00C74AA8"/>
    <w:rsid w:val="00C82079"/>
    <w:rsid w:val="00C836BB"/>
    <w:rsid w:val="00C86FE6"/>
    <w:rsid w:val="00C963A5"/>
    <w:rsid w:val="00C96F2D"/>
    <w:rsid w:val="00D20B04"/>
    <w:rsid w:val="00D22C07"/>
    <w:rsid w:val="00D25BF7"/>
    <w:rsid w:val="00D4484D"/>
    <w:rsid w:val="00D540F6"/>
    <w:rsid w:val="00D67845"/>
    <w:rsid w:val="00D97BAA"/>
    <w:rsid w:val="00DA0A6C"/>
    <w:rsid w:val="00DA2C3B"/>
    <w:rsid w:val="00DA4EE9"/>
    <w:rsid w:val="00DB5F2C"/>
    <w:rsid w:val="00DD26EC"/>
    <w:rsid w:val="00DD45AC"/>
    <w:rsid w:val="00DD6AFE"/>
    <w:rsid w:val="00DD6BDC"/>
    <w:rsid w:val="00E23746"/>
    <w:rsid w:val="00E62894"/>
    <w:rsid w:val="00E736C0"/>
    <w:rsid w:val="00E8580D"/>
    <w:rsid w:val="00EB1855"/>
    <w:rsid w:val="00EB583C"/>
    <w:rsid w:val="00ED1ED8"/>
    <w:rsid w:val="00ED2087"/>
    <w:rsid w:val="00ED48BA"/>
    <w:rsid w:val="00EE0517"/>
    <w:rsid w:val="00EE7265"/>
    <w:rsid w:val="00EF580C"/>
    <w:rsid w:val="00F14DD0"/>
    <w:rsid w:val="00F15C3D"/>
    <w:rsid w:val="00F519AF"/>
    <w:rsid w:val="00F52A48"/>
    <w:rsid w:val="00F56791"/>
    <w:rsid w:val="00F82C46"/>
    <w:rsid w:val="00FA1F4C"/>
    <w:rsid w:val="00FC01C7"/>
    <w:rsid w:val="00FD297D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526E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7A7A6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67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1222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Basilio Felizardo</cp:lastModifiedBy>
  <cp:revision>10</cp:revision>
  <dcterms:created xsi:type="dcterms:W3CDTF">2026-02-10T13:34:00Z</dcterms:created>
  <dcterms:modified xsi:type="dcterms:W3CDTF">2026-04-10T12:51:00Z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