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2977" w:type="dxa"/>
        <w:tblInd w:w="7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tblGrid>
      <w:tr w:rsidR="00C0261A" w:rsidTr="00195F92">
        <w:tc>
          <w:tcPr>
            <w:tcW w:w="2977" w:type="dxa"/>
          </w:tcPr>
          <w:p w:rsidR="00C0261A" w:rsidRPr="00C0261A" w:rsidRDefault="00C0261A" w:rsidP="00C0261A">
            <w:pPr>
              <w:pStyle w:val="SemEspaamento"/>
              <w:jc w:val="right"/>
              <w:rPr>
                <w:rFonts w:ascii="Adobe Devanagari" w:hAnsi="Adobe Devanagari" w:cs="Adobe Devanagari"/>
                <w:b/>
                <w:bCs/>
                <w:i/>
                <w:iCs/>
                <w:color w:val="385623" w:themeColor="accent6" w:themeShade="80"/>
                <w:sz w:val="24"/>
                <w:szCs w:val="24"/>
              </w:rPr>
            </w:pPr>
            <w:r w:rsidRPr="00C0261A">
              <w:rPr>
                <w:rFonts w:ascii="Adobe Devanagari" w:hAnsi="Adobe Devanagari" w:cs="Adobe Devanagari"/>
                <w:b/>
                <w:bCs/>
                <w:i/>
                <w:iCs/>
                <w:color w:val="385623" w:themeColor="accent6" w:themeShade="80"/>
                <w:sz w:val="24"/>
                <w:szCs w:val="24"/>
              </w:rPr>
              <w:t>Resumo simples</w:t>
            </w:r>
          </w:p>
        </w:tc>
      </w:tr>
    </w:tbl>
    <w:p w:rsidR="00460B2C" w:rsidRDefault="00460B2C" w:rsidP="008855E5">
      <w:pPr>
        <w:pStyle w:val="SemEspaamento"/>
        <w:jc w:val="center"/>
        <w:rPr>
          <w:rFonts w:ascii="Arial" w:hAnsi="Arial" w:cs="Arial"/>
          <w:b/>
          <w:bCs/>
          <w:color w:val="385623" w:themeColor="accent6" w:themeShade="80"/>
          <w:sz w:val="28"/>
          <w:szCs w:val="28"/>
        </w:rPr>
      </w:pPr>
    </w:p>
    <w:p w:rsidR="00E60D89" w:rsidRPr="00C0261A" w:rsidRDefault="006E68F4" w:rsidP="008855E5">
      <w:pPr>
        <w:pStyle w:val="SemEspaamento"/>
        <w:jc w:val="center"/>
        <w:rPr>
          <w:rFonts w:ascii="Adobe Devanagari" w:hAnsi="Adobe Devanagari" w:cs="Adobe Devanagari"/>
          <w:b/>
          <w:bCs/>
          <w:color w:val="385623" w:themeColor="accent6" w:themeShade="80"/>
          <w:sz w:val="28"/>
          <w:szCs w:val="28"/>
        </w:rPr>
      </w:pPr>
      <w:r>
        <w:rPr>
          <w:rFonts w:ascii="Adobe Devanagari" w:hAnsi="Adobe Devanagari" w:cs="Adobe Devanagari"/>
          <w:b/>
          <w:bCs/>
          <w:color w:val="385623" w:themeColor="accent6" w:themeShade="80"/>
          <w:sz w:val="28"/>
          <w:szCs w:val="28"/>
        </w:rPr>
        <w:t xml:space="preserve">COMPOSTOS FENÓLICOS TOTAIS E </w:t>
      </w:r>
      <w:r w:rsidRPr="006E68F4">
        <w:rPr>
          <w:rFonts w:ascii="Adobe Devanagari" w:hAnsi="Adobe Devanagari" w:cs="Adobe Devanagari"/>
          <w:b/>
          <w:bCs/>
          <w:color w:val="385623" w:themeColor="accent6" w:themeShade="80"/>
          <w:sz w:val="28"/>
          <w:szCs w:val="28"/>
        </w:rPr>
        <w:t xml:space="preserve">ATIVIDADE FUNGICIDA DO </w:t>
      </w:r>
      <w:r w:rsidR="002935FC">
        <w:rPr>
          <w:rFonts w:ascii="Adobe Devanagari" w:hAnsi="Adobe Devanagari" w:cs="Adobe Devanagari"/>
          <w:b/>
          <w:bCs/>
          <w:color w:val="385623" w:themeColor="accent6" w:themeShade="80"/>
          <w:sz w:val="28"/>
          <w:szCs w:val="28"/>
        </w:rPr>
        <w:t>EXTRATO HIDROALCÓOLICO</w:t>
      </w:r>
      <w:r w:rsidRPr="006E68F4">
        <w:rPr>
          <w:rFonts w:ascii="Adobe Devanagari" w:hAnsi="Adobe Devanagari" w:cs="Adobe Devanagari"/>
          <w:b/>
          <w:bCs/>
          <w:color w:val="385623" w:themeColor="accent6" w:themeShade="80"/>
          <w:sz w:val="28"/>
          <w:szCs w:val="28"/>
        </w:rPr>
        <w:t xml:space="preserve"> D</w:t>
      </w:r>
      <w:r w:rsidR="002935FC">
        <w:rPr>
          <w:rFonts w:ascii="Adobe Devanagari" w:hAnsi="Adobe Devanagari" w:cs="Adobe Devanagari"/>
          <w:b/>
          <w:bCs/>
          <w:color w:val="385623" w:themeColor="accent6" w:themeShade="80"/>
          <w:sz w:val="28"/>
          <w:szCs w:val="28"/>
        </w:rPr>
        <w:t>AS FOLHAS D</w:t>
      </w:r>
      <w:r w:rsidRPr="006E68F4">
        <w:rPr>
          <w:rFonts w:ascii="Adobe Devanagari" w:hAnsi="Adobe Devanagari" w:cs="Adobe Devanagari"/>
          <w:b/>
          <w:bCs/>
          <w:color w:val="385623" w:themeColor="accent6" w:themeShade="80"/>
          <w:sz w:val="28"/>
          <w:szCs w:val="28"/>
        </w:rPr>
        <w:t xml:space="preserve">E </w:t>
      </w:r>
      <w:r w:rsidRPr="006E68F4">
        <w:rPr>
          <w:rFonts w:ascii="Adobe Devanagari" w:hAnsi="Adobe Devanagari" w:cs="Adobe Devanagari"/>
          <w:b/>
          <w:bCs/>
          <w:i/>
          <w:iCs/>
          <w:color w:val="385623" w:themeColor="accent6" w:themeShade="80"/>
          <w:sz w:val="28"/>
          <w:szCs w:val="28"/>
        </w:rPr>
        <w:t>Ocimum citriodorum</w:t>
      </w:r>
      <w:r w:rsidRPr="006E68F4">
        <w:rPr>
          <w:rFonts w:ascii="Adobe Devanagari" w:hAnsi="Adobe Devanagari" w:cs="Adobe Devanagari"/>
          <w:b/>
          <w:bCs/>
          <w:color w:val="385623" w:themeColor="accent6" w:themeShade="80"/>
          <w:sz w:val="28"/>
          <w:szCs w:val="28"/>
        </w:rPr>
        <w:t xml:space="preserve"> L.</w:t>
      </w:r>
    </w:p>
    <w:p w:rsidR="008855E5" w:rsidRPr="008855E5" w:rsidRDefault="008855E5" w:rsidP="008855E5">
      <w:pPr>
        <w:pStyle w:val="SemEspaamento"/>
        <w:jc w:val="center"/>
        <w:rPr>
          <w:rFonts w:ascii="Arial" w:hAnsi="Arial" w:cs="Arial"/>
          <w:b/>
          <w:bCs/>
          <w:color w:val="385623" w:themeColor="accent6" w:themeShade="80"/>
          <w:sz w:val="28"/>
          <w:szCs w:val="28"/>
        </w:rPr>
      </w:pPr>
    </w:p>
    <w:p w:rsidR="00E60D89" w:rsidRPr="004C4D30" w:rsidRDefault="006E68F4" w:rsidP="00E60D89">
      <w:pPr>
        <w:pStyle w:val="SemEspaamento"/>
        <w:jc w:val="center"/>
        <w:rPr>
          <w:rFonts w:ascii="Adobe Devanagari" w:hAnsi="Adobe Devanagari" w:cs="Adobe Devanagari"/>
          <w:b/>
          <w:bCs/>
          <w:i/>
          <w:iCs/>
          <w:sz w:val="24"/>
          <w:szCs w:val="24"/>
        </w:rPr>
      </w:pPr>
      <w:bookmarkStart w:id="0" w:name="_Hlk56955629"/>
      <w:r w:rsidRPr="00F67316">
        <w:rPr>
          <w:rFonts w:ascii="Adobe Devanagari" w:hAnsi="Adobe Devanagari" w:cs="Adobe Devanagari"/>
          <w:b/>
          <w:bCs/>
          <w:i/>
          <w:iCs/>
          <w:sz w:val="24"/>
          <w:szCs w:val="24"/>
        </w:rPr>
        <w:t>Cassiano</w:t>
      </w:r>
      <w:r w:rsidR="00C12DAC" w:rsidRPr="00F67316">
        <w:rPr>
          <w:rFonts w:ascii="Adobe Devanagari" w:hAnsi="Adobe Devanagari" w:cs="Adobe Devanagari"/>
          <w:b/>
          <w:bCs/>
          <w:i/>
          <w:iCs/>
          <w:sz w:val="24"/>
          <w:szCs w:val="24"/>
        </w:rPr>
        <w:t>VasquesFrotaGUTERRES</w:t>
      </w:r>
      <w:r w:rsidR="002817F2" w:rsidRPr="00F67316">
        <w:rPr>
          <w:rStyle w:val="Refdenotaderodap"/>
          <w:rFonts w:ascii="Adobe Devanagari" w:hAnsi="Adobe Devanagari" w:cs="Adobe Devanagari"/>
          <w:b/>
          <w:bCs/>
          <w:i/>
          <w:iCs/>
          <w:sz w:val="24"/>
          <w:szCs w:val="24"/>
        </w:rPr>
        <w:footnoteReference w:id="2"/>
      </w:r>
      <w:r w:rsidR="006A6CB1" w:rsidRPr="00F67316">
        <w:rPr>
          <w:rFonts w:ascii="Adobe Devanagari" w:hAnsi="Adobe Devanagari" w:cs="Adobe Devanagari"/>
          <w:b/>
          <w:bCs/>
          <w:i/>
          <w:iCs/>
          <w:sz w:val="24"/>
          <w:szCs w:val="24"/>
        </w:rPr>
        <w:t>*</w:t>
      </w:r>
      <w:r w:rsidR="00E60D89" w:rsidRPr="00F67316">
        <w:rPr>
          <w:rFonts w:ascii="Adobe Devanagari" w:hAnsi="Adobe Devanagari" w:cs="Adobe Devanagari"/>
          <w:b/>
          <w:bCs/>
          <w:i/>
          <w:iCs/>
          <w:sz w:val="24"/>
          <w:szCs w:val="24"/>
        </w:rPr>
        <w:t>;</w:t>
      </w:r>
      <w:r w:rsidR="001C6E9C" w:rsidRPr="00B931EC">
        <w:rPr>
          <w:rFonts w:ascii="Adobe Devanagari" w:hAnsi="Adobe Devanagari" w:cs="Adobe Devanagari"/>
          <w:b/>
          <w:bCs/>
          <w:i/>
          <w:iCs/>
          <w:sz w:val="24"/>
          <w:szCs w:val="24"/>
        </w:rPr>
        <w:t>Thayane Lopes de SOUSA</w:t>
      </w:r>
      <w:r w:rsidR="001C6E9C" w:rsidRPr="00B931EC">
        <w:rPr>
          <w:rFonts w:ascii="Adobe Devanagari" w:hAnsi="Adobe Devanagari" w:cs="Adobe Devanagari"/>
          <w:b/>
          <w:bCs/>
          <w:i/>
          <w:iCs/>
          <w:sz w:val="24"/>
          <w:szCs w:val="24"/>
          <w:vertAlign w:val="superscript"/>
        </w:rPr>
        <w:footnoteReference w:id="3"/>
      </w:r>
      <w:r w:rsidR="001C6E9C" w:rsidRPr="00B931EC">
        <w:rPr>
          <w:rFonts w:ascii="Adobe Devanagari" w:hAnsi="Adobe Devanagari" w:cs="Adobe Devanagari"/>
          <w:b/>
          <w:bCs/>
          <w:i/>
          <w:iCs/>
          <w:sz w:val="24"/>
          <w:szCs w:val="24"/>
        </w:rPr>
        <w:t>; João Pedro Mesquita de OLIVEIRA</w:t>
      </w:r>
      <w:r w:rsidR="001C6E9C" w:rsidRPr="00B931EC">
        <w:rPr>
          <w:rFonts w:ascii="Adobe Devanagari" w:hAnsi="Adobe Devanagari" w:cs="Adobe Devanagari"/>
          <w:b/>
          <w:bCs/>
          <w:i/>
          <w:iCs/>
          <w:sz w:val="24"/>
          <w:szCs w:val="24"/>
          <w:vertAlign w:val="superscript"/>
        </w:rPr>
        <w:footnoteReference w:id="4"/>
      </w:r>
      <w:r w:rsidR="001C6E9C" w:rsidRPr="00B931EC">
        <w:rPr>
          <w:rFonts w:ascii="Adobe Devanagari" w:hAnsi="Adobe Devanagari" w:cs="Adobe Devanagari"/>
          <w:b/>
          <w:bCs/>
          <w:i/>
          <w:iCs/>
          <w:sz w:val="24"/>
          <w:szCs w:val="24"/>
        </w:rPr>
        <w:t xml:space="preserve">; </w:t>
      </w:r>
      <w:r w:rsidR="00B44994" w:rsidRPr="00B931EC">
        <w:rPr>
          <w:rFonts w:ascii="Adobe Devanagari" w:hAnsi="Adobe Devanagari" w:cs="Adobe Devanagari"/>
          <w:b/>
          <w:bCs/>
          <w:i/>
          <w:iCs/>
          <w:sz w:val="24"/>
          <w:szCs w:val="24"/>
        </w:rPr>
        <w:t>Maria Giullia Alves Carneiro FELIZARDO</w:t>
      </w:r>
      <w:r w:rsidR="00B44994" w:rsidRPr="00B931EC">
        <w:rPr>
          <w:rFonts w:ascii="Adobe Devanagari" w:hAnsi="Adobe Devanagari" w:cs="Adobe Devanagari"/>
          <w:b/>
          <w:bCs/>
          <w:i/>
          <w:iCs/>
          <w:sz w:val="24"/>
          <w:szCs w:val="24"/>
          <w:vertAlign w:val="superscript"/>
        </w:rPr>
        <w:footnoteReference w:id="5"/>
      </w:r>
      <w:r w:rsidR="00B44994" w:rsidRPr="00B931EC">
        <w:rPr>
          <w:rFonts w:ascii="Adobe Devanagari" w:hAnsi="Adobe Devanagari" w:cs="Adobe Devanagari"/>
          <w:b/>
          <w:bCs/>
          <w:i/>
          <w:iCs/>
          <w:sz w:val="24"/>
          <w:szCs w:val="24"/>
        </w:rPr>
        <w:t>; Everton Holanda SALES</w:t>
      </w:r>
      <w:r w:rsidR="00B44994" w:rsidRPr="00B931EC">
        <w:rPr>
          <w:rFonts w:ascii="Adobe Devanagari" w:hAnsi="Adobe Devanagari" w:cs="Adobe Devanagari"/>
          <w:b/>
          <w:bCs/>
          <w:i/>
          <w:iCs/>
          <w:sz w:val="24"/>
          <w:szCs w:val="24"/>
          <w:vertAlign w:val="superscript"/>
        </w:rPr>
        <w:footnoteReference w:id="6"/>
      </w:r>
      <w:r w:rsidR="00B44994" w:rsidRPr="00B931EC">
        <w:rPr>
          <w:rFonts w:ascii="Adobe Devanagari" w:hAnsi="Adobe Devanagari" w:cs="Adobe Devanagari"/>
          <w:b/>
          <w:bCs/>
          <w:i/>
          <w:iCs/>
          <w:sz w:val="24"/>
          <w:szCs w:val="24"/>
        </w:rPr>
        <w:t>; Gustavo Oliveira EVERTON</w:t>
      </w:r>
      <w:r w:rsidR="00B44994" w:rsidRPr="00B931EC">
        <w:rPr>
          <w:rFonts w:ascii="Adobe Devanagari" w:hAnsi="Adobe Devanagari" w:cs="Adobe Devanagari"/>
          <w:b/>
          <w:bCs/>
          <w:i/>
          <w:iCs/>
          <w:sz w:val="24"/>
          <w:szCs w:val="24"/>
          <w:vertAlign w:val="superscript"/>
        </w:rPr>
        <w:footnoteReference w:id="7"/>
      </w:r>
      <w:r w:rsidR="00B44994" w:rsidRPr="00B931EC">
        <w:rPr>
          <w:rFonts w:ascii="Adobe Devanagari" w:hAnsi="Adobe Devanagari" w:cs="Adobe Devanagari"/>
          <w:b/>
          <w:bCs/>
          <w:i/>
          <w:iCs/>
          <w:sz w:val="24"/>
          <w:szCs w:val="24"/>
        </w:rPr>
        <w:t>;</w:t>
      </w:r>
    </w:p>
    <w:bookmarkEnd w:id="0"/>
    <w:p w:rsidR="00460B2C" w:rsidRDefault="00460B2C" w:rsidP="00460B2C">
      <w:pPr>
        <w:pStyle w:val="SemEspaamento"/>
        <w:rPr>
          <w:rFonts w:ascii="Adobe Devanagari" w:hAnsi="Adobe Devanagari" w:cs="Adobe Devanagari"/>
          <w:b/>
          <w:bCs/>
          <w:sz w:val="24"/>
          <w:szCs w:val="24"/>
        </w:rPr>
      </w:pPr>
    </w:p>
    <w:p w:rsidR="009B655D" w:rsidRPr="0019487F" w:rsidRDefault="009B655D" w:rsidP="00460B2C">
      <w:pPr>
        <w:pStyle w:val="SemEspaamento"/>
        <w:rPr>
          <w:rFonts w:ascii="Adobe Devanagari" w:hAnsi="Adobe Devanagari" w:cs="Adobe Devanagari"/>
          <w:b/>
          <w:bCs/>
          <w:sz w:val="24"/>
          <w:szCs w:val="24"/>
        </w:rPr>
      </w:pPr>
    </w:p>
    <w:p w:rsidR="0019487F" w:rsidRDefault="00674774" w:rsidP="00110068">
      <w:pPr>
        <w:pStyle w:val="SemEspaamento"/>
        <w:jc w:val="both"/>
        <w:rPr>
          <w:rFonts w:ascii="Adobe Devanagari" w:hAnsi="Adobe Devanagari" w:cs="Adobe Devanagari"/>
          <w:sz w:val="28"/>
          <w:szCs w:val="28"/>
        </w:rPr>
      </w:pPr>
      <w:r w:rsidRPr="00674774">
        <w:rPr>
          <w:rFonts w:ascii="Adobe Devanagari" w:hAnsi="Adobe Devanagari" w:cs="Adobe Devanagari"/>
          <w:b/>
          <w:bCs/>
          <w:color w:val="000000" w:themeColor="text1"/>
          <w:sz w:val="28"/>
          <w:szCs w:val="28"/>
        </w:rPr>
        <w:t>INTRODUÇÃO:</w:t>
      </w:r>
      <w:r w:rsidR="002935FC" w:rsidRPr="002935FC">
        <w:rPr>
          <w:rFonts w:ascii="Adobe Devanagari" w:hAnsi="Adobe Devanagari" w:cs="Adobe Devanagari"/>
          <w:sz w:val="28"/>
          <w:szCs w:val="28"/>
        </w:rPr>
        <w:t>O extrato do manjericão</w:t>
      </w:r>
      <w:r w:rsidR="002935FC">
        <w:rPr>
          <w:rFonts w:ascii="Adobe Devanagari" w:hAnsi="Adobe Devanagari" w:cs="Adobe Devanagari"/>
          <w:sz w:val="28"/>
          <w:szCs w:val="28"/>
        </w:rPr>
        <w:t>-de-folha-pequena</w:t>
      </w:r>
      <w:r w:rsidR="002935FC" w:rsidRPr="002935FC">
        <w:rPr>
          <w:rFonts w:ascii="Adobe Devanagari" w:hAnsi="Adobe Devanagari" w:cs="Adobe Devanagari"/>
          <w:sz w:val="28"/>
          <w:szCs w:val="28"/>
        </w:rPr>
        <w:t xml:space="preserve"> (</w:t>
      </w:r>
      <w:r w:rsidR="002935FC" w:rsidRPr="002935FC">
        <w:rPr>
          <w:rFonts w:ascii="Adobe Devanagari" w:hAnsi="Adobe Devanagari" w:cs="Adobe Devanagari"/>
          <w:i/>
          <w:iCs/>
          <w:sz w:val="28"/>
          <w:szCs w:val="28"/>
        </w:rPr>
        <w:t>Ocimum citriodorum</w:t>
      </w:r>
      <w:r w:rsidR="002935FC" w:rsidRPr="002935FC">
        <w:rPr>
          <w:rFonts w:ascii="Adobe Devanagari" w:hAnsi="Adobe Devanagari" w:cs="Adobe Devanagari"/>
          <w:sz w:val="28"/>
          <w:szCs w:val="28"/>
        </w:rPr>
        <w:t xml:space="preserve"> L.) apresenta uma viabilidade como agente antimicrobiano e medicinal, e também é muito empregada na indústria como flavorizante de alimentos e em produtos farmacêuticos. Essas atividades são relevantes nestes diferentes campos, devido aos componentes químicos inseridos em sua estrutura como o cubenol.</w:t>
      </w:r>
      <w:r w:rsidR="00110068" w:rsidRPr="000B7E85">
        <w:rPr>
          <w:rFonts w:ascii="Adobe Devanagari" w:hAnsi="Adobe Devanagari" w:cs="Adobe Devanagari"/>
          <w:sz w:val="28"/>
          <w:szCs w:val="28"/>
        </w:rPr>
        <w:t>;</w:t>
      </w:r>
      <w:r w:rsidRPr="00674774">
        <w:rPr>
          <w:rFonts w:ascii="Adobe Devanagari" w:hAnsi="Adobe Devanagari" w:cs="Adobe Devanagari"/>
          <w:b/>
          <w:bCs/>
          <w:color w:val="000000" w:themeColor="text1"/>
          <w:sz w:val="28"/>
          <w:szCs w:val="28"/>
        </w:rPr>
        <w:t>OBJETIVO:</w:t>
      </w:r>
      <w:r w:rsidR="006E68F4" w:rsidRPr="006E68F4">
        <w:rPr>
          <w:rFonts w:ascii="Adobe Devanagari" w:hAnsi="Adobe Devanagari" w:cs="Adobe Devanagari"/>
          <w:sz w:val="28"/>
          <w:szCs w:val="28"/>
        </w:rPr>
        <w:t xml:space="preserve">Verificar a ação fungicida do </w:t>
      </w:r>
      <w:r w:rsidR="004762F2">
        <w:rPr>
          <w:rFonts w:ascii="Adobe Devanagari" w:hAnsi="Adobe Devanagari" w:cs="Adobe Devanagari"/>
          <w:sz w:val="28"/>
          <w:szCs w:val="28"/>
        </w:rPr>
        <w:t>extrato hidroalcoólico</w:t>
      </w:r>
      <w:r w:rsidR="00062DC3">
        <w:rPr>
          <w:rFonts w:ascii="Adobe Devanagari" w:hAnsi="Adobe Devanagari" w:cs="Adobe Devanagari"/>
          <w:sz w:val="28"/>
          <w:szCs w:val="28"/>
        </w:rPr>
        <w:t xml:space="preserve"> </w:t>
      </w:r>
      <w:r w:rsidR="004762F2">
        <w:rPr>
          <w:rFonts w:ascii="Adobe Devanagari" w:hAnsi="Adobe Devanagari" w:cs="Adobe Devanagari"/>
          <w:sz w:val="28"/>
          <w:szCs w:val="28"/>
        </w:rPr>
        <w:t xml:space="preserve">das folhas </w:t>
      </w:r>
      <w:r w:rsidR="006E68F4" w:rsidRPr="006E68F4">
        <w:rPr>
          <w:rFonts w:ascii="Adobe Devanagari" w:hAnsi="Adobe Devanagari" w:cs="Adobe Devanagari"/>
          <w:sz w:val="28"/>
          <w:szCs w:val="28"/>
        </w:rPr>
        <w:t xml:space="preserve">de </w:t>
      </w:r>
      <w:r w:rsidR="006E68F4" w:rsidRPr="006E68F4">
        <w:rPr>
          <w:rFonts w:ascii="Adobe Devanagari" w:hAnsi="Adobe Devanagari" w:cs="Adobe Devanagari"/>
          <w:i/>
          <w:iCs/>
          <w:sz w:val="28"/>
          <w:szCs w:val="28"/>
          <w:lang w:bidi="pt-BR"/>
        </w:rPr>
        <w:t>O</w:t>
      </w:r>
      <w:r w:rsidR="004762F2">
        <w:rPr>
          <w:rFonts w:ascii="Adobe Devanagari" w:hAnsi="Adobe Devanagari" w:cs="Adobe Devanagari"/>
          <w:i/>
          <w:iCs/>
          <w:sz w:val="28"/>
          <w:szCs w:val="28"/>
          <w:lang w:bidi="pt-BR"/>
        </w:rPr>
        <w:t xml:space="preserve">. </w:t>
      </w:r>
      <w:r w:rsidR="006E68F4" w:rsidRPr="006E68F4">
        <w:rPr>
          <w:rFonts w:ascii="Adobe Devanagari" w:hAnsi="Adobe Devanagari" w:cs="Adobe Devanagari"/>
          <w:i/>
          <w:iCs/>
          <w:sz w:val="28"/>
          <w:szCs w:val="28"/>
          <w:lang w:bidi="pt-BR"/>
        </w:rPr>
        <w:t>citriodorum</w:t>
      </w:r>
      <w:r w:rsidR="000B7E85" w:rsidRPr="000B7E85">
        <w:rPr>
          <w:rFonts w:ascii="Adobe Devanagari" w:hAnsi="Adobe Devanagari" w:cs="Adobe Devanagari"/>
          <w:sz w:val="28"/>
          <w:szCs w:val="28"/>
        </w:rPr>
        <w:t>.</w:t>
      </w:r>
      <w:r w:rsidR="007D2C5E" w:rsidRPr="000B7E85">
        <w:rPr>
          <w:rFonts w:ascii="Adobe Devanagari" w:hAnsi="Adobe Devanagari" w:cs="Adobe Devanagari"/>
          <w:sz w:val="28"/>
          <w:szCs w:val="28"/>
        </w:rPr>
        <w:t>;</w:t>
      </w:r>
      <w:r w:rsidRPr="00674774">
        <w:rPr>
          <w:rFonts w:ascii="Adobe Devanagari" w:hAnsi="Adobe Devanagari" w:cs="Adobe Devanagari"/>
          <w:b/>
          <w:bCs/>
          <w:color w:val="000000" w:themeColor="text1"/>
          <w:sz w:val="28"/>
          <w:szCs w:val="28"/>
        </w:rPr>
        <w:t xml:space="preserve">MATERIAL E MÉTODOS: </w:t>
      </w:r>
      <w:r w:rsidR="006E68F4" w:rsidRPr="006E68F4">
        <w:rPr>
          <w:rFonts w:ascii="Adobe Devanagari" w:hAnsi="Adobe Devanagari" w:cs="Adobe Devanagari"/>
          <w:sz w:val="28"/>
          <w:szCs w:val="28"/>
        </w:rPr>
        <w:t xml:space="preserve">As folhas foram cuidadosamente selecionadas na zona rural de São Luís, Maranhão, Brasil, na qual foram pesadas e trituradas. </w:t>
      </w:r>
      <w:r w:rsidR="003C785E" w:rsidRPr="003C785E">
        <w:rPr>
          <w:rFonts w:ascii="Adobe Devanagari" w:hAnsi="Adobe Devanagari" w:cs="Adobe Devanagari"/>
          <w:sz w:val="28"/>
          <w:szCs w:val="28"/>
        </w:rPr>
        <w:t xml:space="preserve">Para obtenção do extrato hidroalcoólico, utilizou-se a maceração de partes das plantas em um solvente extrato etanol P.A 70%(v/v) seguindo a proporção 1:10, e para remoção do solvente residual utilizou-se o evaporador rotativo sob pressão reduzida. </w:t>
      </w:r>
      <w:r w:rsidR="006E68F4" w:rsidRPr="006E68F4">
        <w:rPr>
          <w:rFonts w:ascii="Adobe Devanagari" w:hAnsi="Adobe Devanagari" w:cs="Adobe Devanagari"/>
          <w:sz w:val="28"/>
          <w:szCs w:val="28"/>
        </w:rPr>
        <w:t xml:space="preserve">Para determinar a atividade antifúngica, fez-se o uso da técnica preconizada pelo Clinical Laboratory Standard Internacional através da técnica de Diluição em caldo para determinação da Concentração Inibitória Mínima (CIM) e Concentração Fungicida Mínima (CFM). Foram utilizadas três cepas fúngicas; </w:t>
      </w:r>
      <w:r w:rsidR="006E68F4" w:rsidRPr="006E68F4">
        <w:rPr>
          <w:rFonts w:ascii="Adobe Devanagari" w:hAnsi="Adobe Devanagari" w:cs="Adobe Devanagari"/>
          <w:i/>
          <w:iCs/>
          <w:sz w:val="28"/>
          <w:szCs w:val="28"/>
        </w:rPr>
        <w:t>Aspergillus níger</w:t>
      </w:r>
      <w:r w:rsidR="006E68F4" w:rsidRPr="006E68F4">
        <w:rPr>
          <w:rFonts w:ascii="Adobe Devanagari" w:hAnsi="Adobe Devanagari" w:cs="Adobe Devanagari"/>
          <w:sz w:val="28"/>
          <w:szCs w:val="28"/>
        </w:rPr>
        <w:t xml:space="preserve"> (ATCC 6275), </w:t>
      </w:r>
      <w:r w:rsidR="006E68F4" w:rsidRPr="006E68F4">
        <w:rPr>
          <w:rFonts w:ascii="Adobe Devanagari" w:hAnsi="Adobe Devanagari" w:cs="Adobe Devanagari"/>
          <w:i/>
          <w:iCs/>
          <w:sz w:val="28"/>
          <w:szCs w:val="28"/>
        </w:rPr>
        <w:t>Colletotrichum gloeosporioides</w:t>
      </w:r>
      <w:r w:rsidR="006E68F4" w:rsidRPr="006E68F4">
        <w:rPr>
          <w:rFonts w:ascii="Adobe Devanagari" w:hAnsi="Adobe Devanagari" w:cs="Adobe Devanagari"/>
          <w:sz w:val="28"/>
          <w:szCs w:val="28"/>
        </w:rPr>
        <w:t xml:space="preserve"> (ATCC 96723), </w:t>
      </w:r>
      <w:r w:rsidR="006E68F4" w:rsidRPr="006E68F4">
        <w:rPr>
          <w:rFonts w:ascii="Adobe Devanagari" w:hAnsi="Adobe Devanagari" w:cs="Adobe Devanagari"/>
          <w:i/>
          <w:iCs/>
          <w:sz w:val="28"/>
          <w:szCs w:val="28"/>
        </w:rPr>
        <w:t>Penicillium chrysogenum</w:t>
      </w:r>
      <w:r w:rsidR="006E68F4" w:rsidRPr="006E68F4">
        <w:rPr>
          <w:rFonts w:ascii="Adobe Devanagari" w:hAnsi="Adobe Devanagari" w:cs="Adobe Devanagari"/>
          <w:sz w:val="28"/>
          <w:szCs w:val="28"/>
        </w:rPr>
        <w:t xml:space="preserve"> (ATCC 10106). Foram realizadas diluições seriadas utilizando meio de cultura Caldo BHI e para cada concentração de 300, 250 e 100 mg mL</w:t>
      </w:r>
      <w:r w:rsidR="006E68F4" w:rsidRPr="006E68F4">
        <w:rPr>
          <w:rFonts w:ascii="Adobe Devanagari" w:hAnsi="Adobe Devanagari" w:cs="Adobe Devanagari"/>
          <w:sz w:val="28"/>
          <w:szCs w:val="28"/>
          <w:vertAlign w:val="superscript"/>
        </w:rPr>
        <w:t>-1</w:t>
      </w:r>
      <w:r w:rsidR="006E68F4" w:rsidRPr="006E68F4">
        <w:rPr>
          <w:rFonts w:ascii="Adobe Devanagari" w:hAnsi="Adobe Devanagari" w:cs="Adobe Devanagari"/>
          <w:sz w:val="28"/>
          <w:szCs w:val="28"/>
        </w:rPr>
        <w:t>respectivamente, foram adicionadas suspensões fúngicas contendo 1,5x10</w:t>
      </w:r>
      <w:r w:rsidR="006E68F4" w:rsidRPr="006E68F4">
        <w:rPr>
          <w:rFonts w:ascii="Adobe Devanagari" w:hAnsi="Adobe Devanagari" w:cs="Adobe Devanagari"/>
          <w:sz w:val="28"/>
          <w:szCs w:val="28"/>
          <w:vertAlign w:val="superscript"/>
        </w:rPr>
        <w:t xml:space="preserve">8 </w:t>
      </w:r>
      <w:r w:rsidR="006E68F4" w:rsidRPr="006E68F4">
        <w:rPr>
          <w:rFonts w:ascii="Adobe Devanagari" w:hAnsi="Adobe Devanagari" w:cs="Adobe Devanagari"/>
          <w:sz w:val="28"/>
          <w:szCs w:val="28"/>
        </w:rPr>
        <w:t>UFC mL</w:t>
      </w:r>
      <w:r w:rsidR="006E68F4" w:rsidRPr="006E68F4">
        <w:rPr>
          <w:rFonts w:ascii="Adobe Devanagari" w:hAnsi="Adobe Devanagari" w:cs="Adobe Devanagari"/>
          <w:sz w:val="28"/>
          <w:szCs w:val="28"/>
          <w:vertAlign w:val="superscript"/>
        </w:rPr>
        <w:t>-1</w:t>
      </w:r>
      <w:r w:rsidR="006E68F4" w:rsidRPr="006E68F4">
        <w:rPr>
          <w:rFonts w:ascii="Adobe Devanagari" w:hAnsi="Adobe Devanagari" w:cs="Adobe Devanagari"/>
          <w:sz w:val="28"/>
          <w:szCs w:val="28"/>
        </w:rPr>
        <w:t xml:space="preserve"> das cepas. Certificou-se que os tubos foram incubados devidamente a 25-30</w:t>
      </w:r>
      <w:r w:rsidR="006E68F4" w:rsidRPr="006E68F4">
        <w:rPr>
          <w:rFonts w:ascii="Adobe Devanagari" w:hAnsi="Adobe Devanagari" w:cs="Adobe Devanagari"/>
          <w:sz w:val="28"/>
          <w:szCs w:val="28"/>
          <w:vertAlign w:val="superscript"/>
        </w:rPr>
        <w:t>o</w:t>
      </w:r>
      <w:r w:rsidR="006E68F4" w:rsidRPr="006E68F4">
        <w:rPr>
          <w:rFonts w:ascii="Adobe Devanagari" w:hAnsi="Adobe Devanagari" w:cs="Adobe Devanagari"/>
          <w:sz w:val="28"/>
          <w:szCs w:val="28"/>
        </w:rPr>
        <w:t xml:space="preserve"> C por 24-48h. Ao término do período de incubação, foi identificada a CIM do óleo </w:t>
      </w:r>
      <w:r w:rsidR="006E68F4" w:rsidRPr="006E68F4">
        <w:rPr>
          <w:rFonts w:ascii="Adobe Devanagari" w:hAnsi="Adobe Devanagari" w:cs="Adobe Devanagari"/>
          <w:sz w:val="28"/>
          <w:szCs w:val="28"/>
        </w:rPr>
        <w:lastRenderedPageBreak/>
        <w:t>essencial, estabelecendo como referencial a amostra com a menor concentração a apresentar o aspecto com ausência de turvação, identificando a inibição fúngica. A CFM foi re</w:t>
      </w:r>
      <w:r w:rsidR="009E5AF2">
        <w:rPr>
          <w:rFonts w:ascii="Adobe Devanagari" w:hAnsi="Adobe Devanagari" w:cs="Adobe Devanagari"/>
          <w:sz w:val="28"/>
          <w:szCs w:val="28"/>
        </w:rPr>
        <w:t>a</w:t>
      </w:r>
      <w:r w:rsidR="006E68F4" w:rsidRPr="006E68F4">
        <w:rPr>
          <w:rFonts w:ascii="Adobe Devanagari" w:hAnsi="Adobe Devanagari" w:cs="Adobe Devanagari"/>
          <w:sz w:val="28"/>
          <w:szCs w:val="28"/>
        </w:rPr>
        <w:t xml:space="preserve">lizada através do inóculo dos tubos provenientes do ensaio de CIM em placas de Ágar Sabourad Dextrose, as placas que não apresentaram crescimento fúngico indicam ação fungicida do óleo essencial. Para os fenólicos totais do </w:t>
      </w:r>
      <w:r w:rsidR="00CB3818">
        <w:rPr>
          <w:rFonts w:ascii="Adobe Devanagari" w:hAnsi="Adobe Devanagari" w:cs="Adobe Devanagari"/>
          <w:sz w:val="28"/>
          <w:szCs w:val="28"/>
        </w:rPr>
        <w:t>extrato hidroalcoólico</w:t>
      </w:r>
      <w:r w:rsidR="006E68F4" w:rsidRPr="006E68F4">
        <w:rPr>
          <w:rFonts w:ascii="Adobe Devanagari" w:hAnsi="Adobe Devanagari" w:cs="Adobe Devanagari"/>
          <w:sz w:val="28"/>
          <w:szCs w:val="28"/>
        </w:rPr>
        <w:t xml:space="preserve">, utilizou-se </w:t>
      </w:r>
      <w:r w:rsidR="00A23356">
        <w:rPr>
          <w:rFonts w:ascii="Adobe Devanagari" w:hAnsi="Adobe Devanagari" w:cs="Adobe Devanagari"/>
          <w:sz w:val="28"/>
          <w:szCs w:val="28"/>
        </w:rPr>
        <w:t xml:space="preserve">0,1 mL de </w:t>
      </w:r>
      <w:r w:rsidR="00CB3818">
        <w:rPr>
          <w:rFonts w:ascii="Adobe Devanagari" w:hAnsi="Adobe Devanagari" w:cs="Adobe Devanagari"/>
          <w:sz w:val="28"/>
          <w:szCs w:val="28"/>
        </w:rPr>
        <w:t>uma solução de 10 mg mL</w:t>
      </w:r>
      <w:r w:rsidR="00CB3818" w:rsidRPr="00CB3818">
        <w:rPr>
          <w:rFonts w:ascii="Adobe Devanagari" w:hAnsi="Adobe Devanagari" w:cs="Adobe Devanagari"/>
          <w:sz w:val="28"/>
          <w:szCs w:val="28"/>
          <w:vertAlign w:val="superscript"/>
        </w:rPr>
        <w:t>-1</w:t>
      </w:r>
      <w:r w:rsidR="00A23356">
        <w:rPr>
          <w:rFonts w:ascii="Adobe Devanagari" w:hAnsi="Adobe Devanagari" w:cs="Adobe Devanagari"/>
          <w:sz w:val="28"/>
          <w:szCs w:val="28"/>
        </w:rPr>
        <w:t xml:space="preserve">do extrato </w:t>
      </w:r>
      <w:r w:rsidR="006E68F4" w:rsidRPr="006E68F4">
        <w:rPr>
          <w:rFonts w:ascii="Adobe Devanagari" w:hAnsi="Adobe Devanagari" w:cs="Adobe Devanagari"/>
          <w:sz w:val="28"/>
          <w:szCs w:val="28"/>
        </w:rPr>
        <w:t>em 1 mL de etanol, reagente de FolinCiocalteu a 10%, carbonato e sódio 7,5% e quantificou-se pelo método espectrofotométrico de Folin-Ciocalteau, como referência utilizou-se uma curva analítica com ácido tânico para o cálculo da absorbância. Os valores das absorbâncias das amostras foram medidos em um espectrofo</w:t>
      </w:r>
      <w:r w:rsidR="00D10811">
        <w:rPr>
          <w:rFonts w:ascii="Adobe Devanagari" w:hAnsi="Adobe Devanagari" w:cs="Adobe Devanagari"/>
          <w:sz w:val="28"/>
          <w:szCs w:val="28"/>
        </w:rPr>
        <w:t>tô</w:t>
      </w:r>
      <w:r w:rsidR="006E68F4" w:rsidRPr="006E68F4">
        <w:rPr>
          <w:rFonts w:ascii="Adobe Devanagari" w:hAnsi="Adobe Devanagari" w:cs="Adobe Devanagari"/>
          <w:sz w:val="28"/>
          <w:szCs w:val="28"/>
        </w:rPr>
        <w:t xml:space="preserve">metro, com comprimento de 760 nm. </w:t>
      </w:r>
      <w:r w:rsidRPr="00674774">
        <w:rPr>
          <w:rFonts w:ascii="Adobe Devanagari" w:hAnsi="Adobe Devanagari" w:cs="Adobe Devanagari"/>
          <w:b/>
          <w:bCs/>
          <w:color w:val="000000" w:themeColor="text1"/>
          <w:sz w:val="28"/>
          <w:szCs w:val="28"/>
        </w:rPr>
        <w:t xml:space="preserve">RESULTADOS: </w:t>
      </w:r>
      <w:r w:rsidR="00456F8B">
        <w:rPr>
          <w:rFonts w:ascii="Adobe Devanagari" w:hAnsi="Adobe Devanagari" w:cs="Adobe Devanagari"/>
          <w:sz w:val="28"/>
          <w:szCs w:val="28"/>
        </w:rPr>
        <w:t>Os resultados obtidos para a</w:t>
      </w:r>
      <w:r w:rsidR="009838C5" w:rsidRPr="009838C5">
        <w:rPr>
          <w:rFonts w:ascii="Adobe Devanagari" w:hAnsi="Adobe Devanagari" w:cs="Adobe Devanagari"/>
          <w:sz w:val="28"/>
          <w:szCs w:val="28"/>
        </w:rPr>
        <w:t xml:space="preserve"> CIM atest</w:t>
      </w:r>
      <w:r w:rsidR="00456F8B">
        <w:rPr>
          <w:rFonts w:ascii="Adobe Devanagari" w:hAnsi="Adobe Devanagari" w:cs="Adobe Devanagari"/>
          <w:sz w:val="28"/>
          <w:szCs w:val="28"/>
        </w:rPr>
        <w:t>aram</w:t>
      </w:r>
      <w:r w:rsidR="009838C5" w:rsidRPr="009838C5">
        <w:rPr>
          <w:rFonts w:ascii="Adobe Devanagari" w:hAnsi="Adobe Devanagari" w:cs="Adobe Devanagari"/>
          <w:sz w:val="28"/>
          <w:szCs w:val="28"/>
        </w:rPr>
        <w:t xml:space="preserve"> uma inibição forte </w:t>
      </w:r>
      <w:r w:rsidR="002A7704">
        <w:rPr>
          <w:rFonts w:ascii="Adobe Devanagari" w:hAnsi="Adobe Devanagari" w:cs="Adobe Devanagari"/>
          <w:sz w:val="28"/>
          <w:szCs w:val="28"/>
        </w:rPr>
        <w:t>para ação dos OE’s</w:t>
      </w:r>
      <w:r w:rsidR="00062DC3">
        <w:rPr>
          <w:rFonts w:ascii="Adobe Devanagari" w:hAnsi="Adobe Devanagari" w:cs="Adobe Devanagari"/>
          <w:sz w:val="28"/>
          <w:szCs w:val="28"/>
        </w:rPr>
        <w:t xml:space="preserve"> </w:t>
      </w:r>
      <w:r w:rsidR="002A7704">
        <w:rPr>
          <w:rFonts w:ascii="Adobe Devanagari" w:hAnsi="Adobe Devanagari" w:cs="Adobe Devanagari"/>
          <w:sz w:val="28"/>
          <w:szCs w:val="28"/>
        </w:rPr>
        <w:t>com um</w:t>
      </w:r>
      <w:r w:rsidR="009838C5" w:rsidRPr="009838C5">
        <w:rPr>
          <w:rFonts w:ascii="Adobe Devanagari" w:hAnsi="Adobe Devanagari" w:cs="Adobe Devanagari"/>
          <w:sz w:val="28"/>
          <w:szCs w:val="28"/>
        </w:rPr>
        <w:t>a concentração de 250 µg mL</w:t>
      </w:r>
      <w:r w:rsidR="009838C5" w:rsidRPr="009838C5">
        <w:rPr>
          <w:rFonts w:ascii="Adobe Devanagari" w:hAnsi="Adobe Devanagari" w:cs="Adobe Devanagari"/>
          <w:sz w:val="28"/>
          <w:szCs w:val="28"/>
          <w:vertAlign w:val="superscript"/>
        </w:rPr>
        <w:t>-1</w:t>
      </w:r>
      <w:r w:rsidR="00AC2965">
        <w:rPr>
          <w:rFonts w:ascii="Adobe Devanagari" w:hAnsi="Adobe Devanagari" w:cs="Adobe Devanagari"/>
          <w:sz w:val="28"/>
          <w:szCs w:val="28"/>
        </w:rPr>
        <w:t xml:space="preserve">frente </w:t>
      </w:r>
      <w:r w:rsidR="00797F0A" w:rsidRPr="00797F0A">
        <w:rPr>
          <w:rFonts w:ascii="Adobe Devanagari" w:hAnsi="Adobe Devanagari" w:cs="Adobe Devanagari"/>
          <w:i/>
          <w:iCs/>
          <w:sz w:val="28"/>
          <w:szCs w:val="28"/>
        </w:rPr>
        <w:t>A</w:t>
      </w:r>
      <w:r w:rsidR="00797F0A">
        <w:rPr>
          <w:rFonts w:ascii="Adobe Devanagari" w:hAnsi="Adobe Devanagari" w:cs="Adobe Devanagari"/>
          <w:i/>
          <w:iCs/>
          <w:sz w:val="28"/>
          <w:szCs w:val="28"/>
        </w:rPr>
        <w:t>.</w:t>
      </w:r>
      <w:r w:rsidR="00797F0A" w:rsidRPr="00797F0A">
        <w:rPr>
          <w:rFonts w:ascii="Adobe Devanagari" w:hAnsi="Adobe Devanagari" w:cs="Adobe Devanagari"/>
          <w:i/>
          <w:iCs/>
          <w:sz w:val="28"/>
          <w:szCs w:val="28"/>
        </w:rPr>
        <w:t>níger</w:t>
      </w:r>
      <w:r w:rsidR="00797F0A" w:rsidRPr="00797F0A">
        <w:rPr>
          <w:rFonts w:ascii="Adobe Devanagari" w:hAnsi="Adobe Devanagari" w:cs="Adobe Devanagari"/>
          <w:sz w:val="28"/>
          <w:szCs w:val="28"/>
        </w:rPr>
        <w:t xml:space="preserve">, </w:t>
      </w:r>
      <w:r w:rsidR="00797F0A" w:rsidRPr="00797F0A">
        <w:rPr>
          <w:rFonts w:ascii="Adobe Devanagari" w:hAnsi="Adobe Devanagari" w:cs="Adobe Devanagari"/>
          <w:i/>
          <w:iCs/>
          <w:sz w:val="28"/>
          <w:szCs w:val="28"/>
        </w:rPr>
        <w:t>C</w:t>
      </w:r>
      <w:r w:rsidR="00797F0A">
        <w:rPr>
          <w:rFonts w:ascii="Adobe Devanagari" w:hAnsi="Adobe Devanagari" w:cs="Adobe Devanagari"/>
          <w:i/>
          <w:iCs/>
          <w:sz w:val="28"/>
          <w:szCs w:val="28"/>
        </w:rPr>
        <w:t>.</w:t>
      </w:r>
      <w:r w:rsidR="00797F0A" w:rsidRPr="00797F0A">
        <w:rPr>
          <w:rFonts w:ascii="Adobe Devanagari" w:hAnsi="Adobe Devanagari" w:cs="Adobe Devanagari"/>
          <w:i/>
          <w:iCs/>
          <w:sz w:val="28"/>
          <w:szCs w:val="28"/>
        </w:rPr>
        <w:t xml:space="preserve"> gloeosporioides</w:t>
      </w:r>
      <w:r w:rsidR="00797F0A">
        <w:rPr>
          <w:rFonts w:ascii="Adobe Devanagari" w:hAnsi="Adobe Devanagari" w:cs="Adobe Devanagari"/>
          <w:sz w:val="28"/>
          <w:szCs w:val="28"/>
        </w:rPr>
        <w:t xml:space="preserve"> e</w:t>
      </w:r>
      <w:r w:rsidR="00C23F88">
        <w:rPr>
          <w:rFonts w:ascii="Adobe Devanagari" w:hAnsi="Adobe Devanagari" w:cs="Adobe Devanagari"/>
          <w:sz w:val="28"/>
          <w:szCs w:val="28"/>
        </w:rPr>
        <w:t xml:space="preserve"> </w:t>
      </w:r>
      <w:r w:rsidR="00797F0A" w:rsidRPr="00797F0A">
        <w:rPr>
          <w:rFonts w:ascii="Adobe Devanagari" w:hAnsi="Adobe Devanagari" w:cs="Adobe Devanagari"/>
          <w:i/>
          <w:iCs/>
          <w:sz w:val="28"/>
          <w:szCs w:val="28"/>
        </w:rPr>
        <w:t>P</w:t>
      </w:r>
      <w:r w:rsidR="00797F0A">
        <w:rPr>
          <w:rFonts w:ascii="Adobe Devanagari" w:hAnsi="Adobe Devanagari" w:cs="Adobe Devanagari"/>
          <w:i/>
          <w:iCs/>
          <w:sz w:val="28"/>
          <w:szCs w:val="28"/>
        </w:rPr>
        <w:t>.</w:t>
      </w:r>
      <w:r w:rsidR="002A7704">
        <w:rPr>
          <w:rFonts w:ascii="Adobe Devanagari" w:hAnsi="Adobe Devanagari" w:cs="Adobe Devanagari"/>
          <w:i/>
          <w:iCs/>
          <w:sz w:val="28"/>
          <w:szCs w:val="28"/>
        </w:rPr>
        <w:t>c</w:t>
      </w:r>
      <w:r w:rsidR="00797F0A" w:rsidRPr="00797F0A">
        <w:rPr>
          <w:rFonts w:ascii="Adobe Devanagari" w:hAnsi="Adobe Devanagari" w:cs="Adobe Devanagari"/>
          <w:i/>
          <w:iCs/>
          <w:sz w:val="28"/>
          <w:szCs w:val="28"/>
        </w:rPr>
        <w:t>hrysogenum</w:t>
      </w:r>
      <w:r w:rsidR="00456F8B">
        <w:rPr>
          <w:rFonts w:ascii="Adobe Devanagari" w:hAnsi="Adobe Devanagari" w:cs="Adobe Devanagari"/>
          <w:sz w:val="28"/>
          <w:szCs w:val="28"/>
        </w:rPr>
        <w:t>. Foram observadas</w:t>
      </w:r>
      <w:r w:rsidR="00062DC3">
        <w:rPr>
          <w:rFonts w:ascii="Adobe Devanagari" w:hAnsi="Adobe Devanagari" w:cs="Adobe Devanagari"/>
          <w:sz w:val="28"/>
          <w:szCs w:val="28"/>
        </w:rPr>
        <w:t xml:space="preserve"> </w:t>
      </w:r>
      <w:r w:rsidR="009838C5">
        <w:rPr>
          <w:rFonts w:ascii="Adobe Devanagari" w:hAnsi="Adobe Devanagari" w:cs="Adobe Devanagari"/>
          <w:sz w:val="28"/>
          <w:szCs w:val="28"/>
        </w:rPr>
        <w:t>CFM</w:t>
      </w:r>
      <w:r w:rsidR="00456F8B">
        <w:rPr>
          <w:rFonts w:ascii="Adobe Devanagari" w:hAnsi="Adobe Devanagari" w:cs="Adobe Devanagari"/>
          <w:sz w:val="28"/>
          <w:szCs w:val="28"/>
        </w:rPr>
        <w:t>’s</w:t>
      </w:r>
      <w:r w:rsidR="009838C5">
        <w:rPr>
          <w:rFonts w:ascii="Adobe Devanagari" w:hAnsi="Adobe Devanagari" w:cs="Adobe Devanagari"/>
          <w:sz w:val="28"/>
          <w:szCs w:val="28"/>
        </w:rPr>
        <w:t xml:space="preserve"> de 1</w:t>
      </w:r>
      <w:r w:rsidR="00A23356">
        <w:rPr>
          <w:rFonts w:ascii="Adobe Devanagari" w:hAnsi="Adobe Devanagari" w:cs="Adobe Devanagari"/>
          <w:sz w:val="28"/>
          <w:szCs w:val="28"/>
        </w:rPr>
        <w:t>2</w:t>
      </w:r>
      <w:r w:rsidR="009838C5">
        <w:rPr>
          <w:rFonts w:ascii="Adobe Devanagari" w:hAnsi="Adobe Devanagari" w:cs="Adobe Devanagari"/>
          <w:sz w:val="28"/>
          <w:szCs w:val="28"/>
        </w:rPr>
        <w:t>0</w:t>
      </w:r>
      <w:r w:rsidR="00456F8B">
        <w:rPr>
          <w:rFonts w:ascii="Adobe Devanagari" w:hAnsi="Adobe Devanagari" w:cs="Adobe Devanagari"/>
          <w:sz w:val="28"/>
          <w:szCs w:val="28"/>
        </w:rPr>
        <w:t xml:space="preserve">, </w:t>
      </w:r>
      <w:r w:rsidR="00A23356">
        <w:rPr>
          <w:rFonts w:ascii="Adobe Devanagari" w:hAnsi="Adobe Devanagari" w:cs="Adobe Devanagari"/>
          <w:sz w:val="28"/>
          <w:szCs w:val="28"/>
        </w:rPr>
        <w:t>11</w:t>
      </w:r>
      <w:r w:rsidR="00456F8B">
        <w:rPr>
          <w:rFonts w:ascii="Adobe Devanagari" w:hAnsi="Adobe Devanagari" w:cs="Adobe Devanagari"/>
          <w:sz w:val="28"/>
          <w:szCs w:val="28"/>
        </w:rPr>
        <w:t>0 e 1</w:t>
      </w:r>
      <w:r w:rsidR="00A23356">
        <w:rPr>
          <w:rFonts w:ascii="Adobe Devanagari" w:hAnsi="Adobe Devanagari" w:cs="Adobe Devanagari"/>
          <w:sz w:val="28"/>
          <w:szCs w:val="28"/>
        </w:rPr>
        <w:t>3</w:t>
      </w:r>
      <w:r w:rsidR="00456F8B">
        <w:rPr>
          <w:rFonts w:ascii="Adobe Devanagari" w:hAnsi="Adobe Devanagari" w:cs="Adobe Devanagari"/>
          <w:sz w:val="28"/>
          <w:szCs w:val="28"/>
        </w:rPr>
        <w:t>0</w:t>
      </w:r>
      <w:r w:rsidR="009838C5" w:rsidRPr="009838C5">
        <w:rPr>
          <w:rFonts w:ascii="Adobe Devanagari" w:hAnsi="Adobe Devanagari" w:cs="Adobe Devanagari"/>
          <w:sz w:val="28"/>
          <w:szCs w:val="28"/>
        </w:rPr>
        <w:t>µg mL</w:t>
      </w:r>
      <w:r w:rsidR="009838C5" w:rsidRPr="009838C5">
        <w:rPr>
          <w:rFonts w:ascii="Adobe Devanagari" w:hAnsi="Adobe Devanagari" w:cs="Adobe Devanagari"/>
          <w:sz w:val="28"/>
          <w:szCs w:val="28"/>
          <w:vertAlign w:val="superscript"/>
        </w:rPr>
        <w:t>-1</w:t>
      </w:r>
      <w:r w:rsidR="00797F0A">
        <w:rPr>
          <w:rFonts w:ascii="Adobe Devanagari" w:hAnsi="Adobe Devanagari" w:cs="Adobe Devanagari"/>
          <w:sz w:val="28"/>
          <w:szCs w:val="28"/>
        </w:rPr>
        <w:t xml:space="preserve">frente </w:t>
      </w:r>
      <w:r w:rsidR="00797F0A" w:rsidRPr="00797F0A">
        <w:rPr>
          <w:rFonts w:ascii="Adobe Devanagari" w:hAnsi="Adobe Devanagari" w:cs="Adobe Devanagari"/>
          <w:i/>
          <w:iCs/>
          <w:sz w:val="28"/>
          <w:szCs w:val="28"/>
        </w:rPr>
        <w:t>A</w:t>
      </w:r>
      <w:r w:rsidR="00797F0A">
        <w:rPr>
          <w:rFonts w:ascii="Adobe Devanagari" w:hAnsi="Adobe Devanagari" w:cs="Adobe Devanagari"/>
          <w:i/>
          <w:iCs/>
          <w:sz w:val="28"/>
          <w:szCs w:val="28"/>
        </w:rPr>
        <w:t>.</w:t>
      </w:r>
      <w:r w:rsidR="00797F0A" w:rsidRPr="00797F0A">
        <w:rPr>
          <w:rFonts w:ascii="Adobe Devanagari" w:hAnsi="Adobe Devanagari" w:cs="Adobe Devanagari"/>
          <w:i/>
          <w:iCs/>
          <w:sz w:val="28"/>
          <w:szCs w:val="28"/>
        </w:rPr>
        <w:t xml:space="preserve"> n</w:t>
      </w:r>
      <w:r w:rsidR="00456F8B">
        <w:rPr>
          <w:rFonts w:ascii="Adobe Devanagari" w:hAnsi="Adobe Devanagari" w:cs="Adobe Devanagari"/>
          <w:i/>
          <w:iCs/>
          <w:sz w:val="28"/>
          <w:szCs w:val="28"/>
        </w:rPr>
        <w:t>i</w:t>
      </w:r>
      <w:r w:rsidR="00797F0A" w:rsidRPr="00797F0A">
        <w:rPr>
          <w:rFonts w:ascii="Adobe Devanagari" w:hAnsi="Adobe Devanagari" w:cs="Adobe Devanagari"/>
          <w:i/>
          <w:iCs/>
          <w:sz w:val="28"/>
          <w:szCs w:val="28"/>
        </w:rPr>
        <w:t>ger</w:t>
      </w:r>
      <w:r w:rsidR="00797F0A" w:rsidRPr="00797F0A">
        <w:rPr>
          <w:rFonts w:ascii="Adobe Devanagari" w:hAnsi="Adobe Devanagari" w:cs="Adobe Devanagari"/>
          <w:sz w:val="28"/>
          <w:szCs w:val="28"/>
        </w:rPr>
        <w:t xml:space="preserve">, </w:t>
      </w:r>
      <w:r w:rsidR="00797F0A" w:rsidRPr="00797F0A">
        <w:rPr>
          <w:rFonts w:ascii="Adobe Devanagari" w:hAnsi="Adobe Devanagari" w:cs="Adobe Devanagari"/>
          <w:i/>
          <w:iCs/>
          <w:sz w:val="28"/>
          <w:szCs w:val="28"/>
        </w:rPr>
        <w:t>C</w:t>
      </w:r>
      <w:r w:rsidR="00797F0A">
        <w:rPr>
          <w:rFonts w:ascii="Adobe Devanagari" w:hAnsi="Adobe Devanagari" w:cs="Adobe Devanagari"/>
          <w:i/>
          <w:iCs/>
          <w:sz w:val="28"/>
          <w:szCs w:val="28"/>
        </w:rPr>
        <w:t>.</w:t>
      </w:r>
      <w:r w:rsidR="00797F0A" w:rsidRPr="00797F0A">
        <w:rPr>
          <w:rFonts w:ascii="Adobe Devanagari" w:hAnsi="Adobe Devanagari" w:cs="Adobe Devanagari"/>
          <w:i/>
          <w:iCs/>
          <w:sz w:val="28"/>
          <w:szCs w:val="28"/>
        </w:rPr>
        <w:t xml:space="preserve"> gloeosporioides</w:t>
      </w:r>
      <w:r w:rsidR="00797F0A">
        <w:rPr>
          <w:rFonts w:ascii="Adobe Devanagari" w:hAnsi="Adobe Devanagari" w:cs="Adobe Devanagari"/>
          <w:sz w:val="28"/>
          <w:szCs w:val="28"/>
        </w:rPr>
        <w:t xml:space="preserve"> e</w:t>
      </w:r>
      <w:r w:rsidR="00062DC3">
        <w:rPr>
          <w:rFonts w:ascii="Adobe Devanagari" w:hAnsi="Adobe Devanagari" w:cs="Adobe Devanagari"/>
          <w:sz w:val="28"/>
          <w:szCs w:val="28"/>
        </w:rPr>
        <w:t xml:space="preserve"> </w:t>
      </w:r>
      <w:r w:rsidR="00797F0A" w:rsidRPr="00797F0A">
        <w:rPr>
          <w:rFonts w:ascii="Adobe Devanagari" w:hAnsi="Adobe Devanagari" w:cs="Adobe Devanagari"/>
          <w:i/>
          <w:iCs/>
          <w:sz w:val="28"/>
          <w:szCs w:val="28"/>
        </w:rPr>
        <w:t>P</w:t>
      </w:r>
      <w:r w:rsidR="00797F0A">
        <w:rPr>
          <w:rFonts w:ascii="Adobe Devanagari" w:hAnsi="Adobe Devanagari" w:cs="Adobe Devanagari"/>
          <w:i/>
          <w:iCs/>
          <w:sz w:val="28"/>
          <w:szCs w:val="28"/>
        </w:rPr>
        <w:t>.</w:t>
      </w:r>
      <w:r w:rsidR="00797F0A" w:rsidRPr="00797F0A">
        <w:rPr>
          <w:rFonts w:ascii="Adobe Devanagari" w:hAnsi="Adobe Devanagari" w:cs="Adobe Devanagari"/>
          <w:i/>
          <w:iCs/>
          <w:sz w:val="28"/>
          <w:szCs w:val="28"/>
        </w:rPr>
        <w:t xml:space="preserve"> chrysogenum</w:t>
      </w:r>
      <w:r w:rsidR="00797F0A">
        <w:rPr>
          <w:rFonts w:ascii="Adobe Devanagari" w:hAnsi="Adobe Devanagari" w:cs="Adobe Devanagari"/>
          <w:sz w:val="28"/>
          <w:szCs w:val="28"/>
        </w:rPr>
        <w:t>, respectivamente.</w:t>
      </w:r>
      <w:r w:rsidR="00062DC3">
        <w:rPr>
          <w:rFonts w:ascii="Adobe Devanagari" w:hAnsi="Adobe Devanagari" w:cs="Adobe Devanagari"/>
          <w:sz w:val="28"/>
          <w:szCs w:val="28"/>
        </w:rPr>
        <w:t xml:space="preserve"> </w:t>
      </w:r>
      <w:r w:rsidR="00456F8B">
        <w:rPr>
          <w:rFonts w:ascii="Adobe Devanagari" w:hAnsi="Adobe Devanagari" w:cs="Adobe Devanagari"/>
          <w:sz w:val="28"/>
          <w:szCs w:val="28"/>
        </w:rPr>
        <w:t xml:space="preserve">Observa-se que o OE teve melhor ação frente a </w:t>
      </w:r>
      <w:r w:rsidR="00852B8F" w:rsidRPr="00797F0A">
        <w:rPr>
          <w:rFonts w:ascii="Adobe Devanagari" w:hAnsi="Adobe Devanagari" w:cs="Adobe Devanagari"/>
          <w:i/>
          <w:iCs/>
          <w:sz w:val="28"/>
          <w:szCs w:val="28"/>
        </w:rPr>
        <w:t>C</w:t>
      </w:r>
      <w:r w:rsidR="00852B8F">
        <w:rPr>
          <w:rFonts w:ascii="Adobe Devanagari" w:hAnsi="Adobe Devanagari" w:cs="Adobe Devanagari"/>
          <w:i/>
          <w:iCs/>
          <w:sz w:val="28"/>
          <w:szCs w:val="28"/>
        </w:rPr>
        <w:t>.</w:t>
      </w:r>
      <w:r w:rsidR="00852B8F" w:rsidRPr="00797F0A">
        <w:rPr>
          <w:rFonts w:ascii="Adobe Devanagari" w:hAnsi="Adobe Devanagari" w:cs="Adobe Devanagari"/>
          <w:i/>
          <w:iCs/>
          <w:sz w:val="28"/>
          <w:szCs w:val="28"/>
        </w:rPr>
        <w:t xml:space="preserve"> gloeosporioides</w:t>
      </w:r>
      <w:r w:rsidR="005F1328">
        <w:rPr>
          <w:rFonts w:ascii="Adobe Devanagari" w:hAnsi="Adobe Devanagari" w:cs="Adobe Devanagari"/>
          <w:sz w:val="28"/>
          <w:szCs w:val="28"/>
        </w:rPr>
        <w:t>, d</w:t>
      </w:r>
      <w:r w:rsidR="00A23356" w:rsidRPr="00A23356">
        <w:rPr>
          <w:rFonts w:ascii="Adobe Devanagari" w:hAnsi="Adobe Devanagari" w:cs="Adobe Devanagari"/>
          <w:sz w:val="28"/>
          <w:szCs w:val="28"/>
        </w:rPr>
        <w:t xml:space="preserve">efinindo </w:t>
      </w:r>
      <w:r w:rsidR="00A23356">
        <w:rPr>
          <w:rFonts w:ascii="Adobe Devanagari" w:hAnsi="Adobe Devanagari" w:cs="Adobe Devanagari"/>
          <w:sz w:val="28"/>
          <w:szCs w:val="28"/>
        </w:rPr>
        <w:t xml:space="preserve">assim </w:t>
      </w:r>
      <w:r w:rsidR="00A23356" w:rsidRPr="00A23356">
        <w:rPr>
          <w:rFonts w:ascii="Adobe Devanagari" w:hAnsi="Adobe Devanagari" w:cs="Adobe Devanagari"/>
          <w:sz w:val="28"/>
          <w:szCs w:val="28"/>
        </w:rPr>
        <w:t>que</w:t>
      </w:r>
      <w:r w:rsidR="00A23356">
        <w:rPr>
          <w:rFonts w:ascii="Adobe Devanagari" w:hAnsi="Adobe Devanagari" w:cs="Adobe Devanagari"/>
          <w:sz w:val="28"/>
          <w:szCs w:val="28"/>
        </w:rPr>
        <w:t xml:space="preserve"> a</w:t>
      </w:r>
      <w:r w:rsidR="00A23356" w:rsidRPr="00A23356">
        <w:rPr>
          <w:rFonts w:ascii="Adobe Devanagari" w:hAnsi="Adobe Devanagari" w:cs="Adobe Devanagari"/>
          <w:sz w:val="28"/>
          <w:szCs w:val="28"/>
        </w:rPr>
        <w:t xml:space="preserve"> atividade </w:t>
      </w:r>
      <w:r w:rsidR="00A23356">
        <w:rPr>
          <w:rFonts w:ascii="Adobe Devanagari" w:hAnsi="Adobe Devanagari" w:cs="Adobe Devanagari"/>
          <w:sz w:val="28"/>
          <w:szCs w:val="28"/>
        </w:rPr>
        <w:t xml:space="preserve">fungicida </w:t>
      </w:r>
      <w:r w:rsidR="00A23356" w:rsidRPr="00A23356">
        <w:rPr>
          <w:rFonts w:ascii="Adobe Devanagari" w:hAnsi="Adobe Devanagari" w:cs="Adobe Devanagari"/>
          <w:sz w:val="28"/>
          <w:szCs w:val="28"/>
        </w:rPr>
        <w:t xml:space="preserve">ocorreu a concentrações </w:t>
      </w:r>
      <w:r w:rsidR="000B55EB" w:rsidRPr="00A23356">
        <w:rPr>
          <w:rFonts w:ascii="Adobe Devanagari" w:hAnsi="Adobe Devanagari" w:cs="Adobe Devanagari"/>
          <w:sz w:val="28"/>
          <w:szCs w:val="28"/>
        </w:rPr>
        <w:t>baixas,</w:t>
      </w:r>
      <w:r w:rsidR="00A23356" w:rsidRPr="00A23356">
        <w:rPr>
          <w:rFonts w:ascii="Adobe Devanagari" w:hAnsi="Adobe Devanagari" w:cs="Adobe Devanagari"/>
          <w:sz w:val="28"/>
          <w:szCs w:val="28"/>
        </w:rPr>
        <w:t xml:space="preserve"> apresentando uma inibição condizente e eficiente</w:t>
      </w:r>
      <w:r w:rsidR="009838C5" w:rsidRPr="009838C5">
        <w:rPr>
          <w:rFonts w:ascii="Adobe Devanagari" w:hAnsi="Adobe Devanagari" w:cs="Adobe Devanagari"/>
          <w:sz w:val="28"/>
          <w:szCs w:val="28"/>
        </w:rPr>
        <w:t>. Em relação aos fenólicos totais</w:t>
      </w:r>
      <w:r w:rsidR="00852B8F">
        <w:rPr>
          <w:rFonts w:ascii="Adobe Devanagari" w:hAnsi="Adobe Devanagari" w:cs="Adobe Devanagari"/>
          <w:sz w:val="28"/>
          <w:szCs w:val="28"/>
        </w:rPr>
        <w:t xml:space="preserve"> obteve</w:t>
      </w:r>
      <w:r w:rsidR="000B55EB">
        <w:rPr>
          <w:rFonts w:ascii="Adobe Devanagari" w:hAnsi="Adobe Devanagari" w:cs="Adobe Devanagari"/>
          <w:sz w:val="28"/>
          <w:szCs w:val="28"/>
        </w:rPr>
        <w:t>-se</w:t>
      </w:r>
      <w:r w:rsidR="00852B8F">
        <w:rPr>
          <w:rFonts w:ascii="Adobe Devanagari" w:hAnsi="Adobe Devanagari" w:cs="Adobe Devanagari"/>
          <w:sz w:val="28"/>
          <w:szCs w:val="28"/>
        </w:rPr>
        <w:t xml:space="preserve"> um quantitativo de </w:t>
      </w:r>
      <w:r w:rsidR="00DC5547">
        <w:rPr>
          <w:rFonts w:ascii="Adobe Devanagari" w:hAnsi="Adobe Devanagari" w:cs="Adobe Devanagari"/>
          <w:sz w:val="28"/>
          <w:szCs w:val="28"/>
        </w:rPr>
        <w:t>91,0</w:t>
      </w:r>
      <w:r w:rsidR="00852B8F">
        <w:rPr>
          <w:rFonts w:ascii="Adobe Devanagari" w:hAnsi="Adobe Devanagari" w:cs="Adobe Devanagari"/>
          <w:sz w:val="28"/>
          <w:szCs w:val="28"/>
        </w:rPr>
        <w:t xml:space="preserve"> mg EAT g</w:t>
      </w:r>
      <w:r w:rsidR="00852B8F" w:rsidRPr="00852B8F">
        <w:rPr>
          <w:rFonts w:ascii="Adobe Devanagari" w:hAnsi="Adobe Devanagari" w:cs="Adobe Devanagari"/>
          <w:sz w:val="28"/>
          <w:szCs w:val="28"/>
          <w:vertAlign w:val="superscript"/>
        </w:rPr>
        <w:t>-1</w:t>
      </w:r>
      <w:r w:rsidR="005F1328">
        <w:rPr>
          <w:rFonts w:ascii="Adobe Devanagari" w:hAnsi="Adobe Devanagari" w:cs="Adobe Devanagari"/>
          <w:sz w:val="28"/>
          <w:szCs w:val="28"/>
        </w:rPr>
        <w:t>.C</w:t>
      </w:r>
      <w:r w:rsidR="00DF6BB6">
        <w:rPr>
          <w:rFonts w:ascii="Adobe Devanagari" w:hAnsi="Adobe Devanagari" w:cs="Adobe Devanagari"/>
          <w:sz w:val="28"/>
          <w:szCs w:val="28"/>
        </w:rPr>
        <w:t>om es</w:t>
      </w:r>
      <w:r w:rsidR="00D10811">
        <w:rPr>
          <w:rFonts w:ascii="Adobe Devanagari" w:hAnsi="Adobe Devanagari" w:cs="Adobe Devanagari"/>
          <w:sz w:val="28"/>
          <w:szCs w:val="28"/>
        </w:rPr>
        <w:t>te</w:t>
      </w:r>
      <w:r w:rsidR="00DF6BB6">
        <w:rPr>
          <w:rFonts w:ascii="Adobe Devanagari" w:hAnsi="Adobe Devanagari" w:cs="Adobe Devanagari"/>
          <w:sz w:val="28"/>
          <w:szCs w:val="28"/>
        </w:rPr>
        <w:t xml:space="preserve"> resultad</w:t>
      </w:r>
      <w:bookmarkStart w:id="1" w:name="_GoBack"/>
      <w:bookmarkEnd w:id="1"/>
      <w:r w:rsidR="00DF6BB6">
        <w:rPr>
          <w:rFonts w:ascii="Adobe Devanagari" w:hAnsi="Adobe Devanagari" w:cs="Adobe Devanagari"/>
          <w:sz w:val="28"/>
          <w:szCs w:val="28"/>
        </w:rPr>
        <w:t>o verificou-se uma quantificação acentuada de fenólicos</w:t>
      </w:r>
      <w:r w:rsidR="005F1328">
        <w:rPr>
          <w:rFonts w:ascii="Adobe Devanagari" w:hAnsi="Adobe Devanagari" w:cs="Adobe Devanagari"/>
          <w:sz w:val="28"/>
          <w:szCs w:val="28"/>
        </w:rPr>
        <w:t>, sendo importante para inferir uma eficiente atividade antio</w:t>
      </w:r>
      <w:r w:rsidR="007B14DF">
        <w:rPr>
          <w:rFonts w:ascii="Adobe Devanagari" w:hAnsi="Adobe Devanagari" w:cs="Adobe Devanagari"/>
          <w:sz w:val="28"/>
          <w:szCs w:val="28"/>
        </w:rPr>
        <w:t>x</w:t>
      </w:r>
      <w:r w:rsidR="005F1328">
        <w:rPr>
          <w:rFonts w:ascii="Adobe Devanagari" w:hAnsi="Adobe Devanagari" w:cs="Adobe Devanagari"/>
          <w:sz w:val="28"/>
          <w:szCs w:val="28"/>
        </w:rPr>
        <w:t>idante</w:t>
      </w:r>
      <w:r w:rsidR="00DF6BB6">
        <w:rPr>
          <w:rFonts w:ascii="Adobe Devanagari" w:hAnsi="Adobe Devanagari" w:cs="Adobe Devanagari"/>
          <w:sz w:val="28"/>
          <w:szCs w:val="28"/>
        </w:rPr>
        <w:t>.</w:t>
      </w:r>
      <w:r w:rsidR="00110068" w:rsidRPr="00605219">
        <w:rPr>
          <w:rFonts w:ascii="Adobe Devanagari" w:hAnsi="Adobe Devanagari" w:cs="Adobe Devanagari"/>
          <w:sz w:val="28"/>
          <w:szCs w:val="28"/>
        </w:rPr>
        <w:t>;</w:t>
      </w:r>
      <w:r w:rsidR="00203A60">
        <w:rPr>
          <w:rFonts w:ascii="Adobe Devanagari" w:hAnsi="Adobe Devanagari" w:cs="Adobe Devanagari"/>
          <w:b/>
          <w:bCs/>
          <w:color w:val="000000" w:themeColor="text1"/>
          <w:sz w:val="28"/>
          <w:szCs w:val="28"/>
        </w:rPr>
        <w:t>CONSIDERAÇÕES FINAIS</w:t>
      </w:r>
      <w:r w:rsidRPr="00674774">
        <w:rPr>
          <w:rFonts w:ascii="Adobe Devanagari" w:hAnsi="Adobe Devanagari" w:cs="Adobe Devanagari"/>
          <w:b/>
          <w:bCs/>
          <w:color w:val="000000" w:themeColor="text1"/>
          <w:sz w:val="28"/>
          <w:szCs w:val="28"/>
        </w:rPr>
        <w:t>:</w:t>
      </w:r>
      <w:r w:rsidR="000B55EB" w:rsidRPr="000B55EB">
        <w:rPr>
          <w:rFonts w:ascii="Adobe Devanagari" w:hAnsi="Adobe Devanagari" w:cs="Adobe Devanagari"/>
          <w:sz w:val="28"/>
          <w:szCs w:val="28"/>
        </w:rPr>
        <w:t>Afirma-se que através dos dados obtidos, o extrato hidroalcoólico atingiu resultados positivos, demonstrando um substancial potencial para atividades que inibam o desenvolvimento das cepas fúngicas utilizadas, atestando-se como uma opção para combate</w:t>
      </w:r>
      <w:r w:rsidR="000B55EB">
        <w:rPr>
          <w:rFonts w:ascii="Adobe Devanagari" w:hAnsi="Adobe Devanagari" w:cs="Adobe Devanagari"/>
          <w:sz w:val="28"/>
          <w:szCs w:val="28"/>
        </w:rPr>
        <w:t xml:space="preserve"> dos mesmos.</w:t>
      </w:r>
    </w:p>
    <w:p w:rsidR="00512BEA" w:rsidRDefault="00512BEA" w:rsidP="00110068">
      <w:pPr>
        <w:pStyle w:val="SemEspaamento"/>
        <w:jc w:val="both"/>
        <w:rPr>
          <w:rFonts w:ascii="Adobe Devanagari" w:hAnsi="Adobe Devanagari" w:cs="Adobe Devanagari"/>
          <w:sz w:val="28"/>
          <w:szCs w:val="28"/>
        </w:rPr>
      </w:pPr>
    </w:p>
    <w:p w:rsidR="00512BEA" w:rsidRPr="000B7E85" w:rsidRDefault="00512BEA" w:rsidP="00110068">
      <w:pPr>
        <w:pStyle w:val="SemEspaamento"/>
        <w:jc w:val="both"/>
        <w:rPr>
          <w:rFonts w:ascii="Adobe Devanagari" w:hAnsi="Adobe Devanagari" w:cs="Adobe Devanagari"/>
          <w:sz w:val="28"/>
          <w:szCs w:val="28"/>
        </w:rPr>
      </w:pPr>
      <w:r w:rsidRPr="00512BEA">
        <w:rPr>
          <w:rFonts w:ascii="Adobe Devanagari" w:hAnsi="Adobe Devanagari" w:cs="Adobe Devanagari"/>
          <w:b/>
          <w:bCs/>
          <w:sz w:val="28"/>
          <w:szCs w:val="28"/>
        </w:rPr>
        <w:t xml:space="preserve">PALAVRAS-CHAVE: </w:t>
      </w:r>
      <w:r w:rsidR="00D10811" w:rsidRPr="00D10811">
        <w:rPr>
          <w:rFonts w:ascii="Adobe Devanagari" w:hAnsi="Adobe Devanagari" w:cs="Adobe Devanagari"/>
          <w:bCs/>
          <w:sz w:val="28"/>
          <w:szCs w:val="28"/>
        </w:rPr>
        <w:t>Cubenol</w:t>
      </w:r>
      <w:r>
        <w:rPr>
          <w:rFonts w:ascii="Adobe Devanagari" w:hAnsi="Adobe Devanagari" w:cs="Adobe Devanagari"/>
          <w:sz w:val="28"/>
          <w:szCs w:val="28"/>
        </w:rPr>
        <w:t xml:space="preserve">; </w:t>
      </w:r>
      <w:r w:rsidR="00D10811">
        <w:rPr>
          <w:rFonts w:ascii="Adobe Devanagari" w:hAnsi="Adobe Devanagari" w:cs="Adobe Devanagari"/>
          <w:sz w:val="28"/>
          <w:szCs w:val="28"/>
        </w:rPr>
        <w:t>Medicinal</w:t>
      </w:r>
      <w:r>
        <w:rPr>
          <w:rFonts w:ascii="Adobe Devanagari" w:hAnsi="Adobe Devanagari" w:cs="Adobe Devanagari"/>
          <w:sz w:val="28"/>
          <w:szCs w:val="28"/>
        </w:rPr>
        <w:t xml:space="preserve">; </w:t>
      </w:r>
      <w:r w:rsidR="00D10811">
        <w:rPr>
          <w:rFonts w:ascii="Adobe Devanagari" w:hAnsi="Adobe Devanagari" w:cs="Adobe Devanagari"/>
          <w:sz w:val="28"/>
          <w:szCs w:val="28"/>
        </w:rPr>
        <w:t>Absorbância</w:t>
      </w:r>
      <w:r>
        <w:rPr>
          <w:rFonts w:ascii="Adobe Devanagari" w:hAnsi="Adobe Devanagari" w:cs="Adobe Devanagari"/>
          <w:sz w:val="28"/>
          <w:szCs w:val="28"/>
        </w:rPr>
        <w:t>;</w:t>
      </w:r>
    </w:p>
    <w:p w:rsidR="00460B2C" w:rsidRPr="0019487F" w:rsidRDefault="00460B2C" w:rsidP="00460B2C">
      <w:pPr>
        <w:pStyle w:val="SemEspaamento"/>
        <w:rPr>
          <w:rFonts w:ascii="Adobe Devanagari" w:hAnsi="Adobe Devanagari" w:cs="Adobe Devanagari"/>
          <w:b/>
          <w:bCs/>
          <w:sz w:val="24"/>
          <w:szCs w:val="24"/>
        </w:rPr>
      </w:pPr>
    </w:p>
    <w:sectPr w:rsidR="00460B2C" w:rsidRPr="0019487F" w:rsidSect="00EB561B">
      <w:headerReference w:type="default" r:id="rId7"/>
      <w:footerReference w:type="default" r:id="rId8"/>
      <w:pgSz w:w="11906" w:h="16838"/>
      <w:pgMar w:top="1134" w:right="1134" w:bottom="1418" w:left="1134"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E6E" w:rsidRDefault="00A11E6E" w:rsidP="00065E6E">
      <w:pPr>
        <w:spacing w:after="0" w:line="240" w:lineRule="auto"/>
      </w:pPr>
      <w:r>
        <w:separator/>
      </w:r>
    </w:p>
  </w:endnote>
  <w:endnote w:type="continuationSeparator" w:id="1">
    <w:p w:rsidR="00A11E6E" w:rsidRDefault="00A11E6E" w:rsidP="00065E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1B" w:rsidRDefault="00EB561B">
    <w:pPr>
      <w:pStyle w:val="Rodap"/>
    </w:pPr>
    <w:r w:rsidRPr="00E407E3">
      <w:rPr>
        <w:noProof/>
        <w:lang w:eastAsia="pt-BR"/>
      </w:rPr>
      <w:drawing>
        <wp:anchor distT="0" distB="0" distL="114300" distR="114300" simplePos="0" relativeHeight="251659264" behindDoc="1" locked="0" layoutInCell="1" allowOverlap="1">
          <wp:simplePos x="0" y="0"/>
          <wp:positionH relativeFrom="page">
            <wp:align>left</wp:align>
          </wp:positionH>
          <wp:positionV relativeFrom="paragraph">
            <wp:posOffset>-272566</wp:posOffset>
          </wp:positionV>
          <wp:extent cx="7825740" cy="872490"/>
          <wp:effectExtent l="0" t="0" r="3810" b="3810"/>
          <wp:wrapNone/>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2150" b="2416"/>
                  <a:stretch/>
                </pic:blipFill>
                <pic:spPr bwMode="auto">
                  <a:xfrm>
                    <a:off x="0" y="0"/>
                    <a:ext cx="7825740" cy="8724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E6E" w:rsidRDefault="00A11E6E" w:rsidP="00065E6E">
      <w:pPr>
        <w:spacing w:after="0" w:line="240" w:lineRule="auto"/>
      </w:pPr>
      <w:r>
        <w:separator/>
      </w:r>
    </w:p>
  </w:footnote>
  <w:footnote w:type="continuationSeparator" w:id="1">
    <w:p w:rsidR="00A11E6E" w:rsidRDefault="00A11E6E" w:rsidP="00065E6E">
      <w:pPr>
        <w:spacing w:after="0" w:line="240" w:lineRule="auto"/>
      </w:pPr>
      <w:r>
        <w:continuationSeparator/>
      </w:r>
    </w:p>
  </w:footnote>
  <w:footnote w:id="2">
    <w:p w:rsidR="002817F2" w:rsidRPr="00195F92" w:rsidRDefault="002817F2" w:rsidP="00195F92">
      <w:pPr>
        <w:pStyle w:val="SemEspaamento"/>
        <w:rPr>
          <w:rFonts w:ascii="Adobe Devanagari" w:hAnsi="Adobe Devanagari" w:cs="Adobe Devanagari"/>
          <w:sz w:val="16"/>
          <w:szCs w:val="16"/>
        </w:rPr>
      </w:pPr>
      <w:r w:rsidRPr="00195F92">
        <w:rPr>
          <w:rStyle w:val="Refdenotaderodap"/>
          <w:rFonts w:ascii="Adobe Devanagari" w:hAnsi="Adobe Devanagari" w:cs="Adobe Devanagari"/>
          <w:sz w:val="16"/>
          <w:szCs w:val="16"/>
          <w:vertAlign w:val="baseline"/>
        </w:rPr>
        <w:footnoteRef/>
      </w:r>
      <w:r w:rsidR="006A6CB1">
        <w:rPr>
          <w:rFonts w:ascii="Adobe Devanagari" w:hAnsi="Adobe Devanagari" w:cs="Adobe Devanagari"/>
          <w:sz w:val="16"/>
          <w:szCs w:val="16"/>
        </w:rPr>
        <w:t>* autor correspondente;</w:t>
      </w:r>
      <w:r w:rsidR="00F67316">
        <w:rPr>
          <w:rFonts w:ascii="Adobe Devanagari" w:hAnsi="Adobe Devanagari" w:cs="Adobe Devanagari"/>
          <w:sz w:val="16"/>
          <w:szCs w:val="16"/>
        </w:rPr>
        <w:t>UFMA</w:t>
      </w:r>
      <w:r w:rsidR="006A6CB1">
        <w:rPr>
          <w:rFonts w:ascii="Adobe Devanagari" w:hAnsi="Adobe Devanagari" w:cs="Adobe Devanagari"/>
          <w:sz w:val="16"/>
          <w:szCs w:val="16"/>
        </w:rPr>
        <w:t>;</w:t>
      </w:r>
      <w:r w:rsidR="00F67316" w:rsidRPr="00F67316">
        <w:rPr>
          <w:rFonts w:ascii="Adobe Devanagari" w:hAnsi="Adobe Devanagari" w:cs="Adobe Devanagari"/>
          <w:sz w:val="16"/>
          <w:szCs w:val="16"/>
        </w:rPr>
        <w:t>cassianovasques447@gmail.com</w:t>
      </w:r>
      <w:r w:rsidR="006A6CB1">
        <w:rPr>
          <w:rFonts w:ascii="Adobe Devanagari" w:hAnsi="Adobe Devanagari" w:cs="Adobe Devanagari"/>
          <w:sz w:val="16"/>
          <w:szCs w:val="16"/>
        </w:rPr>
        <w:t>;</w:t>
      </w:r>
    </w:p>
  </w:footnote>
  <w:footnote w:id="3">
    <w:p w:rsidR="001C6E9C" w:rsidRDefault="001C6E9C" w:rsidP="001C6E9C">
      <w:pPr>
        <w:pStyle w:val="SemEspaamento"/>
        <w:rPr>
          <w:rFonts w:ascii="Adobe Devanagari" w:hAnsi="Adobe Devanagari" w:cs="Adobe Devanagari"/>
          <w:sz w:val="16"/>
          <w:szCs w:val="16"/>
        </w:rPr>
      </w:pPr>
      <w:r>
        <w:rPr>
          <w:rStyle w:val="Refdenotaderodap"/>
          <w:rFonts w:ascii="Adobe Devanagari" w:hAnsi="Adobe Devanagari" w:cs="Adobe Devanagari"/>
          <w:sz w:val="16"/>
          <w:szCs w:val="16"/>
        </w:rPr>
        <w:footnoteRef/>
      </w:r>
      <w:r>
        <w:rPr>
          <w:rFonts w:ascii="Adobe Devanagari" w:hAnsi="Adobe Devanagari" w:cs="Adobe Devanagari"/>
          <w:sz w:val="16"/>
          <w:szCs w:val="16"/>
        </w:rPr>
        <w:t xml:space="preserve"> Universidade Federal do Maranhão; </w:t>
      </w:r>
      <w:r w:rsidRPr="00AE40B7">
        <w:rPr>
          <w:rFonts w:ascii="Adobe Devanagari" w:hAnsi="Adobe Devanagari" w:cs="Adobe Devanagari"/>
          <w:sz w:val="16"/>
          <w:szCs w:val="16"/>
        </w:rPr>
        <w:t>thayane.lopes@discente.ufma.br</w:t>
      </w:r>
      <w:r>
        <w:rPr>
          <w:rFonts w:ascii="Adobe Devanagari" w:hAnsi="Adobe Devanagari" w:cs="Adobe Devanagari"/>
          <w:sz w:val="16"/>
          <w:szCs w:val="16"/>
        </w:rPr>
        <w:t>;</w:t>
      </w:r>
    </w:p>
  </w:footnote>
  <w:footnote w:id="4">
    <w:p w:rsidR="001C6E9C" w:rsidRDefault="001C6E9C" w:rsidP="001C6E9C">
      <w:pPr>
        <w:pStyle w:val="SemEspaamento"/>
        <w:rPr>
          <w:rFonts w:ascii="Adobe Devanagari" w:hAnsi="Adobe Devanagari" w:cs="Adobe Devanagari"/>
          <w:sz w:val="16"/>
          <w:szCs w:val="16"/>
        </w:rPr>
      </w:pPr>
      <w:r>
        <w:rPr>
          <w:rStyle w:val="Refdenotaderodap"/>
          <w:rFonts w:ascii="Adobe Devanagari" w:hAnsi="Adobe Devanagari" w:cs="Adobe Devanagari"/>
          <w:sz w:val="16"/>
          <w:szCs w:val="16"/>
        </w:rPr>
        <w:footnoteRef/>
      </w:r>
      <w:r>
        <w:rPr>
          <w:rFonts w:ascii="Adobe Devanagari" w:hAnsi="Adobe Devanagari" w:cs="Adobe Devanagari"/>
          <w:sz w:val="16"/>
          <w:szCs w:val="16"/>
        </w:rPr>
        <w:t xml:space="preserve"> Universidade Federal do Maranhão; </w:t>
      </w:r>
      <w:r w:rsidRPr="00CF4E44">
        <w:rPr>
          <w:rFonts w:ascii="Adobe Devanagari" w:hAnsi="Adobe Devanagari" w:cs="Adobe Devanagari"/>
          <w:sz w:val="16"/>
          <w:szCs w:val="16"/>
        </w:rPr>
        <w:t>joao-p01@live.com</w:t>
      </w:r>
      <w:r>
        <w:rPr>
          <w:rFonts w:ascii="Adobe Devanagari" w:hAnsi="Adobe Devanagari" w:cs="Adobe Devanagari"/>
          <w:sz w:val="16"/>
          <w:szCs w:val="16"/>
        </w:rPr>
        <w:t>;</w:t>
      </w:r>
    </w:p>
  </w:footnote>
  <w:footnote w:id="5">
    <w:p w:rsidR="00B44994" w:rsidRDefault="00B44994" w:rsidP="00B44994">
      <w:pPr>
        <w:pStyle w:val="SemEspaamento"/>
        <w:rPr>
          <w:rFonts w:ascii="Adobe Devanagari" w:hAnsi="Adobe Devanagari" w:cs="Adobe Devanagari"/>
          <w:sz w:val="16"/>
          <w:szCs w:val="16"/>
        </w:rPr>
      </w:pPr>
      <w:r>
        <w:rPr>
          <w:rStyle w:val="Refdenotaderodap"/>
          <w:rFonts w:ascii="Adobe Devanagari" w:hAnsi="Adobe Devanagari" w:cs="Adobe Devanagari"/>
          <w:sz w:val="16"/>
          <w:szCs w:val="16"/>
        </w:rPr>
        <w:footnoteRef/>
      </w:r>
      <w:r>
        <w:rPr>
          <w:rFonts w:ascii="Adobe Devanagari" w:hAnsi="Adobe Devanagari" w:cs="Adobe Devanagari"/>
          <w:sz w:val="16"/>
          <w:szCs w:val="16"/>
        </w:rPr>
        <w:t xml:space="preserve"> Universidade Federal do Maranhão; </w:t>
      </w:r>
      <w:r w:rsidRPr="00AE40B7">
        <w:rPr>
          <w:rFonts w:ascii="Adobe Devanagari" w:hAnsi="Adobe Devanagari" w:cs="Adobe Devanagari"/>
          <w:sz w:val="16"/>
          <w:szCs w:val="16"/>
        </w:rPr>
        <w:t>Giullia.73@hotmail.com</w:t>
      </w:r>
      <w:r>
        <w:rPr>
          <w:rFonts w:ascii="Adobe Devanagari" w:hAnsi="Adobe Devanagari" w:cs="Adobe Devanagari"/>
          <w:sz w:val="16"/>
          <w:szCs w:val="16"/>
        </w:rPr>
        <w:t>;</w:t>
      </w:r>
    </w:p>
  </w:footnote>
  <w:footnote w:id="6">
    <w:p w:rsidR="00B44994" w:rsidRDefault="00B44994" w:rsidP="00B44994">
      <w:pPr>
        <w:pStyle w:val="SemEspaamento"/>
        <w:rPr>
          <w:rFonts w:ascii="Adobe Devanagari" w:hAnsi="Adobe Devanagari" w:cs="Adobe Devanagari"/>
          <w:sz w:val="16"/>
          <w:szCs w:val="16"/>
        </w:rPr>
      </w:pPr>
      <w:r>
        <w:rPr>
          <w:rStyle w:val="Refdenotaderodap"/>
          <w:rFonts w:ascii="Adobe Devanagari" w:hAnsi="Adobe Devanagari" w:cs="Adobe Devanagari"/>
          <w:sz w:val="16"/>
          <w:szCs w:val="16"/>
        </w:rPr>
        <w:footnoteRef/>
      </w:r>
      <w:r>
        <w:rPr>
          <w:rFonts w:ascii="Adobe Devanagari" w:hAnsi="Adobe Devanagari" w:cs="Adobe Devanagari"/>
          <w:sz w:val="16"/>
          <w:szCs w:val="16"/>
        </w:rPr>
        <w:t xml:space="preserve"> Universidade Federal do Maranhão; </w:t>
      </w:r>
      <w:r w:rsidRPr="000C6263">
        <w:rPr>
          <w:rFonts w:ascii="Adobe Devanagari" w:hAnsi="Adobe Devanagari" w:cs="Adobe Devanagari"/>
          <w:sz w:val="16"/>
          <w:szCs w:val="16"/>
        </w:rPr>
        <w:t>everhs16@gmail.com</w:t>
      </w:r>
      <w:r>
        <w:rPr>
          <w:rFonts w:ascii="Adobe Devanagari" w:hAnsi="Adobe Devanagari" w:cs="Adobe Devanagari"/>
          <w:sz w:val="16"/>
          <w:szCs w:val="16"/>
        </w:rPr>
        <w:t>;</w:t>
      </w:r>
    </w:p>
  </w:footnote>
  <w:footnote w:id="7">
    <w:p w:rsidR="00B44994" w:rsidRDefault="00B44994" w:rsidP="00B44994">
      <w:pPr>
        <w:pStyle w:val="SemEspaamento"/>
        <w:rPr>
          <w:rFonts w:ascii="Adobe Devanagari" w:hAnsi="Adobe Devanagari" w:cs="Adobe Devanagari"/>
          <w:sz w:val="16"/>
          <w:szCs w:val="16"/>
        </w:rPr>
      </w:pPr>
      <w:r>
        <w:rPr>
          <w:rStyle w:val="Refdenotaderodap"/>
          <w:rFonts w:ascii="Adobe Devanagari" w:hAnsi="Adobe Devanagari" w:cs="Adobe Devanagari"/>
          <w:sz w:val="16"/>
          <w:szCs w:val="16"/>
        </w:rPr>
        <w:footnoteRef/>
      </w:r>
      <w:r>
        <w:rPr>
          <w:rFonts w:ascii="Adobe Devanagari" w:hAnsi="Adobe Devanagari" w:cs="Adobe Devanagari"/>
          <w:sz w:val="16"/>
          <w:szCs w:val="16"/>
        </w:rPr>
        <w:t xml:space="preserve"> Universidade Federal do Maranhão; gustavooliveiraeverton@gmail.com;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E6E" w:rsidRDefault="00E407E3" w:rsidP="00E407E3">
    <w:pPr>
      <w:pStyle w:val="Cabealho"/>
    </w:pPr>
    <w:r w:rsidRPr="00E407E3">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ragraph">
            <wp:posOffset>-90170</wp:posOffset>
          </wp:positionV>
          <wp:extent cx="7825740" cy="2125345"/>
          <wp:effectExtent l="0" t="0" r="3810" b="8255"/>
          <wp:wrapSquare wrapText="bothSides"/>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102" b="25982"/>
                  <a:stretch/>
                </pic:blipFill>
                <pic:spPr bwMode="auto">
                  <a:xfrm>
                    <a:off x="0" y="0"/>
                    <a:ext cx="7825740" cy="21253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065E6E"/>
    <w:rsid w:val="00062DC3"/>
    <w:rsid w:val="00065E6E"/>
    <w:rsid w:val="000B55EB"/>
    <w:rsid w:val="000B7E85"/>
    <w:rsid w:val="00102B3E"/>
    <w:rsid w:val="00110068"/>
    <w:rsid w:val="001323DE"/>
    <w:rsid w:val="0016735A"/>
    <w:rsid w:val="0019487F"/>
    <w:rsid w:val="00195F92"/>
    <w:rsid w:val="001A290A"/>
    <w:rsid w:val="001C6E9C"/>
    <w:rsid w:val="00203A60"/>
    <w:rsid w:val="002817F2"/>
    <w:rsid w:val="002868E6"/>
    <w:rsid w:val="002935FC"/>
    <w:rsid w:val="002A7704"/>
    <w:rsid w:val="002B1C51"/>
    <w:rsid w:val="002B7C00"/>
    <w:rsid w:val="003C710C"/>
    <w:rsid w:val="003C785E"/>
    <w:rsid w:val="003E5AA3"/>
    <w:rsid w:val="00456F8B"/>
    <w:rsid w:val="00460B2C"/>
    <w:rsid w:val="004762F2"/>
    <w:rsid w:val="00486DFA"/>
    <w:rsid w:val="004C4D30"/>
    <w:rsid w:val="004C788E"/>
    <w:rsid w:val="004E64C6"/>
    <w:rsid w:val="004F7A44"/>
    <w:rsid w:val="00512BEA"/>
    <w:rsid w:val="00557706"/>
    <w:rsid w:val="005712C4"/>
    <w:rsid w:val="005F1328"/>
    <w:rsid w:val="00605219"/>
    <w:rsid w:val="00674774"/>
    <w:rsid w:val="006A6CB1"/>
    <w:rsid w:val="006E68F4"/>
    <w:rsid w:val="00764F62"/>
    <w:rsid w:val="00797F0A"/>
    <w:rsid w:val="007B14DF"/>
    <w:rsid w:val="007D2C5E"/>
    <w:rsid w:val="007E356F"/>
    <w:rsid w:val="00806FF2"/>
    <w:rsid w:val="008345F4"/>
    <w:rsid w:val="00852B8F"/>
    <w:rsid w:val="008855E5"/>
    <w:rsid w:val="00903FCD"/>
    <w:rsid w:val="009050AB"/>
    <w:rsid w:val="00935BFD"/>
    <w:rsid w:val="009838C5"/>
    <w:rsid w:val="009B655D"/>
    <w:rsid w:val="009D682D"/>
    <w:rsid w:val="009E5AF2"/>
    <w:rsid w:val="00A11E6E"/>
    <w:rsid w:val="00A23356"/>
    <w:rsid w:val="00A6716A"/>
    <w:rsid w:val="00A922C3"/>
    <w:rsid w:val="00AC2965"/>
    <w:rsid w:val="00B44994"/>
    <w:rsid w:val="00C0261A"/>
    <w:rsid w:val="00C12DAC"/>
    <w:rsid w:val="00C23F88"/>
    <w:rsid w:val="00CB3818"/>
    <w:rsid w:val="00D05F95"/>
    <w:rsid w:val="00D10811"/>
    <w:rsid w:val="00D36731"/>
    <w:rsid w:val="00D500B5"/>
    <w:rsid w:val="00DC5547"/>
    <w:rsid w:val="00DF6BB6"/>
    <w:rsid w:val="00E407E3"/>
    <w:rsid w:val="00E45A05"/>
    <w:rsid w:val="00E60D89"/>
    <w:rsid w:val="00EB561B"/>
    <w:rsid w:val="00F57764"/>
    <w:rsid w:val="00F673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5E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5E6E"/>
  </w:style>
  <w:style w:type="paragraph" w:styleId="Rodap">
    <w:name w:val="footer"/>
    <w:basedOn w:val="Normal"/>
    <w:link w:val="RodapChar"/>
    <w:uiPriority w:val="99"/>
    <w:unhideWhenUsed/>
    <w:rsid w:val="00065E6E"/>
    <w:pPr>
      <w:tabs>
        <w:tab w:val="center" w:pos="4252"/>
        <w:tab w:val="right" w:pos="8504"/>
      </w:tabs>
      <w:spacing w:after="0" w:line="240" w:lineRule="auto"/>
    </w:pPr>
  </w:style>
  <w:style w:type="character" w:customStyle="1" w:styleId="RodapChar">
    <w:name w:val="Rodapé Char"/>
    <w:basedOn w:val="Fontepargpadro"/>
    <w:link w:val="Rodap"/>
    <w:uiPriority w:val="99"/>
    <w:rsid w:val="00065E6E"/>
  </w:style>
  <w:style w:type="paragraph" w:styleId="SemEspaamento">
    <w:name w:val="No Spacing"/>
    <w:uiPriority w:val="1"/>
    <w:qFormat/>
    <w:rsid w:val="00E407E3"/>
    <w:pPr>
      <w:spacing w:after="0" w:line="240" w:lineRule="auto"/>
    </w:pPr>
  </w:style>
  <w:style w:type="paragraph" w:styleId="Textodenotadefim">
    <w:name w:val="endnote text"/>
    <w:basedOn w:val="Normal"/>
    <w:link w:val="TextodenotadefimChar"/>
    <w:uiPriority w:val="99"/>
    <w:semiHidden/>
    <w:unhideWhenUsed/>
    <w:rsid w:val="002817F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817F2"/>
    <w:rPr>
      <w:sz w:val="20"/>
      <w:szCs w:val="20"/>
    </w:rPr>
  </w:style>
  <w:style w:type="character" w:styleId="Refdenotadefim">
    <w:name w:val="endnote reference"/>
    <w:basedOn w:val="Fontepargpadro"/>
    <w:uiPriority w:val="99"/>
    <w:semiHidden/>
    <w:unhideWhenUsed/>
    <w:rsid w:val="002817F2"/>
    <w:rPr>
      <w:vertAlign w:val="superscript"/>
    </w:rPr>
  </w:style>
  <w:style w:type="paragraph" w:styleId="Textodenotaderodap">
    <w:name w:val="footnote text"/>
    <w:basedOn w:val="Normal"/>
    <w:link w:val="TextodenotaderodapChar"/>
    <w:uiPriority w:val="99"/>
    <w:semiHidden/>
    <w:unhideWhenUsed/>
    <w:rsid w:val="002817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817F2"/>
    <w:rPr>
      <w:sz w:val="20"/>
      <w:szCs w:val="20"/>
    </w:rPr>
  </w:style>
  <w:style w:type="character" w:styleId="Refdenotaderodap">
    <w:name w:val="footnote reference"/>
    <w:basedOn w:val="Fontepargpadro"/>
    <w:uiPriority w:val="99"/>
    <w:semiHidden/>
    <w:unhideWhenUsed/>
    <w:rsid w:val="002817F2"/>
    <w:rPr>
      <w:vertAlign w:val="superscript"/>
    </w:rPr>
  </w:style>
  <w:style w:type="table" w:styleId="Tabelacomgrade">
    <w:name w:val="Table Grid"/>
    <w:basedOn w:val="Tabelanormal"/>
    <w:uiPriority w:val="39"/>
    <w:rsid w:val="00460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80FD-A5CB-4F1C-835C-68F0D84E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Home</cp:lastModifiedBy>
  <cp:revision>6</cp:revision>
  <dcterms:created xsi:type="dcterms:W3CDTF">2020-11-22T22:33:00Z</dcterms:created>
  <dcterms:modified xsi:type="dcterms:W3CDTF">2020-11-22T23:07:00Z</dcterms:modified>
</cp:coreProperties>
</file>