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170" w:rsidRDefault="003E7170" w:rsidP="00CE2538">
      <w:pPr>
        <w:spacing w:line="240" w:lineRule="auto"/>
        <w:rPr>
          <w:b/>
        </w:rPr>
      </w:pPr>
      <w:r w:rsidRPr="003E7170">
        <w:rPr>
          <w:b/>
        </w:rPr>
        <w:t>Eixo Temático: Doenças de Notificação Compulsória.</w:t>
      </w:r>
    </w:p>
    <w:p w:rsidR="003E7170" w:rsidRDefault="003E7170" w:rsidP="00CE2538">
      <w:pPr>
        <w:spacing w:line="240" w:lineRule="auto"/>
        <w:jc w:val="center"/>
        <w:rPr>
          <w:b/>
        </w:rPr>
      </w:pPr>
      <w:r w:rsidRPr="003E7170">
        <w:rPr>
          <w:b/>
        </w:rPr>
        <w:t xml:space="preserve">VACINA </w:t>
      </w:r>
      <w:proofErr w:type="gramStart"/>
      <w:r w:rsidRPr="003E7170">
        <w:rPr>
          <w:b/>
        </w:rPr>
        <w:t>RTS,S</w:t>
      </w:r>
      <w:proofErr w:type="gramEnd"/>
      <w:r w:rsidRPr="003E7170">
        <w:rPr>
          <w:b/>
        </w:rPr>
        <w:t xml:space="preserve">/AS01 CONTRA A MALÁRIA EM REGIÕES ENDÊMICAS E NÃO ENDÊMICAS: UMA REVISÃO </w:t>
      </w:r>
      <w:r>
        <w:rPr>
          <w:b/>
        </w:rPr>
        <w:t>DE LITERATURA</w:t>
      </w:r>
    </w:p>
    <w:p w:rsidR="003E7170" w:rsidRDefault="003E7170" w:rsidP="00CE2538">
      <w:pPr>
        <w:spacing w:line="240" w:lineRule="auto"/>
      </w:pPr>
    </w:p>
    <w:p w:rsidR="00AC1F77" w:rsidRDefault="00AC1F77" w:rsidP="00AC1F77">
      <w:pPr>
        <w:pStyle w:val="NormalWeb"/>
        <w:jc w:val="both"/>
      </w:pPr>
      <w:r>
        <w:rPr>
          <w:rStyle w:val="Forte"/>
        </w:rPr>
        <w:t>INTRODUÇÃO:</w:t>
      </w:r>
      <w:r>
        <w:t xml:space="preserve"> A malária continua sendo uma das principais causas de morbidade e mortalidade em países em desenvolvimento. Além disso, o aumento da resistência a pesticidas e medicamentos antimaláricos torna essencial a busca por métodos eficazes de prevenção contra essa doença parasitária. Nesse contexto, a vacina </w:t>
      </w:r>
      <w:proofErr w:type="gramStart"/>
      <w:r>
        <w:t>RTS,S</w:t>
      </w:r>
      <w:proofErr w:type="gramEnd"/>
      <w:r>
        <w:t xml:space="preserve">/AS01 contra a malária pode demonstrar eficácia. </w:t>
      </w:r>
      <w:r>
        <w:rPr>
          <w:rStyle w:val="Forte"/>
        </w:rPr>
        <w:t>OBJETIVO:</w:t>
      </w:r>
      <w:r>
        <w:t xml:space="preserve"> Conduzir uma revisão sistemática sobre o uso da vacina </w:t>
      </w:r>
      <w:proofErr w:type="gramStart"/>
      <w:r>
        <w:t>RTS,S</w:t>
      </w:r>
      <w:proofErr w:type="gramEnd"/>
      <w:r>
        <w:t xml:space="preserve">/AS01 em seres humanos. </w:t>
      </w:r>
      <w:r>
        <w:rPr>
          <w:rStyle w:val="Forte"/>
        </w:rPr>
        <w:t>MÉTODOS:</w:t>
      </w:r>
      <w:r>
        <w:t xml:space="preserve"> Esta revisão teve como objetivo avaliar a qualidade da literatura sobre o uso da vacina </w:t>
      </w:r>
      <w:proofErr w:type="gramStart"/>
      <w:r>
        <w:t>RTS,S</w:t>
      </w:r>
      <w:proofErr w:type="gramEnd"/>
      <w:r>
        <w:t>/AS01, seguindo as diretrizes PRISMA. Foi realizada uma busca sistemática nas bases PubMed, Scielo e ClinicalTrials.gov para identificar artigos publicados até 30 de outubro de 2024. Os algoritmos de busca utilizados foram: ((</w:t>
      </w:r>
      <w:proofErr w:type="gramStart"/>
      <w:r>
        <w:t>RTS,S</w:t>
      </w:r>
      <w:proofErr w:type="gramEnd"/>
      <w:r>
        <w:t>/AS01) AND (</w:t>
      </w:r>
      <w:proofErr w:type="spellStart"/>
      <w:r>
        <w:t>Malaria</w:t>
      </w:r>
      <w:proofErr w:type="spellEnd"/>
      <w:r>
        <w:t>)) AND ((</w:t>
      </w:r>
      <w:proofErr w:type="spellStart"/>
      <w:r>
        <w:t>Vaccine</w:t>
      </w:r>
      <w:proofErr w:type="spellEnd"/>
      <w:r>
        <w:t>) OR (</w:t>
      </w:r>
      <w:proofErr w:type="spellStart"/>
      <w:r>
        <w:t>Immunization</w:t>
      </w:r>
      <w:proofErr w:type="spellEnd"/>
      <w:r>
        <w:t xml:space="preserve">)). A busca foi limitada a estudos publicados nos últimos 10 anos e disponíveis em texto completo. Foram elegíveis ensaios clínicos e ensaios clínicos randomizados que avaliaram a eficácia da vacina </w:t>
      </w:r>
      <w:proofErr w:type="gramStart"/>
      <w:r>
        <w:t>RTS,S</w:t>
      </w:r>
      <w:proofErr w:type="gramEnd"/>
      <w:r>
        <w:t>/AS01, sem restrição quanto a país, idade, raça, gênero ou idioma de publicação. Ensaios com informações incompletas ou ausentes foram excluídos</w:t>
      </w:r>
      <w:r>
        <w:rPr>
          <w:rStyle w:val="nfase"/>
        </w:rPr>
        <w:t>.</w:t>
      </w:r>
      <w:r>
        <w:t xml:space="preserve"> Foram coletados dados sobre detalhes de publicação, desenho do estudo, participantes, idade média, faixa etária, detalhes da intervenção e do comparador, desfechos primários e secundários e conflitos de interesse. </w:t>
      </w:r>
      <w:r>
        <w:rPr>
          <w:rStyle w:val="Forte"/>
        </w:rPr>
        <w:t>RESULTADOS:</w:t>
      </w:r>
      <w:r>
        <w:t xml:space="preserve"> Foram incluídos 23 ensaios clínicos envolvendo 737.809 participantes: 4 avaliaram esquemas de doses fracionadas, 10 </w:t>
      </w:r>
      <w:proofErr w:type="spellStart"/>
      <w:r>
        <w:t>imunogenicidade</w:t>
      </w:r>
      <w:proofErr w:type="spellEnd"/>
      <w:r>
        <w:t xml:space="preserve">, </w:t>
      </w:r>
      <w:proofErr w:type="gramStart"/>
      <w:r>
        <w:t>8 segurança</w:t>
      </w:r>
      <w:proofErr w:type="gramEnd"/>
      <w:r>
        <w:t xml:space="preserve"> e 15 eficácia protetora. A eficácia variou de 29% a 76%, sendo os melhores resultados observados com o regime de três doses. Após sete anos, a eficácia caiu para 4,4%, mas, com </w:t>
      </w:r>
      <w:proofErr w:type="spellStart"/>
      <w:r>
        <w:t>quimioprofilaxia</w:t>
      </w:r>
      <w:proofErr w:type="spellEnd"/>
      <w:r>
        <w:t xml:space="preserve"> sazonal, alcançou 57,7%. Para doses fracionadas, a eficácia variou de 29% a 86,7%, sendo o regime fracionado de três doses o mais eficaz. Em relação à segurança, eventos adversos graves (</w:t>
      </w:r>
      <w:proofErr w:type="spellStart"/>
      <w:r>
        <w:t>EAGs</w:t>
      </w:r>
      <w:proofErr w:type="spellEnd"/>
      <w:r>
        <w:t xml:space="preserve">) ocorreram em 24,2% a 28,4% dos casos, com taxa de mortalidade entre 1,5% e 2,5%. Entre crianças HIV-positivas, 92,2% apresentaram </w:t>
      </w:r>
      <w:proofErr w:type="spellStart"/>
      <w:r>
        <w:t>EAGs</w:t>
      </w:r>
      <w:proofErr w:type="spellEnd"/>
      <w:r>
        <w:t xml:space="preserve">, com mortalidade entre 29,4% e 31,3%, embora nenhum óbito tenha sido relacionado à vacina. Os resultados de </w:t>
      </w:r>
      <w:proofErr w:type="spellStart"/>
      <w:r>
        <w:t>imunogenicidade</w:t>
      </w:r>
      <w:proofErr w:type="spellEnd"/>
      <w:r>
        <w:t xml:space="preserve"> mostraram títulos de anticorpos </w:t>
      </w:r>
      <w:proofErr w:type="spellStart"/>
      <w:r>
        <w:t>anti-CS</w:t>
      </w:r>
      <w:proofErr w:type="spellEnd"/>
      <w:r>
        <w:t xml:space="preserve"> variando de 193,3 EU/ml a 491,5 EU/ml, com aumento da avidez após reforço com doses fracionadas. A vacina demonstrou maior eficácia com o regime de três doses, mas essa eficácia diminuiu ao longo do tempo. Eventos adversos graves foram relatados em proporção significativa dos casos, com taxas de mortalidade de 1,5% a 2,5%, e de 29,4% a 31,3% entre crianças HIV-positivas, sem relação direta com a vacina. A resposta imune melhorou com doses fracionadas, sugerindo maior eficácia com doses de reforço. </w:t>
      </w:r>
      <w:r>
        <w:rPr>
          <w:rStyle w:val="Forte"/>
        </w:rPr>
        <w:t>CONCLUSÃO:</w:t>
      </w:r>
      <w:r>
        <w:t xml:space="preserve"> Este estudo avaliou a vacina </w:t>
      </w:r>
      <w:proofErr w:type="gramStart"/>
      <w:r>
        <w:t>RTS,S</w:t>
      </w:r>
      <w:proofErr w:type="gramEnd"/>
      <w:r>
        <w:t>/AS01 como medida preventiva eficaz contra a malária, demonstrando perfil de segurança favorável. As implicações futuras envolvem o uso dessa vacina como profilaxia de primeira linha em regimes de imunização para países endêmicos de malária. As limitações do estudo incluíram viés de publicação e heterogeneidade entre os desenhos dos estudos. Análises adicionais são necessárias para explorar estratégias que prolonguem a imunidade.</w:t>
      </w:r>
    </w:p>
    <w:p w:rsidR="003E7170" w:rsidRDefault="00CE2538" w:rsidP="00CE2538">
      <w:pPr>
        <w:spacing w:line="240" w:lineRule="auto"/>
        <w:rPr>
          <w:i/>
        </w:rPr>
      </w:pPr>
      <w:r w:rsidRPr="00CE2538">
        <w:rPr>
          <w:b/>
        </w:rPr>
        <w:lastRenderedPageBreak/>
        <w:t>PALAVRAS-CHAVE:</w:t>
      </w:r>
      <w:r w:rsidR="003E7170">
        <w:t xml:space="preserve"> </w:t>
      </w:r>
      <w:r w:rsidR="003E7170" w:rsidRPr="00CE2538">
        <w:t>Malária, Vacinas, Vacinação, Imunização.</w:t>
      </w:r>
    </w:p>
    <w:p w:rsidR="00CE2538" w:rsidRDefault="00CE2538" w:rsidP="00CE2538">
      <w:pPr>
        <w:spacing w:line="240" w:lineRule="auto"/>
        <w:rPr>
          <w:b/>
        </w:rPr>
      </w:pPr>
      <w:r>
        <w:rPr>
          <w:b/>
        </w:rPr>
        <w:t>REFERÊNCIAS</w:t>
      </w:r>
    </w:p>
    <w:p w:rsidR="00AC1F77" w:rsidRPr="006C7EC8" w:rsidRDefault="00AC1F77" w:rsidP="00AC1F77">
      <w:pPr>
        <w:pStyle w:val="NormalWeb"/>
        <w:rPr>
          <w:lang w:val="en-US"/>
        </w:rPr>
      </w:pPr>
      <w:bookmarkStart w:id="0" w:name="_GoBack"/>
      <w:r w:rsidRPr="006C7EC8">
        <w:t xml:space="preserve">ASANTE, K. P.; OSEI-AKOTO, A.; MWAKATUNDU, N. </w:t>
      </w:r>
      <w:r w:rsidRPr="006C7EC8">
        <w:rPr>
          <w:rStyle w:val="nfase"/>
        </w:rPr>
        <w:t>et al.</w:t>
      </w:r>
      <w:r w:rsidRPr="006C7EC8">
        <w:t xml:space="preserve"> </w:t>
      </w:r>
      <w:r w:rsidRPr="006C7EC8">
        <w:rPr>
          <w:lang w:val="en-US"/>
        </w:rPr>
        <w:t xml:space="preserve">Feasibility, safety, and impact of the </w:t>
      </w:r>
      <w:proofErr w:type="gramStart"/>
      <w:r w:rsidRPr="006C7EC8">
        <w:rPr>
          <w:lang w:val="en-US"/>
        </w:rPr>
        <w:t>RTS,S</w:t>
      </w:r>
      <w:proofErr w:type="gramEnd"/>
      <w:r w:rsidRPr="006C7EC8">
        <w:rPr>
          <w:lang w:val="en-US"/>
        </w:rPr>
        <w:t xml:space="preserve">/AS01E malaria vaccine when implemented through national </w:t>
      </w:r>
      <w:proofErr w:type="spellStart"/>
      <w:r w:rsidRPr="006C7EC8">
        <w:rPr>
          <w:lang w:val="en-US"/>
        </w:rPr>
        <w:t>immunisation</w:t>
      </w:r>
      <w:proofErr w:type="spellEnd"/>
      <w:r w:rsidRPr="006C7EC8">
        <w:rPr>
          <w:lang w:val="en-US"/>
        </w:rPr>
        <w:t xml:space="preserve"> </w:t>
      </w:r>
      <w:proofErr w:type="spellStart"/>
      <w:r w:rsidRPr="006C7EC8">
        <w:rPr>
          <w:lang w:val="en-US"/>
        </w:rPr>
        <w:t>programmes</w:t>
      </w:r>
      <w:proofErr w:type="spellEnd"/>
      <w:r w:rsidRPr="006C7EC8">
        <w:rPr>
          <w:lang w:val="en-US"/>
        </w:rPr>
        <w:t>: evaluation of cluster-</w:t>
      </w:r>
      <w:proofErr w:type="spellStart"/>
      <w:r w:rsidRPr="006C7EC8">
        <w:rPr>
          <w:lang w:val="en-US"/>
        </w:rPr>
        <w:t>randomised</w:t>
      </w:r>
      <w:proofErr w:type="spellEnd"/>
      <w:r w:rsidRPr="006C7EC8">
        <w:rPr>
          <w:lang w:val="en-US"/>
        </w:rPr>
        <w:t xml:space="preserve"> introduction of the vaccine in Ghana, Kenya, and Malawi. </w:t>
      </w:r>
      <w:r w:rsidRPr="006C7EC8">
        <w:rPr>
          <w:rStyle w:val="nfase"/>
          <w:lang w:val="en-US"/>
        </w:rPr>
        <w:t>The Lancet Global Health</w:t>
      </w:r>
      <w:r w:rsidRPr="006C7EC8">
        <w:rPr>
          <w:lang w:val="en-US"/>
        </w:rPr>
        <w:t>, v. 12, n. 3, p. e456-e467, 2024.</w:t>
      </w:r>
    </w:p>
    <w:p w:rsidR="00AC1F77" w:rsidRPr="001C064B" w:rsidRDefault="00AC1F77" w:rsidP="00AC1F77">
      <w:pPr>
        <w:spacing w:line="240" w:lineRule="auto"/>
        <w:rPr>
          <w:lang w:val="en-US"/>
        </w:rPr>
      </w:pPr>
      <w:r w:rsidRPr="00CE2538">
        <w:rPr>
          <w:lang w:val="en-US"/>
        </w:rPr>
        <w:t xml:space="preserve">BELLER, E. M. et al. </w:t>
      </w:r>
      <w:r w:rsidRPr="00CE2538">
        <w:rPr>
          <w:rStyle w:val="nfase"/>
          <w:lang w:val="en-US"/>
        </w:rPr>
        <w:t>PRISMA for Abstracts: reporting systematic reviews in journal and conference abstracts.</w:t>
      </w:r>
      <w:r w:rsidRPr="00CE2538">
        <w:rPr>
          <w:lang w:val="en-US"/>
        </w:rPr>
        <w:t xml:space="preserve"> </w:t>
      </w:r>
      <w:proofErr w:type="spellStart"/>
      <w:r w:rsidRPr="001C064B">
        <w:rPr>
          <w:rStyle w:val="nfase"/>
          <w:lang w:val="en-US"/>
        </w:rPr>
        <w:t>PLoS</w:t>
      </w:r>
      <w:proofErr w:type="spellEnd"/>
      <w:r w:rsidRPr="001C064B">
        <w:rPr>
          <w:rStyle w:val="nfase"/>
          <w:lang w:val="en-US"/>
        </w:rPr>
        <w:t xml:space="preserve"> Medicine</w:t>
      </w:r>
      <w:r w:rsidRPr="001C064B">
        <w:rPr>
          <w:lang w:val="en-US"/>
        </w:rPr>
        <w:t>, v. 10, n. 4, e1001419, 2013. DOI: 10.1371/journal.pmed.1001419.</w:t>
      </w:r>
    </w:p>
    <w:p w:rsidR="00AC1F77" w:rsidRPr="001C064B" w:rsidRDefault="00AC1F77" w:rsidP="00AC1F77">
      <w:pPr>
        <w:spacing w:line="240" w:lineRule="auto"/>
        <w:rPr>
          <w:lang w:val="en-US"/>
        </w:rPr>
      </w:pPr>
      <w:r w:rsidRPr="00CE2538">
        <w:rPr>
          <w:lang w:val="en-US"/>
        </w:rPr>
        <w:t xml:space="preserve">LIBERATI, A. et al. </w:t>
      </w:r>
      <w:r w:rsidRPr="00CE2538">
        <w:rPr>
          <w:rStyle w:val="nfase"/>
          <w:lang w:val="en-US"/>
        </w:rPr>
        <w:t>The PRISMA statement for reporting systematic reviews and meta-analyses of studies that evaluate health care interventions: explanation and elaboration.</w:t>
      </w:r>
      <w:r w:rsidRPr="00CE2538">
        <w:rPr>
          <w:lang w:val="en-US"/>
        </w:rPr>
        <w:t xml:space="preserve"> </w:t>
      </w:r>
      <w:r w:rsidRPr="00CE2538">
        <w:rPr>
          <w:rStyle w:val="nfase"/>
          <w:lang w:val="en-US"/>
        </w:rPr>
        <w:t>Journal of Clinical Epidemiology</w:t>
      </w:r>
      <w:r w:rsidRPr="00CE2538">
        <w:rPr>
          <w:lang w:val="en-US"/>
        </w:rPr>
        <w:t xml:space="preserve">, v. 62, n. 10, p. e1–e34, out. 2009. </w:t>
      </w:r>
      <w:r w:rsidRPr="001C064B">
        <w:rPr>
          <w:lang w:val="en-US"/>
        </w:rPr>
        <w:t xml:space="preserve">DOI: </w:t>
      </w:r>
      <w:hyperlink r:id="rId6" w:tgtFrame="_new" w:history="1">
        <w:r w:rsidRPr="001C064B">
          <w:rPr>
            <w:rStyle w:val="Hyperlink"/>
            <w:lang w:val="en-US"/>
          </w:rPr>
          <w:t>10.1016/j.jclinepi.2009.06.006</w:t>
        </w:r>
      </w:hyperlink>
    </w:p>
    <w:p w:rsidR="00AC1F77" w:rsidRPr="006C7EC8" w:rsidRDefault="00AC1F77" w:rsidP="00AC1F77">
      <w:pPr>
        <w:pStyle w:val="NormalWeb"/>
        <w:rPr>
          <w:lang w:val="en-US"/>
        </w:rPr>
      </w:pPr>
      <w:r w:rsidRPr="006C7EC8">
        <w:rPr>
          <w:lang w:val="en-US"/>
        </w:rPr>
        <w:t xml:space="preserve">MOON, J. E.; LIEVENS, M.; JONGERT, E. </w:t>
      </w:r>
      <w:r w:rsidRPr="006C7EC8">
        <w:rPr>
          <w:rStyle w:val="nfase"/>
          <w:lang w:val="en-US"/>
        </w:rPr>
        <w:t>et al.</w:t>
      </w:r>
      <w:r w:rsidRPr="006C7EC8">
        <w:rPr>
          <w:lang w:val="en-US"/>
        </w:rPr>
        <w:t xml:space="preserve"> A phase IIA extension study evaluating the effect of booster vaccination with a fractional dose of </w:t>
      </w:r>
      <w:proofErr w:type="gramStart"/>
      <w:r w:rsidRPr="006C7EC8">
        <w:rPr>
          <w:lang w:val="en-US"/>
        </w:rPr>
        <w:t>RTS,S</w:t>
      </w:r>
      <w:proofErr w:type="gramEnd"/>
      <w:r w:rsidRPr="006C7EC8">
        <w:rPr>
          <w:lang w:val="en-US"/>
        </w:rPr>
        <w:t xml:space="preserve">/AS01E in a controlled human malaria infection challenge. </w:t>
      </w:r>
      <w:r w:rsidRPr="006C7EC8">
        <w:rPr>
          <w:rStyle w:val="nfase"/>
          <w:lang w:val="en-US"/>
        </w:rPr>
        <w:t>The Lancet Infectious Diseases</w:t>
      </w:r>
      <w:r w:rsidRPr="006C7EC8">
        <w:rPr>
          <w:lang w:val="en-US"/>
        </w:rPr>
        <w:t>, v. 21, n. 10, p. 1393-1404, 2021.</w:t>
      </w:r>
    </w:p>
    <w:p w:rsidR="00AC1F77" w:rsidRPr="006C7EC8" w:rsidRDefault="00AC1F77" w:rsidP="00AC1F77">
      <w:pPr>
        <w:pStyle w:val="NormalWeb"/>
        <w:rPr>
          <w:lang w:val="en-US"/>
        </w:rPr>
      </w:pPr>
      <w:r w:rsidRPr="006C7EC8">
        <w:rPr>
          <w:lang w:val="en-US"/>
        </w:rPr>
        <w:t xml:space="preserve">OCKENHOUSE, C. F.; REGULES, J. A.; TOSH, D. M. </w:t>
      </w:r>
      <w:r w:rsidRPr="006C7EC8">
        <w:rPr>
          <w:rStyle w:val="nfase"/>
          <w:lang w:val="en-US"/>
        </w:rPr>
        <w:t>et al.</w:t>
      </w:r>
      <w:r w:rsidRPr="006C7EC8">
        <w:rPr>
          <w:lang w:val="en-US"/>
        </w:rPr>
        <w:t xml:space="preserve"> Ad35.CS.01-</w:t>
      </w:r>
      <w:proofErr w:type="gramStart"/>
      <w:r w:rsidRPr="006C7EC8">
        <w:rPr>
          <w:lang w:val="en-US"/>
        </w:rPr>
        <w:t>RTS,S</w:t>
      </w:r>
      <w:proofErr w:type="gramEnd"/>
      <w:r w:rsidRPr="006C7EC8">
        <w:rPr>
          <w:lang w:val="en-US"/>
        </w:rPr>
        <w:t xml:space="preserve">/AS01 Heterologous Prime Boost Vaccine Efficacy against </w:t>
      </w:r>
      <w:proofErr w:type="spellStart"/>
      <w:r w:rsidRPr="006C7EC8">
        <w:rPr>
          <w:lang w:val="en-US"/>
        </w:rPr>
        <w:t>Sporozoite</w:t>
      </w:r>
      <w:proofErr w:type="spellEnd"/>
      <w:r w:rsidRPr="006C7EC8">
        <w:rPr>
          <w:lang w:val="en-US"/>
        </w:rPr>
        <w:t xml:space="preserve"> Challenge in Healthy Malaria-Naïve Adults. </w:t>
      </w:r>
      <w:r w:rsidRPr="006C7EC8">
        <w:rPr>
          <w:rStyle w:val="nfase"/>
          <w:lang w:val="en-US"/>
        </w:rPr>
        <w:t>JAMA Network Open</w:t>
      </w:r>
      <w:r w:rsidRPr="006C7EC8">
        <w:rPr>
          <w:lang w:val="en-US"/>
        </w:rPr>
        <w:t>, v. 5, n. 5, e2115532, 2015.</w:t>
      </w:r>
    </w:p>
    <w:p w:rsidR="00AC1F77" w:rsidRPr="006C7EC8" w:rsidRDefault="00AC1F77" w:rsidP="00AC1F77">
      <w:pPr>
        <w:pStyle w:val="NormalWeb"/>
        <w:rPr>
          <w:lang w:val="en-US"/>
        </w:rPr>
      </w:pPr>
      <w:r w:rsidRPr="006C7EC8">
        <w:rPr>
          <w:lang w:val="en-US"/>
        </w:rPr>
        <w:t xml:space="preserve">REGULES, J. A.; CICATELLI, S. B.; BENNETT, J. W. </w:t>
      </w:r>
      <w:r w:rsidRPr="006C7EC8">
        <w:rPr>
          <w:rStyle w:val="nfase"/>
          <w:lang w:val="en-US"/>
        </w:rPr>
        <w:t>et al.</w:t>
      </w:r>
      <w:r w:rsidRPr="006C7EC8">
        <w:rPr>
          <w:lang w:val="en-US"/>
        </w:rPr>
        <w:t xml:space="preserve"> Fractional Third and Fourth Dose of </w:t>
      </w:r>
      <w:proofErr w:type="gramStart"/>
      <w:r w:rsidRPr="006C7EC8">
        <w:rPr>
          <w:lang w:val="en-US"/>
        </w:rPr>
        <w:t>RTS,S</w:t>
      </w:r>
      <w:proofErr w:type="gramEnd"/>
      <w:r w:rsidRPr="006C7EC8">
        <w:rPr>
          <w:lang w:val="en-US"/>
        </w:rPr>
        <w:t xml:space="preserve">/AS01 Malaria Candidate Vaccine: A Phase 2a Controlled Human Malaria Parasite Infection and Immunogenicity Study. </w:t>
      </w:r>
      <w:r w:rsidRPr="006C7EC8">
        <w:rPr>
          <w:rStyle w:val="nfase"/>
          <w:lang w:val="en-US"/>
        </w:rPr>
        <w:t>Journal of Infectious Diseases</w:t>
      </w:r>
      <w:r w:rsidRPr="006C7EC8">
        <w:rPr>
          <w:lang w:val="en-US"/>
        </w:rPr>
        <w:t>, v. 214, n. 5, p. 762-771, 2016.</w:t>
      </w:r>
    </w:p>
    <w:p w:rsidR="00AC1F77" w:rsidRPr="006C7EC8" w:rsidRDefault="00AC1F77" w:rsidP="00AC1F77">
      <w:pPr>
        <w:pStyle w:val="NormalWeb"/>
        <w:rPr>
          <w:lang w:val="en-US"/>
        </w:rPr>
      </w:pPr>
      <w:r w:rsidRPr="006C7EC8">
        <w:rPr>
          <w:lang w:val="en-US"/>
        </w:rPr>
        <w:t xml:space="preserve">SAMUELS, A. M.; ODERO, N. A.; ODONGO, W. </w:t>
      </w:r>
      <w:r w:rsidRPr="006C7EC8">
        <w:rPr>
          <w:rStyle w:val="nfase"/>
          <w:lang w:val="en-US"/>
        </w:rPr>
        <w:t>et al.</w:t>
      </w:r>
      <w:r w:rsidRPr="006C7EC8">
        <w:rPr>
          <w:lang w:val="en-US"/>
        </w:rPr>
        <w:t xml:space="preserve"> Efficacy of </w:t>
      </w:r>
      <w:proofErr w:type="gramStart"/>
      <w:r w:rsidRPr="006C7EC8">
        <w:rPr>
          <w:lang w:val="en-US"/>
        </w:rPr>
        <w:t>RTS,S</w:t>
      </w:r>
      <w:proofErr w:type="gramEnd"/>
      <w:r w:rsidRPr="006C7EC8">
        <w:rPr>
          <w:lang w:val="en-US"/>
        </w:rPr>
        <w:t xml:space="preserve">/AS01E malaria vaccine administered according to different full, fractional, and delayed third or early fourth dose regimens in children aged 5–17 months in Ghana and Kenya: an open-label, phase 2b, </w:t>
      </w:r>
      <w:proofErr w:type="spellStart"/>
      <w:r w:rsidRPr="006C7EC8">
        <w:rPr>
          <w:lang w:val="en-US"/>
        </w:rPr>
        <w:t>randomised</w:t>
      </w:r>
      <w:proofErr w:type="spellEnd"/>
      <w:r w:rsidRPr="006C7EC8">
        <w:rPr>
          <w:lang w:val="en-US"/>
        </w:rPr>
        <w:t xml:space="preserve"> controlled trial. </w:t>
      </w:r>
      <w:r w:rsidRPr="006C7EC8">
        <w:rPr>
          <w:rStyle w:val="nfase"/>
          <w:lang w:val="en-US"/>
        </w:rPr>
        <w:t>The Lancet Infectious Diseases</w:t>
      </w:r>
      <w:r w:rsidRPr="006C7EC8">
        <w:rPr>
          <w:lang w:val="en-US"/>
        </w:rPr>
        <w:t>, v. 22, n. 10, p. 1479-1491, 2022.</w:t>
      </w:r>
    </w:p>
    <w:p w:rsidR="00AC1F77" w:rsidRPr="00CE2538" w:rsidRDefault="00AC1F77" w:rsidP="00AC1F77">
      <w:pPr>
        <w:spacing w:line="240" w:lineRule="auto"/>
        <w:rPr>
          <w:lang w:val="en-US"/>
        </w:rPr>
      </w:pPr>
      <w:r w:rsidRPr="00CE2538">
        <w:rPr>
          <w:lang w:val="en-US"/>
        </w:rPr>
        <w:t xml:space="preserve">VENKATESAN, P. </w:t>
      </w:r>
      <w:r w:rsidRPr="00CE2538">
        <w:rPr>
          <w:rStyle w:val="nfase"/>
          <w:lang w:val="en-US"/>
        </w:rPr>
        <w:t>The 2023 WHO World malaria report.</w:t>
      </w:r>
      <w:r w:rsidRPr="00CE2538">
        <w:rPr>
          <w:lang w:val="en-US"/>
        </w:rPr>
        <w:t xml:space="preserve"> </w:t>
      </w:r>
      <w:r>
        <w:rPr>
          <w:rStyle w:val="nfase"/>
        </w:rPr>
        <w:t xml:space="preserve">Lancet </w:t>
      </w:r>
      <w:proofErr w:type="spellStart"/>
      <w:r>
        <w:rPr>
          <w:rStyle w:val="nfase"/>
        </w:rPr>
        <w:t>Microbe</w:t>
      </w:r>
      <w:proofErr w:type="spellEnd"/>
      <w:r>
        <w:t xml:space="preserve">, v. 5, n. 3, p. e214, mar. 2024. </w:t>
      </w:r>
      <w:r w:rsidRPr="00CE2538">
        <w:rPr>
          <w:lang w:val="en-US"/>
        </w:rPr>
        <w:t>DOI: 10.1016/S2666-5247(24)00016-8</w:t>
      </w:r>
    </w:p>
    <w:p w:rsidR="00AC1F77" w:rsidRDefault="00AC1F77" w:rsidP="00AC1F77">
      <w:pPr>
        <w:spacing w:line="240" w:lineRule="auto"/>
      </w:pPr>
      <w:r w:rsidRPr="00CE2538">
        <w:rPr>
          <w:lang w:val="en-US"/>
        </w:rPr>
        <w:t xml:space="preserve">WORLD HEALTH ORGANIZATION (WHO). </w:t>
      </w:r>
      <w:r w:rsidRPr="00CE2538">
        <w:rPr>
          <w:rStyle w:val="nfase"/>
          <w:lang w:val="en-US"/>
        </w:rPr>
        <w:t>WHO guidelines for malaria</w:t>
      </w:r>
      <w:r w:rsidRPr="00CE2538">
        <w:rPr>
          <w:lang w:val="en-US"/>
        </w:rPr>
        <w:t xml:space="preserve"> [Internet]. Geneva: World Health Organization, 2021. </w:t>
      </w:r>
      <w:proofErr w:type="spellStart"/>
      <w:r w:rsidRPr="001C064B">
        <w:rPr>
          <w:lang w:val="en-US"/>
        </w:rPr>
        <w:t>Disponível</w:t>
      </w:r>
      <w:proofErr w:type="spellEnd"/>
      <w:r w:rsidRPr="001C064B">
        <w:rPr>
          <w:lang w:val="en-US"/>
        </w:rPr>
        <w:t xml:space="preserve"> </w:t>
      </w:r>
      <w:proofErr w:type="spellStart"/>
      <w:r w:rsidRPr="001C064B">
        <w:rPr>
          <w:lang w:val="en-US"/>
        </w:rPr>
        <w:t>em</w:t>
      </w:r>
      <w:proofErr w:type="spellEnd"/>
      <w:r w:rsidRPr="001C064B">
        <w:rPr>
          <w:lang w:val="en-US"/>
        </w:rPr>
        <w:t xml:space="preserve">: </w:t>
      </w:r>
      <w:hyperlink r:id="rId7" w:tgtFrame="_new" w:history="1">
        <w:r w:rsidRPr="001C064B">
          <w:rPr>
            <w:rStyle w:val="Hyperlink"/>
            <w:lang w:val="en-US"/>
          </w:rPr>
          <w:t>https://www.ncbi.nlm.nih.gov/books/NBK588130/</w:t>
        </w:r>
      </w:hyperlink>
      <w:r w:rsidRPr="001C064B">
        <w:rPr>
          <w:lang w:val="en-US"/>
        </w:rPr>
        <w:t xml:space="preserve">. </w:t>
      </w:r>
      <w:r w:rsidRPr="00CE2538">
        <w:t>Acesso em: 11 nov. 2025.</w:t>
      </w:r>
    </w:p>
    <w:bookmarkEnd w:id="0"/>
    <w:p w:rsidR="00CE2538" w:rsidRPr="00CE2538" w:rsidRDefault="00CE2538" w:rsidP="00CE2538">
      <w:pPr>
        <w:spacing w:line="240" w:lineRule="auto"/>
      </w:pPr>
    </w:p>
    <w:sectPr w:rsidR="00CE2538" w:rsidRPr="00CE2538" w:rsidSect="003E7170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27C" w:rsidRDefault="0070527C" w:rsidP="00CE2538">
      <w:pPr>
        <w:spacing w:before="0" w:after="0" w:line="240" w:lineRule="auto"/>
      </w:pPr>
      <w:r>
        <w:separator/>
      </w:r>
    </w:p>
  </w:endnote>
  <w:endnote w:type="continuationSeparator" w:id="0">
    <w:p w:rsidR="0070527C" w:rsidRDefault="0070527C" w:rsidP="00CE253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27C" w:rsidRDefault="0070527C" w:rsidP="00CE2538">
      <w:pPr>
        <w:spacing w:before="0" w:after="0" w:line="240" w:lineRule="auto"/>
      </w:pPr>
      <w:r>
        <w:separator/>
      </w:r>
    </w:p>
  </w:footnote>
  <w:footnote w:type="continuationSeparator" w:id="0">
    <w:p w:rsidR="0070527C" w:rsidRDefault="0070527C" w:rsidP="00CE253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538" w:rsidRDefault="00CE2538" w:rsidP="00CE253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8E95CE1" wp14:editId="7B9CDC4E">
          <wp:extent cx="2174400" cy="1537155"/>
          <wp:effectExtent l="0" t="0" r="0" b="0"/>
          <wp:docPr id="808396989" name="image1.png" descr="Logotipo,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, nome da empresa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4400" cy="1537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170"/>
    <w:rsid w:val="0006357F"/>
    <w:rsid w:val="002461A9"/>
    <w:rsid w:val="003977C5"/>
    <w:rsid w:val="003C1BE0"/>
    <w:rsid w:val="003E7170"/>
    <w:rsid w:val="00591B4A"/>
    <w:rsid w:val="005B64C0"/>
    <w:rsid w:val="0070527C"/>
    <w:rsid w:val="008125CD"/>
    <w:rsid w:val="00AC1F77"/>
    <w:rsid w:val="00CE1142"/>
    <w:rsid w:val="00CE2538"/>
    <w:rsid w:val="00D505C6"/>
    <w:rsid w:val="00F23BAE"/>
    <w:rsid w:val="00F97FED"/>
    <w:rsid w:val="00FD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14079"/>
  <w15:chartTrackingRefBased/>
  <w15:docId w15:val="{F5BCEAB7-0035-437A-A4DB-A8BA4257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170"/>
    <w:pPr>
      <w:spacing w:before="100" w:after="200" w:line="276" w:lineRule="auto"/>
      <w:jc w:val="both"/>
    </w:pPr>
    <w:rPr>
      <w:rFonts w:ascii="Times New Roman" w:eastAsiaTheme="minorEastAsia" w:hAnsi="Times New Roman"/>
      <w:sz w:val="24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D505C6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  <w15:collapsed/>
    </w:pPr>
    <w:rPr>
      <w:caps/>
      <w:color w:val="FFFFFF" w:themeColor="background1"/>
      <w:spacing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505C6"/>
    <w:rPr>
      <w:caps/>
      <w:color w:val="FFFFFF" w:themeColor="background1"/>
      <w:spacing w:val="15"/>
      <w:shd w:val="clear" w:color="auto" w:fill="4472C4" w:themeFill="accent1"/>
    </w:rPr>
  </w:style>
  <w:style w:type="character" w:styleId="nfase">
    <w:name w:val="Emphasis"/>
    <w:basedOn w:val="Fontepargpadro"/>
    <w:uiPriority w:val="20"/>
    <w:qFormat/>
    <w:rsid w:val="00CE2538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CE253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253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2538"/>
    <w:rPr>
      <w:rFonts w:ascii="Times New Roman" w:eastAsiaTheme="minorEastAsia" w:hAnsi="Times New Roman"/>
      <w:sz w:val="24"/>
      <w:szCs w:val="20"/>
    </w:rPr>
  </w:style>
  <w:style w:type="paragraph" w:styleId="Rodap">
    <w:name w:val="footer"/>
    <w:basedOn w:val="Normal"/>
    <w:link w:val="RodapChar"/>
    <w:uiPriority w:val="99"/>
    <w:unhideWhenUsed/>
    <w:rsid w:val="00CE253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2538"/>
    <w:rPr>
      <w:rFonts w:ascii="Times New Roman" w:eastAsiaTheme="minorEastAsia" w:hAnsi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AC1F77"/>
    <w:pPr>
      <w:spacing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C1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ncbi.nlm.nih.gov/books/NBK58813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j.jclinepi.2009.06.00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916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Tobias</dc:creator>
  <cp:keywords/>
  <dc:description/>
  <cp:lastModifiedBy>Rafael Tobias</cp:lastModifiedBy>
  <cp:revision>4</cp:revision>
  <dcterms:created xsi:type="dcterms:W3CDTF">2025-11-11T23:21:00Z</dcterms:created>
  <dcterms:modified xsi:type="dcterms:W3CDTF">2025-11-11T23:46:00Z</dcterms:modified>
</cp:coreProperties>
</file>