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54BD8012" w:rsidR="0491D5EE" w:rsidRPr="001F613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1E5127">
        <w:rPr>
          <w:rFonts w:ascii="Arial" w:hAnsi="Arial" w:cs="Arial"/>
          <w:sz w:val="24"/>
          <w:szCs w:val="24"/>
        </w:rPr>
        <w:t xml:space="preserve">Educação </w:t>
      </w:r>
      <w:r w:rsidR="00EE6ED3">
        <w:rPr>
          <w:rFonts w:ascii="Arial" w:hAnsi="Arial" w:cs="Arial"/>
          <w:sz w:val="24"/>
          <w:szCs w:val="24"/>
        </w:rPr>
        <w:t>Física e Esporte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47D60917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01E5127">
        <w:rPr>
          <w:rFonts w:ascii="Arial" w:hAnsi="Arial" w:cs="Arial"/>
          <w:sz w:val="24"/>
          <w:szCs w:val="24"/>
        </w:rPr>
        <w:t>C</w:t>
      </w:r>
      <w:r w:rsidR="052D4632" w:rsidRPr="001F6136">
        <w:rPr>
          <w:rFonts w:ascii="Arial" w:hAnsi="Arial" w:cs="Arial"/>
          <w:sz w:val="24"/>
          <w:szCs w:val="24"/>
        </w:rPr>
        <w:t>omunicação</w:t>
      </w:r>
      <w:r w:rsidR="1427526F" w:rsidRPr="001F6136">
        <w:rPr>
          <w:rFonts w:ascii="Arial" w:hAnsi="Arial" w:cs="Arial"/>
          <w:sz w:val="24"/>
          <w:szCs w:val="24"/>
        </w:rPr>
        <w:t xml:space="preserve"> oral</w:t>
      </w:r>
      <w:r w:rsidR="7E56827D" w:rsidRPr="001F6136">
        <w:rPr>
          <w:rFonts w:ascii="Arial" w:hAnsi="Arial" w:cs="Arial"/>
          <w:sz w:val="24"/>
          <w:szCs w:val="24"/>
        </w:rPr>
        <w:t xml:space="preserve"> 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08723E7A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</w:t>
      </w:r>
      <w:r w:rsidR="001E5127">
        <w:rPr>
          <w:rFonts w:ascii="Arial" w:hAnsi="Arial" w:cs="Arial"/>
          <w:sz w:val="24"/>
          <w:szCs w:val="24"/>
        </w:rPr>
        <w:t xml:space="preserve">On-line </w:t>
      </w:r>
    </w:p>
    <w:p w14:paraId="5191CADF" w14:textId="5F803C52" w:rsidR="0491D5EE" w:rsidRDefault="0491D5EE" w:rsidP="00E73320">
      <w:pPr>
        <w:pStyle w:val="Texto"/>
      </w:pPr>
    </w:p>
    <w:p w14:paraId="395153EB" w14:textId="5B60C06B" w:rsidR="001E5127" w:rsidRDefault="006A5680" w:rsidP="001E5127">
      <w:pPr>
        <w:rPr>
          <w:rFonts w:ascii="Arial" w:eastAsiaTheme="majorEastAsia" w:hAnsi="Arial" w:cstheme="majorBidi"/>
          <w:b/>
          <w:spacing w:val="-10"/>
          <w:kern w:val="28"/>
          <w:sz w:val="24"/>
          <w:szCs w:val="56"/>
        </w:rPr>
      </w:pPr>
      <w:r w:rsidRPr="006A5680">
        <w:rPr>
          <w:rFonts w:ascii="Arial" w:eastAsiaTheme="majorEastAsia" w:hAnsi="Arial" w:cstheme="majorBidi"/>
          <w:b/>
          <w:spacing w:val="-10"/>
          <w:kern w:val="28"/>
          <w:sz w:val="24"/>
          <w:szCs w:val="56"/>
        </w:rPr>
        <w:t>EDUCAÇÃO FÍSICA E INCLUSÃO: EXPERIÊNCIA DE ESTÁGIO SUPERVISIONADO COM ALUNOS COM TEA EM SALA MULTIFUNCIONAL</w:t>
      </w:r>
    </w:p>
    <w:p w14:paraId="512091A6" w14:textId="77777777" w:rsidR="006A5680" w:rsidRPr="001E5127" w:rsidRDefault="006A5680" w:rsidP="001E5127"/>
    <w:p w14:paraId="48BE0752" w14:textId="77777777" w:rsidR="001E5127" w:rsidRPr="000A64EC" w:rsidRDefault="001E5127" w:rsidP="001E5127">
      <w:pPr>
        <w:spacing w:line="240" w:lineRule="auto"/>
        <w:jc w:val="right"/>
        <w:rPr>
          <w:rFonts w:ascii="Arial" w:eastAsia="Times New Roman" w:hAnsi="Arial" w:cs="Arial"/>
          <w:sz w:val="24"/>
          <w:szCs w:val="20"/>
          <w:lang w:eastAsia="pt-BR"/>
        </w:rPr>
      </w:pPr>
      <w:r w:rsidRPr="000A64EC">
        <w:rPr>
          <w:rFonts w:ascii="Arial" w:eastAsia="Times New Roman" w:hAnsi="Arial" w:cs="Arial"/>
          <w:sz w:val="24"/>
          <w:szCs w:val="20"/>
          <w:lang w:eastAsia="pt-BR"/>
        </w:rPr>
        <w:t xml:space="preserve">Gilberto Marcelo Zonta </w:t>
      </w:r>
      <w:r w:rsidRPr="000A64EC">
        <w:rPr>
          <w:rFonts w:ascii="Arial" w:eastAsia="Times New Roman" w:hAnsi="Arial" w:cs="Arial"/>
          <w:sz w:val="24"/>
          <w:szCs w:val="20"/>
          <w:vertAlign w:val="superscript"/>
          <w:lang w:eastAsia="pt-BR"/>
        </w:rPr>
        <w:footnoteReference w:id="1"/>
      </w:r>
    </w:p>
    <w:p w14:paraId="4F47D999" w14:textId="750EBAB7" w:rsidR="00DF040B" w:rsidRPr="000A64EC" w:rsidRDefault="001E5127" w:rsidP="001E5127">
      <w:pPr>
        <w:spacing w:line="240" w:lineRule="auto"/>
        <w:jc w:val="right"/>
        <w:rPr>
          <w:rFonts w:ascii="Arial" w:hAnsi="Arial" w:cs="Arial"/>
        </w:rPr>
      </w:pPr>
      <w:r w:rsidRPr="000A64EC">
        <w:rPr>
          <w:rFonts w:ascii="Arial" w:eastAsia="Times New Roman" w:hAnsi="Arial" w:cs="Arial"/>
          <w:sz w:val="24"/>
          <w:szCs w:val="20"/>
          <w:lang w:eastAsia="pt-BR"/>
        </w:rPr>
        <w:t xml:space="preserve">   Bruno Luis Souza da Costa </w:t>
      </w:r>
      <w:r w:rsidRPr="000A64EC">
        <w:rPr>
          <w:rFonts w:ascii="Arial" w:eastAsia="Times New Roman" w:hAnsi="Arial" w:cs="Arial"/>
          <w:sz w:val="24"/>
          <w:szCs w:val="20"/>
          <w:vertAlign w:val="superscript"/>
          <w:lang w:eastAsia="pt-BR"/>
        </w:rPr>
        <w:footnoteReference w:id="2"/>
      </w:r>
    </w:p>
    <w:p w14:paraId="52D8C7F4" w14:textId="77777777" w:rsidR="006A5680" w:rsidRPr="001E5127" w:rsidRDefault="006A5680" w:rsidP="001E5127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7783C2E5" w14:textId="377055D8" w:rsidR="00BB3206" w:rsidRDefault="00BD0F6C" w:rsidP="00442C14">
      <w:pPr>
        <w:pStyle w:val="Resumo"/>
        <w:rPr>
          <w:b/>
          <w:bCs/>
        </w:rPr>
      </w:pPr>
      <w:r w:rsidRPr="001A1913">
        <w:rPr>
          <w:b/>
          <w:bCs/>
        </w:rPr>
        <w:t xml:space="preserve">PALAVRAS-CHAVE: </w:t>
      </w:r>
      <w:r w:rsidR="006A5680" w:rsidRPr="006A5680">
        <w:t>Educação Física; Inclusão Escolar; Transtorno do Espectro Autista; Sala Multifuncional; Estágio Supervisionado.</w:t>
      </w: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345D801D" w14:textId="77777777" w:rsidR="00BF7F2A" w:rsidRPr="00BF7F2A" w:rsidRDefault="00BF7F2A" w:rsidP="00BF7F2A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BF7F2A">
        <w:rPr>
          <w:rFonts w:ascii="Arial" w:hAnsi="Arial" w:cs="Arial"/>
          <w:sz w:val="24"/>
          <w:szCs w:val="24"/>
        </w:rPr>
        <w:t>A construção de uma escola inclusiva representa um dos maiores desafios da educação contemporânea, exigindo a garantia de atendimento educacional especializado para alunos com deficiências ou transtornos do desenvolvimento, como o Transtorno do Espectro Autista (TEA). Conforme a Resolução nº 4/2009 do Conselho Nacional de Educação, esse atendimento deve ocorrer preferencialmente em Salas de Recursos Multifuncionais (SRM) nas escolas regulares, com estrutura adequada e profissionais capacitados (Lopes; Marquenize, 2012).</w:t>
      </w:r>
    </w:p>
    <w:p w14:paraId="02089DC6" w14:textId="77777777" w:rsidR="00BF7F2A" w:rsidRPr="00BF7F2A" w:rsidRDefault="00BF7F2A" w:rsidP="00BF7F2A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BF7F2A">
        <w:rPr>
          <w:rFonts w:ascii="Arial" w:hAnsi="Arial" w:cs="Arial"/>
          <w:sz w:val="24"/>
          <w:szCs w:val="24"/>
        </w:rPr>
        <w:t>O TEA é uma condição neurológica caracterizada por dificuldades na comunicação, na interação social e pela presença de comportamentos repetitivos (APA, 2013). Indivíduos com TEA também podem apresentar prejuízos nas funções executivas, como planejamento e flexibilidade cognitiva, o que impacta sua adaptação às rotinas escolares (Belisário Filho; Cunha, 2010). Nesse contexto, as SRM tornam-se espaços fundamentais de acolhimento, adaptação e vínculo afetivo (Santos, 2024).</w:t>
      </w:r>
    </w:p>
    <w:p w14:paraId="1F99621D" w14:textId="77777777" w:rsidR="00BF7F2A" w:rsidRPr="00BF7F2A" w:rsidRDefault="00BF7F2A" w:rsidP="00BF7F2A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BF7F2A">
        <w:rPr>
          <w:rFonts w:ascii="Arial" w:hAnsi="Arial" w:cs="Arial"/>
          <w:sz w:val="24"/>
          <w:szCs w:val="24"/>
        </w:rPr>
        <w:lastRenderedPageBreak/>
        <w:t>A Educação Física se destaca como importante aliada na inclusão, pois suas práticas corporais e lúdicas favorecem o desenvolvimento motor, cognitivo e social. Crianças com TEA frequentemente apresentam déficits motores (Rosa Neto et al., 2013), e o brincar pode funcionar como recurso terapêutico, estimulando a autonomia e a convivência (Melo; Valle, 2005).</w:t>
      </w:r>
    </w:p>
    <w:p w14:paraId="5A55BA51" w14:textId="4BBDDF45" w:rsidR="00BF7F2A" w:rsidRPr="00BF7F2A" w:rsidRDefault="00BF7F2A" w:rsidP="00BF7F2A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BF7F2A">
        <w:rPr>
          <w:rFonts w:ascii="Arial" w:hAnsi="Arial" w:cs="Arial"/>
          <w:sz w:val="24"/>
          <w:szCs w:val="24"/>
        </w:rPr>
        <w:t>Dessa forma, este trabalho apresenta um relato de experiência de estágio supervisionado</w:t>
      </w:r>
      <w:r>
        <w:rPr>
          <w:rFonts w:ascii="Arial" w:hAnsi="Arial" w:cs="Arial"/>
          <w:sz w:val="24"/>
          <w:szCs w:val="24"/>
        </w:rPr>
        <w:t xml:space="preserve"> em Educação Física Inclusiva do Curso de Educação Física licenciatura e bacharelado da Universidade do Vale do Itajaí (UNIVALI)</w:t>
      </w:r>
      <w:r w:rsidRPr="00BF7F2A">
        <w:rPr>
          <w:rFonts w:ascii="Arial" w:hAnsi="Arial" w:cs="Arial"/>
          <w:sz w:val="24"/>
          <w:szCs w:val="24"/>
        </w:rPr>
        <w:t>, com abordagem qualitativa e caráter exploratório, desenvolvido no âmbito do Programa Institucional de Bolsa de Iniciação à Docência (PIBID), na Escola Básica Maria José Hülse Peixoto (Itajaí/SC). O estudo busca compreender de que forma o profissional de Educação Física favorece o desenvolvimento motor e social de alunos autistas atendidos em salas multifuncionais.</w:t>
      </w:r>
    </w:p>
    <w:p w14:paraId="5B1682CE" w14:textId="77777777" w:rsidR="006A5680" w:rsidRPr="006A5680" w:rsidRDefault="006A5680" w:rsidP="006A5680">
      <w:pPr>
        <w:spacing w:line="360" w:lineRule="auto"/>
        <w:ind w:firstLine="709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1EEC0FF" w14:textId="3199E977" w:rsidR="00435A4C" w:rsidRPr="00707214" w:rsidRDefault="00FC4166" w:rsidP="004C446D">
      <w:pPr>
        <w:pStyle w:val="Ttulo1"/>
        <w:rPr>
          <w:b w:val="0"/>
        </w:rPr>
      </w:pPr>
      <w:r>
        <w:t>2</w:t>
      </w:r>
      <w:r w:rsidR="00D97213">
        <w:t xml:space="preserve"> </w:t>
      </w:r>
      <w:r w:rsidR="00055BA2">
        <w:t>REFERENCIAL TEÓRICO</w:t>
      </w:r>
    </w:p>
    <w:p w14:paraId="05D3E077" w14:textId="10843988" w:rsidR="003B776C" w:rsidRPr="003B776C" w:rsidRDefault="003B776C" w:rsidP="003B776C">
      <w:pPr>
        <w:pStyle w:val="Texto"/>
      </w:pPr>
      <w:r w:rsidRPr="003B776C">
        <w:t xml:space="preserve">O Transtorno do Espectro Autista (TEA) é uma condição que impacta o neurodesenvolvimento e se manifesta por dificuldades de comunicação, interação social e comportamentos repetitivos (Bruni et al., 2013). Desde os estudos de Léo Kanner </w:t>
      </w:r>
      <w:r w:rsidR="006A5680">
        <w:t xml:space="preserve">em </w:t>
      </w:r>
      <w:r w:rsidRPr="003B776C">
        <w:t>1942, a compreensão do autismo evoluiu significativamente, reconhecendo-se a importância do diagnóstico precoce e das intervenções direcionadas para reduzir os déficits de desenvolvimento e ampliar as competências sociais e comunicativas (Faria; Borba, 2024).</w:t>
      </w:r>
    </w:p>
    <w:p w14:paraId="2C56FBF7" w14:textId="77777777" w:rsidR="003B776C" w:rsidRPr="003B776C" w:rsidRDefault="003B776C" w:rsidP="003B776C">
      <w:pPr>
        <w:pStyle w:val="Texto"/>
      </w:pPr>
      <w:r w:rsidRPr="003B776C">
        <w:t>O desenvolvimento motor é um processo contínuo, sequencial e dinâmico, influenciado pelas condições biológicas, ambientais e sociais. Ele acompanha as mudanças cognitivas e emocionais do indivíduo e constitui um elemento fundamental para o aprendizado e para a autonomia (Gallahue; Ozmun, 2005). Na infância, o domínio motor é crucial, pois possibilita à criança explorar o ambiente e desenvolver-se em múltiplas dimensões.</w:t>
      </w:r>
    </w:p>
    <w:p w14:paraId="200CF831" w14:textId="77777777" w:rsidR="003B776C" w:rsidRPr="003B776C" w:rsidRDefault="003B776C" w:rsidP="003B776C">
      <w:pPr>
        <w:pStyle w:val="Texto"/>
      </w:pPr>
      <w:r w:rsidRPr="003B776C">
        <w:t xml:space="preserve">Para Medina (2006), a aquisição das habilidades motoras está diretamente ligada à percepção do corpo, do espaço e do tempo, sendo fundamental para a aprendizagem escolar. Assim, proporcionar experiências motoras variadas é uma estratégia preventiva contra o comprometimento de habilidades escolares (Batistella, 2001). No caso das crianças com TEA, as atividades motoras e sensoriais assumem </w:t>
      </w:r>
      <w:r w:rsidRPr="003B776C">
        <w:lastRenderedPageBreak/>
        <w:t>papel ainda mais relevante, uma vez que promovem avanços também nas áreas socioemocionais.</w:t>
      </w:r>
    </w:p>
    <w:p w14:paraId="2C9A31E4" w14:textId="77777777" w:rsidR="003B776C" w:rsidRPr="003B776C" w:rsidRDefault="003B776C" w:rsidP="003B776C">
      <w:pPr>
        <w:pStyle w:val="Texto"/>
      </w:pPr>
      <w:r w:rsidRPr="003B776C">
        <w:t>As SRM, por sua vez, configuram-se como espaços especializados que oferecem atendimento complementar ou suplementar aos alunos com deficiência ou transtornos do desenvolvimento (Lopes; Marquenize, 2012). De acordo com a Resolução CNE/CEB nº 4/2009, devem dispor de recursos pedagógicos e de acessibilidade adequados às necessidades de cada aluno (Brasil, 2009). Além de favorecerem a aprendizagem, as SRM se constituem em ambientes de acolhimento e afetividade (Santos, 2024).</w:t>
      </w:r>
    </w:p>
    <w:p w14:paraId="3278B33F" w14:textId="77777777" w:rsidR="003B776C" w:rsidRPr="003B776C" w:rsidRDefault="003B776C" w:rsidP="003B776C">
      <w:pPr>
        <w:pStyle w:val="Texto"/>
      </w:pPr>
      <w:r w:rsidRPr="003B776C">
        <w:t>A inclusão, diferentemente da antiga perspectiva de integração, propõe a transformação do sistema escolar para atender a todos os estudantes (Mantoan, 2003). Nesse sentido, as práticas pedagógicas da Educação Física, quando planejadas com intencionalidade e sensibilidade, podem promover a participação efetiva, a autonomia e a valorização das diferenças.</w:t>
      </w:r>
    </w:p>
    <w:p w14:paraId="6EF99736" w14:textId="618871C7" w:rsidR="0C591BAA" w:rsidRDefault="0C591BAA" w:rsidP="00DF040B">
      <w:pPr>
        <w:pStyle w:val="Texto"/>
      </w:pPr>
    </w:p>
    <w:p w14:paraId="1DD2BBB3" w14:textId="0B784F74" w:rsid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79AF9166" w14:textId="273A87B0" w:rsidR="007C242F" w:rsidRPr="007C242F" w:rsidRDefault="007C242F" w:rsidP="007C242F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7C242F">
        <w:rPr>
          <w:rFonts w:ascii="Arial" w:hAnsi="Arial" w:cs="Arial"/>
          <w:sz w:val="24"/>
          <w:szCs w:val="24"/>
        </w:rPr>
        <w:t>O presente trabalho caracteriza-se como um relato de experiência de estágio supervisionado</w:t>
      </w:r>
      <w:r w:rsidR="00B625B8">
        <w:rPr>
          <w:rFonts w:ascii="Arial" w:hAnsi="Arial" w:cs="Arial"/>
          <w:sz w:val="24"/>
          <w:szCs w:val="24"/>
        </w:rPr>
        <w:t xml:space="preserve"> em Educação Física Inclusiva do Curso de Educação Física licenciatura e bacharelado da Universidade do Vale do Itajaí (UNIVALI)</w:t>
      </w:r>
      <w:r w:rsidRPr="007C242F">
        <w:rPr>
          <w:rFonts w:ascii="Arial" w:hAnsi="Arial" w:cs="Arial"/>
          <w:sz w:val="24"/>
          <w:szCs w:val="24"/>
        </w:rPr>
        <w:t>, com abordagem qualitativa e de caráter exploratório, desenvolvido no contexto do Programa Institucional de Bolsas de Iniciação à Docência (PIBID). A pesquisa qualitativa é apropriada para analisar aspectos subjetivos da realidade educacional, como percepções, relações sociais, significados e práticas pedagógicas (M</w:t>
      </w:r>
      <w:r w:rsidR="00922B17" w:rsidRPr="007C242F">
        <w:rPr>
          <w:rFonts w:ascii="Arial" w:hAnsi="Arial" w:cs="Arial"/>
          <w:sz w:val="24"/>
          <w:szCs w:val="24"/>
        </w:rPr>
        <w:t>inayo</w:t>
      </w:r>
      <w:r w:rsidRPr="007C242F">
        <w:rPr>
          <w:rFonts w:ascii="Arial" w:hAnsi="Arial" w:cs="Arial"/>
          <w:sz w:val="24"/>
          <w:szCs w:val="24"/>
        </w:rPr>
        <w:t>, 2001).</w:t>
      </w:r>
    </w:p>
    <w:p w14:paraId="56AB9FBB" w14:textId="77777777" w:rsidR="003B776C" w:rsidRPr="003B776C" w:rsidRDefault="003B776C" w:rsidP="003B776C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3B776C">
        <w:rPr>
          <w:rFonts w:ascii="Arial" w:hAnsi="Arial" w:cs="Arial"/>
          <w:sz w:val="24"/>
          <w:szCs w:val="24"/>
        </w:rPr>
        <w:t>As intervenções ocorreram na Escola Básica Professora Maria José Hülse Peixoto, localizada em Itajaí (SC), em uma sala de recursos multifuncional que atende alunos com TEA. A escolha dos participantes foi intencional, considerando os alunos com diagnóstico confirmado de TEA que frequentavam a SRM. As atividades foram realizadas semanalmente, com base em planejamentos lúdicos e adaptados.</w:t>
      </w:r>
    </w:p>
    <w:p w14:paraId="4FD3B273" w14:textId="77777777" w:rsidR="003B776C" w:rsidRDefault="007C242F" w:rsidP="007C242F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7C242F">
        <w:rPr>
          <w:rFonts w:ascii="Arial" w:hAnsi="Arial" w:cs="Arial"/>
          <w:sz w:val="24"/>
          <w:szCs w:val="24"/>
        </w:rPr>
        <w:t xml:space="preserve">A coleta de dados foi realizada por meio de observação participante e registros descritivos das atividades desenvolvidas nos relatórios semanais do estágio. A análise dos dados ocorreu de forma qualitativa, buscando identificar padrões de </w:t>
      </w:r>
      <w:r w:rsidRPr="007C242F">
        <w:rPr>
          <w:rFonts w:ascii="Arial" w:hAnsi="Arial" w:cs="Arial"/>
          <w:sz w:val="24"/>
          <w:szCs w:val="24"/>
        </w:rPr>
        <w:lastRenderedPageBreak/>
        <w:t xml:space="preserve">comportamento, avanços no desenvolvimento motor e sensorial, melhorias na interação social e no controle emocional dos alunos. </w:t>
      </w:r>
    </w:p>
    <w:p w14:paraId="34B45123" w14:textId="7FDCAC87" w:rsidR="007C242F" w:rsidRPr="007C242F" w:rsidRDefault="007C242F" w:rsidP="007C242F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7C242F">
        <w:rPr>
          <w:rFonts w:ascii="Arial" w:hAnsi="Arial" w:cs="Arial"/>
          <w:sz w:val="24"/>
          <w:szCs w:val="24"/>
        </w:rPr>
        <w:t xml:space="preserve">As categorias de análise definidas, com foco na perspectiva do estágio supervisionado, foram: Atenção às habilidades motoras na </w:t>
      </w:r>
      <w:r w:rsidR="003B776C">
        <w:rPr>
          <w:rFonts w:ascii="Arial" w:hAnsi="Arial" w:cs="Arial"/>
          <w:sz w:val="24"/>
          <w:szCs w:val="24"/>
        </w:rPr>
        <w:t>sala multifuncional</w:t>
      </w:r>
      <w:r w:rsidRPr="007C242F">
        <w:rPr>
          <w:rFonts w:ascii="Arial" w:hAnsi="Arial" w:cs="Arial"/>
          <w:sz w:val="24"/>
          <w:szCs w:val="24"/>
        </w:rPr>
        <w:t>; A inclusão escolar e a percepção de autoeficácia em crianças com TEA; Interação social e vínculos afetivos dos alunos com TEA.</w:t>
      </w:r>
    </w:p>
    <w:p w14:paraId="5905B946" w14:textId="5520B327" w:rsidR="6EB1BE39" w:rsidRDefault="6EB1BE39" w:rsidP="6EB1BE39">
      <w:pPr>
        <w:pStyle w:val="Texto"/>
      </w:pPr>
    </w:p>
    <w:p w14:paraId="71CC32BB" w14:textId="41C32A97" w:rsidR="002848D1" w:rsidRPr="002848D1" w:rsidRDefault="00FC4166" w:rsidP="002848D1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  <w:r w:rsidR="00250E5E">
        <w:t xml:space="preserve"> </w:t>
      </w:r>
    </w:p>
    <w:p w14:paraId="520C9E91" w14:textId="5AE1EF8E" w:rsidR="007C242F" w:rsidRPr="007C242F" w:rsidRDefault="007C242F" w:rsidP="00AF0025">
      <w:pPr>
        <w:pStyle w:val="Texto"/>
        <w:numPr>
          <w:ilvl w:val="0"/>
          <w:numId w:val="9"/>
        </w:numPr>
        <w:rPr>
          <w:b/>
          <w:bCs/>
        </w:rPr>
      </w:pPr>
      <w:r w:rsidRPr="007C242F">
        <w:rPr>
          <w:b/>
          <w:bCs/>
        </w:rPr>
        <w:t xml:space="preserve">Atenção às habilidades motoras na sala multifuncional </w:t>
      </w:r>
    </w:p>
    <w:p w14:paraId="73686D90" w14:textId="5475BCE6" w:rsidR="00AF0025" w:rsidRDefault="00AF0025" w:rsidP="00AF0025">
      <w:pPr>
        <w:pStyle w:val="Texto"/>
      </w:pPr>
      <w:r>
        <w:t xml:space="preserve">As </w:t>
      </w:r>
      <w:r w:rsidR="007C242F" w:rsidRPr="007C242F">
        <w:t>intervenções realizadas na SRM com alunos com TEA buscaram estimular habilidades motoras por meio de propostas lúdicas e adaptadas. Crianças com TEA frequentemente apresentam déficits motores precoces (R</w:t>
      </w:r>
      <w:r w:rsidR="00F022CA" w:rsidRPr="007C242F">
        <w:t xml:space="preserve">osa neto </w:t>
      </w:r>
      <w:r w:rsidR="007C242F" w:rsidRPr="007C242F">
        <w:t>et al., 2013), e as práticas executadas no estágio visaram suprir essa necessidade. A aquisição e manutenção das habilidades motoras são vitais para a criança com TEA, não apenas por estarem em déficit, mas por serem cruciais para sua autonomia e participação na convivência escolar (R</w:t>
      </w:r>
      <w:r w:rsidR="00F022CA" w:rsidRPr="007C242F">
        <w:t xml:space="preserve">osa neto </w:t>
      </w:r>
      <w:r w:rsidR="007C242F" w:rsidRPr="007C242F">
        <w:t>et al., 2013).</w:t>
      </w:r>
    </w:p>
    <w:p w14:paraId="7CFF5E0F" w14:textId="77777777" w:rsidR="001B26F1" w:rsidRDefault="007C242F" w:rsidP="00AF0025">
      <w:pPr>
        <w:pStyle w:val="Texto"/>
      </w:pPr>
      <w:r w:rsidRPr="007C242F">
        <w:t xml:space="preserve">Exemplos de atividades, como brincadeiras com balões e a atividade "Quica Bola", demonstraram a eficácia de propostas que aumentam a complexidade gradualmente, estimulando funções executivas e o controle corporal. A observação de alunos imitando gestos e demonstrando perseverança em atividades desafiadoras, como quicar diferentes tamanhos de bola, evidencia o impacto positivo dessas intervenções. </w:t>
      </w:r>
    </w:p>
    <w:p w14:paraId="5A3C9436" w14:textId="1E6612BE" w:rsidR="001B26F1" w:rsidRDefault="00922B17" w:rsidP="001B26F1">
      <w:pPr>
        <w:pStyle w:val="Texto"/>
      </w:pPr>
      <w:r w:rsidRPr="00922B17">
        <w:t>Essas atividades, mediadas pedagogicamente, promoveram avanços significativos no repertório motor e na percepção corporal dos alunos. Conforme Vigotski (2007), a mediação pedagógica possibilita à criança alcançar níveis mais elevados de desempenho, respeitando sua Zona de Desenvolvimento Proximal. As vivências lúdicas mostraram-se, portanto, essenciais para o desenvolvimento integral das crianças com TEA</w:t>
      </w:r>
      <w:r w:rsidR="007C242F" w:rsidRPr="007C242F">
        <w:t>.</w:t>
      </w:r>
    </w:p>
    <w:p w14:paraId="746936D1" w14:textId="0CC71602" w:rsidR="007C242F" w:rsidRPr="007C242F" w:rsidRDefault="007C242F" w:rsidP="001B26F1">
      <w:pPr>
        <w:pStyle w:val="Texto"/>
        <w:numPr>
          <w:ilvl w:val="0"/>
          <w:numId w:val="9"/>
        </w:numPr>
        <w:rPr>
          <w:b/>
          <w:bCs/>
        </w:rPr>
      </w:pPr>
      <w:r w:rsidRPr="007C242F">
        <w:rPr>
          <w:b/>
          <w:bCs/>
        </w:rPr>
        <w:t>A inclusão escolar e a percepção de autoeficácia em crianças com TEA</w:t>
      </w:r>
    </w:p>
    <w:p w14:paraId="23DE8629" w14:textId="77777777" w:rsidR="00E53948" w:rsidRPr="00E53948" w:rsidRDefault="007C242F" w:rsidP="00E53948">
      <w:pPr>
        <w:pStyle w:val="Texto"/>
      </w:pPr>
      <w:r w:rsidRPr="007C242F">
        <w:tab/>
      </w:r>
      <w:r w:rsidR="00E53948" w:rsidRPr="00E53948">
        <w:t>As intervenções também evidenciaram a importância da autoeficácia na inclusão. Inicialmente, alguns alunos demonstravam insegurança e evitavam participar das atividades, alegando “não saber brincar”. Com o tempo, as experiências de sucesso e o reforço positivo fortaleceram a autoconfiança e a motivação.</w:t>
      </w:r>
    </w:p>
    <w:p w14:paraId="2ACD9A9A" w14:textId="001436D1" w:rsidR="00E53948" w:rsidRPr="00E53948" w:rsidRDefault="00E53948" w:rsidP="00E53948">
      <w:pPr>
        <w:pStyle w:val="Texto"/>
      </w:pPr>
      <w:r w:rsidRPr="00E53948">
        <w:lastRenderedPageBreak/>
        <w:t>A percepção de autoeficácia, entendida</w:t>
      </w:r>
      <w:r>
        <w:t xml:space="preserve"> por Barros (2010)</w:t>
      </w:r>
      <w:r w:rsidRPr="00E53948">
        <w:t xml:space="preserve"> como a crença do indivíduo em sua capacidade de realizar tarefas, foi determinante para o engajamento dos alunos. Atividades que combinavam movimento e expressão oral possibilitaram o reconhecimento das próprias habilidades, promovendo satisfação e sentimento de competência.</w:t>
      </w:r>
    </w:p>
    <w:p w14:paraId="2CB0D944" w14:textId="77777777" w:rsidR="00E53948" w:rsidRPr="00E53948" w:rsidRDefault="00E53948" w:rsidP="00E53948">
      <w:pPr>
        <w:pStyle w:val="Texto"/>
      </w:pPr>
      <w:r w:rsidRPr="00E53948">
        <w:t>A motivação, segundo Alves (2021), é impulsionada pela novidade e pelo desafio. As propostas lúdicas despertaram alegria, envolvimento e persistência. Ao final das intervenções, observou-se ampliação do repertório motor e social, além de maior iniciativa e autonomia dos alunos nas atividades.</w:t>
      </w:r>
    </w:p>
    <w:p w14:paraId="204F568A" w14:textId="178BDEF2" w:rsidR="007C242F" w:rsidRPr="007C242F" w:rsidRDefault="007C242F" w:rsidP="00E53948">
      <w:pPr>
        <w:pStyle w:val="Texto"/>
        <w:rPr>
          <w:b/>
          <w:bCs/>
        </w:rPr>
      </w:pPr>
      <w:r w:rsidRPr="007C242F">
        <w:rPr>
          <w:b/>
          <w:bCs/>
        </w:rPr>
        <w:t>Interação social e vínculos afetivos dos alunos com TEA</w:t>
      </w:r>
    </w:p>
    <w:p w14:paraId="711CB576" w14:textId="77777777" w:rsidR="00E53948" w:rsidRPr="00E53948" w:rsidRDefault="007C242F" w:rsidP="00E53948">
      <w:pPr>
        <w:pStyle w:val="Texto"/>
      </w:pPr>
      <w:r w:rsidRPr="007C242F">
        <w:tab/>
      </w:r>
      <w:r w:rsidR="00E53948" w:rsidRPr="00E53948">
        <w:t>A interação social é um dos principais desafios enfrentados por crianças com TEA (Bruni et al., 2013). Durante as intervenções, buscou-se estimular o contato visual, a comunicação e a cooperação por meio de atividades corporais e brincadeiras coletivas.</w:t>
      </w:r>
    </w:p>
    <w:p w14:paraId="756A5192" w14:textId="77777777" w:rsidR="00E53948" w:rsidRPr="00E53948" w:rsidRDefault="00E53948" w:rsidP="00E53948">
      <w:pPr>
        <w:pStyle w:val="Texto"/>
      </w:pPr>
      <w:r w:rsidRPr="00E53948">
        <w:t>A criação de vínculos afetivos mostrou-se essencial para o sucesso das propostas. A escuta ativa, o respeito ao tempo de cada aluno e o incentivo constante fortaleceram a relação entre educador e estudantes. Conforme Freire (1996), a afetividade é um componente indispensável da prática educativa, pois potencializa a aprendizagem e o engajamento.</w:t>
      </w:r>
    </w:p>
    <w:p w14:paraId="074D4002" w14:textId="47ECB6D3" w:rsidR="007C242F" w:rsidRPr="007C242F" w:rsidRDefault="00E53948" w:rsidP="002848D1">
      <w:pPr>
        <w:pStyle w:val="Texto"/>
      </w:pPr>
      <w:r w:rsidRPr="00E53948">
        <w:t>As atividades lúdicas promoveram trocas emocionais e momentos de alegria, possibilitando que os alunos se expressassem por meio do movimento e da brincadeira, mesmo diante das limitações de fala. A ludicidade, nesse contexto, favoreceu a socialização, o prazer e a espontaneidade, ampliando as possibilidades de convivência e interação.</w:t>
      </w:r>
    </w:p>
    <w:p w14:paraId="4669AC60" w14:textId="2C7EE996" w:rsidR="0C591BAA" w:rsidRDefault="0C591BAA" w:rsidP="00DF040B">
      <w:pPr>
        <w:pStyle w:val="Texto"/>
      </w:pPr>
    </w:p>
    <w:p w14:paraId="18CBF766" w14:textId="7745CA07" w:rsidR="002848D1" w:rsidRPr="002848D1" w:rsidRDefault="00FC4166" w:rsidP="002848D1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7F26546C" w14:textId="77777777" w:rsidR="00E53948" w:rsidRPr="00E53948" w:rsidRDefault="00E53948" w:rsidP="00E53948">
      <w:pPr>
        <w:pStyle w:val="Texto"/>
      </w:pPr>
      <w:r w:rsidRPr="00E53948">
        <w:t>O relato de experiência permitiu compreender como a atuação do profissional de Educação Física em salas de recursos multifuncionais pode favorecer o desenvolvimento motor, sensorial e social de alunos com TEA.</w:t>
      </w:r>
    </w:p>
    <w:p w14:paraId="7C81BA07" w14:textId="77777777" w:rsidR="00E53948" w:rsidRPr="00E53948" w:rsidRDefault="00E53948" w:rsidP="00E53948">
      <w:pPr>
        <w:pStyle w:val="Texto"/>
      </w:pPr>
      <w:r w:rsidRPr="00E53948">
        <w:t xml:space="preserve">As intervenções lúdicas e adaptadas demonstraram que a Educação Física, quando conduzida com empatia e intencionalidade pedagógica, promove avanços significativos na coordenação, equilíbrio, controle emocional e interação social. O </w:t>
      </w:r>
      <w:r w:rsidRPr="00E53948">
        <w:lastRenderedPageBreak/>
        <w:t>vínculo afetivo estabelecido entre professor e aluno emergiu como fator determinante para o engajamento e o sentimento de pertencimento.</w:t>
      </w:r>
    </w:p>
    <w:p w14:paraId="17CA960E" w14:textId="3DA3C4F3" w:rsidR="00E53948" w:rsidRPr="00E53948" w:rsidRDefault="00E53948" w:rsidP="00E53948">
      <w:pPr>
        <w:pStyle w:val="Texto"/>
      </w:pPr>
      <w:r w:rsidRPr="00E53948">
        <w:t>O estágio supervisionado configurou-se como uma oportunidade formativa essencial, permitindo ao futuro professor vivenciar, na prática, os desafios e potencialidades da inclusão. As experiências demonstraram que a Educação Física é um instrumento potente de inclusão e transformação, capaz de contribuir para o desenvolvimento global e a autonomia de crianças com TEA, fortalecendo a construção de uma escola verdadeiramente inclusiv</w:t>
      </w:r>
      <w:r>
        <w:t>a.</w:t>
      </w:r>
    </w:p>
    <w:p w14:paraId="2EABA2E7" w14:textId="77777777" w:rsidR="00126DD2" w:rsidRDefault="00126DD2" w:rsidP="00DF040B">
      <w:pPr>
        <w:pStyle w:val="Texto"/>
      </w:pPr>
    </w:p>
    <w:p w14:paraId="7F32F155" w14:textId="540A6AAF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4525EA02" w14:textId="642DE73F" w:rsidR="00922B17" w:rsidRPr="00922B17" w:rsidRDefault="00922B17" w:rsidP="00922B17">
      <w:pPr>
        <w:jc w:val="left"/>
        <w:rPr>
          <w:rFonts w:ascii="Arial" w:eastAsia="Arial" w:hAnsi="Arial" w:cs="Arial"/>
          <w:sz w:val="24"/>
          <w:szCs w:val="24"/>
        </w:rPr>
      </w:pPr>
      <w:r w:rsidRPr="00922B17">
        <w:rPr>
          <w:rFonts w:ascii="Arial" w:eastAsia="Arial" w:hAnsi="Arial" w:cs="Arial"/>
          <w:sz w:val="24"/>
          <w:szCs w:val="24"/>
        </w:rPr>
        <w:t xml:space="preserve">ALVES, M. Construindo arranjos com tríades ao piano durante a pandemia. </w:t>
      </w:r>
      <w:r w:rsidRPr="00922B17">
        <w:rPr>
          <w:rFonts w:ascii="Arial" w:eastAsia="Arial" w:hAnsi="Arial" w:cs="Arial"/>
          <w:b/>
          <w:bCs/>
          <w:sz w:val="24"/>
          <w:szCs w:val="24"/>
        </w:rPr>
        <w:t>Revista Música</w:t>
      </w:r>
      <w:r w:rsidRPr="00922B17">
        <w:rPr>
          <w:rFonts w:ascii="Arial" w:eastAsia="Arial" w:hAnsi="Arial" w:cs="Arial"/>
          <w:sz w:val="24"/>
          <w:szCs w:val="24"/>
        </w:rPr>
        <w:t>, São Paulo, v. [s.n.], p. 55, 2021. Dossiê Encontro Internacional de Teoria e Análise Musical 10 Anos. Disponível em: &lt;https://www.revistas.usp.br/revistamusica/article/view/180590&gt;. Acesso em: 20 de abril de 2025.</w:t>
      </w:r>
    </w:p>
    <w:p w14:paraId="23C84282" w14:textId="44A33B47" w:rsidR="006A5680" w:rsidRPr="00922B17" w:rsidRDefault="006A5680" w:rsidP="00922B17">
      <w:pPr>
        <w:spacing w:after="120" w:line="240" w:lineRule="auto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922B17">
        <w:rPr>
          <w:rFonts w:ascii="Arial" w:eastAsia="Times New Roman" w:hAnsi="Arial" w:cs="Arial"/>
          <w:sz w:val="24"/>
          <w:szCs w:val="24"/>
          <w:lang w:eastAsia="pt-BR"/>
        </w:rPr>
        <w:t xml:space="preserve">AMERICAN PSYCHIATRIC ASSOCIATION. </w:t>
      </w:r>
      <w:r w:rsidRPr="00922B1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Manual diagnóstico e estatístico de transtornos mentais</w:t>
      </w:r>
      <w:r w:rsidRPr="00922B17">
        <w:rPr>
          <w:rFonts w:ascii="Arial" w:eastAsia="Times New Roman" w:hAnsi="Arial" w:cs="Arial"/>
          <w:sz w:val="24"/>
          <w:szCs w:val="24"/>
          <w:lang w:eastAsia="pt-BR"/>
        </w:rPr>
        <w:t>: DSM-5. 5. ed. Tradução de Maria Inês Corrêa Nascimento et al. Revisão técnica de Aristides Volpato Cordioli et al. Porto Alegre: Artmed, 2014.</w:t>
      </w:r>
    </w:p>
    <w:p w14:paraId="32EDFC31" w14:textId="1E97B21C" w:rsidR="00922B17" w:rsidRPr="00922B17" w:rsidRDefault="00922B17" w:rsidP="00922B17">
      <w:pPr>
        <w:spacing w:after="120" w:line="240" w:lineRule="auto"/>
        <w:jc w:val="left"/>
        <w:rPr>
          <w:rFonts w:ascii="Arial" w:eastAsia="Times New Roman" w:hAnsi="Arial" w:cs="Arial"/>
          <w:sz w:val="24"/>
          <w:szCs w:val="24"/>
          <w:lang w:val="pt-PT" w:eastAsia="pt-BR"/>
        </w:rPr>
      </w:pPr>
      <w:r w:rsidRPr="00922B17">
        <w:rPr>
          <w:rFonts w:ascii="Arial" w:eastAsia="Times New Roman" w:hAnsi="Arial" w:cs="Arial"/>
          <w:sz w:val="24"/>
          <w:szCs w:val="24"/>
          <w:lang w:val="pt-PT" w:eastAsia="pt-BR"/>
        </w:rPr>
        <w:t xml:space="preserve">BARROS, M.; BATISTA-DOS-SANTOS, A. C. Por dentro da autoeficácia: um estudo sobre seus fundamentos teóricos, suas fontes e conceitos correlatos. </w:t>
      </w:r>
      <w:r w:rsidRPr="00922B17">
        <w:rPr>
          <w:rFonts w:ascii="Arial" w:eastAsia="Times New Roman" w:hAnsi="Arial" w:cs="Arial"/>
          <w:b/>
          <w:bCs/>
          <w:sz w:val="24"/>
          <w:szCs w:val="24"/>
          <w:lang w:val="pt-PT" w:eastAsia="pt-BR"/>
        </w:rPr>
        <w:t>Revista Espaço Acadêmico</w:t>
      </w:r>
      <w:r w:rsidRPr="00922B17">
        <w:rPr>
          <w:rFonts w:ascii="Arial" w:eastAsia="Times New Roman" w:hAnsi="Arial" w:cs="Arial"/>
          <w:sz w:val="24"/>
          <w:szCs w:val="24"/>
          <w:lang w:val="pt-PT" w:eastAsia="pt-BR"/>
        </w:rPr>
        <w:t>, s.l, n. 112, p. 1-9, set. 2010. Disponível em: https://www.periodicos.uem.br/ojs/index.php/EspacoAcademico/article/view/112. Acesso em: 22 jun. 2025.</w:t>
      </w:r>
    </w:p>
    <w:p w14:paraId="59DC7038" w14:textId="3E3EC272" w:rsidR="006A5680" w:rsidRPr="00922B17" w:rsidRDefault="006A5680" w:rsidP="00922B17">
      <w:pPr>
        <w:spacing w:after="120" w:line="240" w:lineRule="auto"/>
        <w:jc w:val="left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922B17">
        <w:rPr>
          <w:rFonts w:ascii="Arial" w:eastAsia="Times New Roman" w:hAnsi="Arial" w:cs="Arial"/>
          <w:sz w:val="24"/>
          <w:szCs w:val="24"/>
          <w:lang w:eastAsia="pt-BR"/>
        </w:rPr>
        <w:t>BRASIL. Conselho Nacional de Educação. Câmara de Educação Básica.</w:t>
      </w:r>
      <w:r w:rsidRPr="00922B1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Resolução nº 4, de 2 de outubro de 2009. </w:t>
      </w:r>
      <w:r w:rsidRPr="00922B17">
        <w:rPr>
          <w:rFonts w:ascii="Arial" w:eastAsia="Times New Roman" w:hAnsi="Arial" w:cs="Arial"/>
          <w:sz w:val="24"/>
          <w:szCs w:val="24"/>
          <w:lang w:eastAsia="pt-BR"/>
        </w:rPr>
        <w:t>Institui Diretrizes Operacionais para o Atendimento Educacional Especializado na Educação Básica, modalidade Educação Especial. Diário Oficial da União, Brasília, DF, 2009.</w:t>
      </w:r>
    </w:p>
    <w:p w14:paraId="35FED469" w14:textId="2DB72EAC" w:rsidR="006A5680" w:rsidRPr="00922B17" w:rsidRDefault="006A5680" w:rsidP="00922B17">
      <w:pPr>
        <w:spacing w:after="120" w:line="240" w:lineRule="auto"/>
        <w:jc w:val="left"/>
        <w:rPr>
          <w:rFonts w:ascii="Arial" w:eastAsia="Times New Roman" w:hAnsi="Arial" w:cs="Arial"/>
          <w:sz w:val="24"/>
          <w:szCs w:val="24"/>
          <w:lang w:val="pt-PT" w:eastAsia="pt-BR"/>
        </w:rPr>
      </w:pPr>
      <w:r w:rsidRPr="00922B17">
        <w:rPr>
          <w:rFonts w:ascii="Arial" w:eastAsia="Times New Roman" w:hAnsi="Arial" w:cs="Arial"/>
          <w:sz w:val="24"/>
          <w:szCs w:val="24"/>
          <w:lang w:val="pt-PT" w:eastAsia="pt-BR"/>
        </w:rPr>
        <w:t xml:space="preserve">BRUNI, A. et al. </w:t>
      </w:r>
      <w:r w:rsidRPr="00922B17">
        <w:rPr>
          <w:rFonts w:ascii="Arial" w:eastAsia="Times New Roman" w:hAnsi="Arial" w:cs="Arial"/>
          <w:b/>
          <w:bCs/>
          <w:sz w:val="24"/>
          <w:szCs w:val="24"/>
          <w:lang w:val="pt-PT" w:eastAsia="pt-BR"/>
        </w:rPr>
        <w:t>Cartilha de Autismo e Educação</w:t>
      </w:r>
      <w:r w:rsidRPr="00922B17">
        <w:rPr>
          <w:rFonts w:ascii="Arial" w:eastAsia="Times New Roman" w:hAnsi="Arial" w:cs="Arial"/>
          <w:sz w:val="24"/>
          <w:szCs w:val="24"/>
          <w:lang w:val="pt-PT" w:eastAsia="pt-BR"/>
        </w:rPr>
        <w:t xml:space="preserve">. São Paulo: Autismo e Realidade, 2013. Disponível em: </w:t>
      </w:r>
      <w:hyperlink r:id="rId8" w:history="1">
        <w:r w:rsidRPr="00922B17">
          <w:rPr>
            <w:rStyle w:val="Hyperlink"/>
            <w:rFonts w:ascii="Arial" w:eastAsia="Times New Roman" w:hAnsi="Arial" w:cs="Arial"/>
            <w:sz w:val="24"/>
            <w:szCs w:val="24"/>
            <w:lang w:val="pt-PT" w:eastAsia="pt-BR"/>
          </w:rPr>
          <w:t>https://www.autismoerealidade.org.br</w:t>
        </w:r>
      </w:hyperlink>
      <w:r w:rsidRPr="00922B17">
        <w:rPr>
          <w:rFonts w:ascii="Arial" w:eastAsia="Times New Roman" w:hAnsi="Arial" w:cs="Arial"/>
          <w:sz w:val="24"/>
          <w:szCs w:val="24"/>
          <w:lang w:val="pt-PT" w:eastAsia="pt-BR"/>
        </w:rPr>
        <w:t xml:space="preserve"> . Acesso em: 27 abr. 2025.</w:t>
      </w:r>
    </w:p>
    <w:p w14:paraId="4955099E" w14:textId="1BCC82C0" w:rsidR="006A5680" w:rsidRDefault="006A5680" w:rsidP="00922B17">
      <w:pPr>
        <w:spacing w:after="120" w:line="240" w:lineRule="auto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922B17">
        <w:rPr>
          <w:rFonts w:ascii="Arial" w:eastAsia="Times New Roman" w:hAnsi="Arial" w:cs="Arial"/>
          <w:sz w:val="24"/>
          <w:szCs w:val="24"/>
          <w:lang w:eastAsia="pt-BR"/>
        </w:rPr>
        <w:t>FARIA, Maria Elisa Vaz de; BORBA, Marcia Guaraciara de Souza. Autismo: Sinais, níveis de suporte e diagnóstico-uma revisão sistemática de estudos recentes. </w:t>
      </w:r>
      <w:r w:rsidRPr="00922B1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Revista Ibero-Americana de Humanidades, Ciências e Educação</w:t>
      </w:r>
      <w:r w:rsidRPr="00922B17">
        <w:rPr>
          <w:rFonts w:ascii="Arial" w:eastAsia="Times New Roman" w:hAnsi="Arial" w:cs="Arial"/>
          <w:sz w:val="24"/>
          <w:szCs w:val="24"/>
          <w:lang w:eastAsia="pt-BR"/>
        </w:rPr>
        <w:t>, </w:t>
      </w:r>
      <w:r w:rsidRPr="00922B17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[S. l.]</w:t>
      </w:r>
      <w:r w:rsidRPr="00922B17">
        <w:rPr>
          <w:rFonts w:ascii="Arial" w:eastAsia="Times New Roman" w:hAnsi="Arial" w:cs="Arial"/>
          <w:sz w:val="24"/>
          <w:szCs w:val="24"/>
          <w:lang w:eastAsia="pt-BR"/>
        </w:rPr>
        <w:t>, v. 10, n. 6, p. 4100–4112, 2024. Disponível em: https://periodicorease.pro.br/rease/article/view/14706. Acesso em: 5 out. 2025.</w:t>
      </w:r>
    </w:p>
    <w:p w14:paraId="6B8E200E" w14:textId="5E044091" w:rsidR="00922B17" w:rsidRPr="00922B17" w:rsidRDefault="00922B17" w:rsidP="00922B17">
      <w:pPr>
        <w:spacing w:after="200" w:line="276" w:lineRule="auto"/>
        <w:rPr>
          <w:rFonts w:ascii="Arial" w:eastAsia="Arial" w:hAnsi="Arial" w:cs="Arial"/>
          <w:sz w:val="24"/>
          <w:szCs w:val="28"/>
          <w:lang w:val="en-US"/>
        </w:rPr>
      </w:pPr>
      <w:r w:rsidRPr="00922B17">
        <w:rPr>
          <w:rFonts w:ascii="Arial" w:eastAsia="Arial" w:hAnsi="Arial" w:cs="Arial"/>
          <w:sz w:val="24"/>
          <w:szCs w:val="28"/>
          <w:lang w:val="en-US"/>
        </w:rPr>
        <w:t xml:space="preserve">FREIRE, Paulo. </w:t>
      </w:r>
      <w:r w:rsidRPr="00922B17">
        <w:rPr>
          <w:rFonts w:ascii="Arial" w:eastAsia="Arial" w:hAnsi="Arial" w:cs="Arial"/>
          <w:b/>
          <w:bCs/>
          <w:sz w:val="24"/>
          <w:szCs w:val="28"/>
          <w:lang w:val="en-US"/>
        </w:rPr>
        <w:t>Pedagogia da autonomia:</w:t>
      </w:r>
      <w:r w:rsidRPr="00922B17">
        <w:rPr>
          <w:rFonts w:ascii="Arial" w:eastAsia="Arial" w:hAnsi="Arial" w:cs="Arial"/>
          <w:sz w:val="24"/>
          <w:szCs w:val="28"/>
          <w:lang w:val="en-US"/>
        </w:rPr>
        <w:t xml:space="preserve"> saberes necessários à prática educativa. São Paulo: Paz e Terra, 1996.</w:t>
      </w:r>
    </w:p>
    <w:p w14:paraId="05A19E5C" w14:textId="07C02639" w:rsidR="006A5680" w:rsidRPr="00922B17" w:rsidRDefault="006A5680" w:rsidP="00922B17">
      <w:pPr>
        <w:spacing w:after="120" w:line="240" w:lineRule="auto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922B17">
        <w:rPr>
          <w:rFonts w:ascii="Arial" w:eastAsia="Times New Roman" w:hAnsi="Arial" w:cs="Arial"/>
          <w:sz w:val="24"/>
          <w:szCs w:val="24"/>
          <w:lang w:eastAsia="pt-BR"/>
        </w:rPr>
        <w:t xml:space="preserve">GALLAHUE, David L.; OZMUN, John C. </w:t>
      </w:r>
      <w:r w:rsidRPr="00922B1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Compreendendo o desenvolvimento motor:</w:t>
      </w:r>
      <w:r w:rsidRPr="00922B17">
        <w:rPr>
          <w:rFonts w:ascii="Arial" w:eastAsia="Times New Roman" w:hAnsi="Arial" w:cs="Arial"/>
          <w:sz w:val="24"/>
          <w:szCs w:val="24"/>
          <w:lang w:eastAsia="pt-BR"/>
        </w:rPr>
        <w:t xml:space="preserve"> bebês, crianças, adolescentes e adultos. São Paulo: Phorte, 2005.</w:t>
      </w:r>
    </w:p>
    <w:p w14:paraId="12A1633D" w14:textId="77777777" w:rsidR="006A5680" w:rsidRPr="00922B17" w:rsidRDefault="006A5680" w:rsidP="00922B17">
      <w:pPr>
        <w:spacing w:after="120" w:line="240" w:lineRule="auto"/>
        <w:jc w:val="left"/>
        <w:rPr>
          <w:rFonts w:ascii="Arial" w:eastAsia="Times New Roman" w:hAnsi="Arial" w:cs="Arial"/>
          <w:sz w:val="24"/>
          <w:szCs w:val="24"/>
          <w:lang w:val="pt-PT" w:eastAsia="pt-BR"/>
        </w:rPr>
      </w:pPr>
      <w:r w:rsidRPr="00922B17">
        <w:rPr>
          <w:rFonts w:ascii="Arial" w:eastAsia="Times New Roman" w:hAnsi="Arial" w:cs="Arial"/>
          <w:sz w:val="24"/>
          <w:szCs w:val="24"/>
          <w:lang w:val="pt-PT" w:eastAsia="pt-BR"/>
        </w:rPr>
        <w:t xml:space="preserve">LOPES,E.; Marquenize,M. C. </w:t>
      </w:r>
      <w:r w:rsidRPr="00922B17">
        <w:rPr>
          <w:rFonts w:ascii="Arial" w:eastAsia="Times New Roman" w:hAnsi="Arial" w:cs="Arial"/>
          <w:b/>
          <w:bCs/>
          <w:sz w:val="24"/>
          <w:szCs w:val="24"/>
          <w:lang w:val="pt-PT" w:eastAsia="pt-BR"/>
        </w:rPr>
        <w:t>Sala de recursos no processo de inclusão do aluno com deficiência intelectual na percepção dos professores</w:t>
      </w:r>
      <w:r w:rsidRPr="00922B17">
        <w:rPr>
          <w:rFonts w:ascii="Arial" w:eastAsia="Times New Roman" w:hAnsi="Arial" w:cs="Arial"/>
          <w:sz w:val="24"/>
          <w:szCs w:val="24"/>
          <w:lang w:val="pt-PT" w:eastAsia="pt-BR"/>
        </w:rPr>
        <w:t xml:space="preserve">. </w:t>
      </w:r>
      <w:r w:rsidRPr="00922B17">
        <w:rPr>
          <w:rFonts w:ascii="Arial" w:eastAsia="Times New Roman" w:hAnsi="Arial" w:cs="Arial"/>
          <w:sz w:val="24"/>
          <w:szCs w:val="24"/>
          <w:lang w:eastAsia="pt-BR"/>
        </w:rPr>
        <w:t xml:space="preserve">Rev. Bras. Ed. </w:t>
      </w:r>
      <w:r w:rsidRPr="00922B17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Esp., Marília, v. 18, n. 3, p. 487-506, jul.-set. 2012. </w:t>
      </w:r>
      <w:r w:rsidRPr="00922B17">
        <w:rPr>
          <w:rFonts w:ascii="Arial" w:eastAsia="Times New Roman" w:hAnsi="Arial" w:cs="Arial"/>
          <w:sz w:val="24"/>
          <w:szCs w:val="24"/>
          <w:lang w:val="pt-PT" w:eastAsia="pt-BR"/>
        </w:rPr>
        <w:t xml:space="preserve">Disponível em: </w:t>
      </w:r>
      <w:hyperlink r:id="rId9" w:history="1">
        <w:r w:rsidRPr="00922B17">
          <w:rPr>
            <w:rStyle w:val="Hyperlink"/>
            <w:rFonts w:ascii="Arial" w:hAnsi="Arial" w:cs="Arial"/>
            <w:sz w:val="24"/>
            <w:szCs w:val="24"/>
          </w:rPr>
          <w:t>https://doi.org/10.1590/S1413-65382012000300009</w:t>
        </w:r>
      </w:hyperlink>
      <w:r w:rsidRPr="00922B17">
        <w:rPr>
          <w:rFonts w:ascii="Arial" w:eastAsia="Times New Roman" w:hAnsi="Arial" w:cs="Arial"/>
          <w:sz w:val="24"/>
          <w:szCs w:val="24"/>
          <w:lang w:val="pt-PT" w:eastAsia="pt-BR"/>
        </w:rPr>
        <w:t>. Acesso em: 27 abr. 2025.</w:t>
      </w:r>
    </w:p>
    <w:p w14:paraId="5CAB86F1" w14:textId="77777777" w:rsidR="006A5680" w:rsidRPr="00922B17" w:rsidRDefault="006A5680" w:rsidP="00922B17">
      <w:pPr>
        <w:spacing w:after="120" w:line="240" w:lineRule="auto"/>
        <w:jc w:val="left"/>
        <w:rPr>
          <w:rFonts w:ascii="Arial" w:eastAsia="Times New Roman" w:hAnsi="Arial" w:cs="Arial"/>
          <w:sz w:val="24"/>
          <w:szCs w:val="24"/>
          <w:lang w:val="pt-PT" w:eastAsia="pt-BR"/>
        </w:rPr>
      </w:pPr>
      <w:r w:rsidRPr="00922B17">
        <w:rPr>
          <w:rFonts w:ascii="Arial" w:eastAsia="Times New Roman" w:hAnsi="Arial" w:cs="Arial"/>
          <w:sz w:val="24"/>
          <w:szCs w:val="24"/>
          <w:lang w:val="pt-PT" w:eastAsia="pt-BR"/>
        </w:rPr>
        <w:t xml:space="preserve">MANTOAN, M. T. E. </w:t>
      </w:r>
      <w:r w:rsidRPr="00922B17">
        <w:rPr>
          <w:rFonts w:ascii="Arial" w:eastAsia="Times New Roman" w:hAnsi="Arial" w:cs="Arial"/>
          <w:b/>
          <w:bCs/>
          <w:sz w:val="24"/>
          <w:szCs w:val="24"/>
          <w:lang w:val="pt-PT" w:eastAsia="pt-BR"/>
        </w:rPr>
        <w:t>Inclusão escolar:</w:t>
      </w:r>
      <w:r w:rsidRPr="00922B17">
        <w:rPr>
          <w:rFonts w:ascii="Arial" w:eastAsia="Times New Roman" w:hAnsi="Arial" w:cs="Arial"/>
          <w:sz w:val="24"/>
          <w:szCs w:val="24"/>
          <w:lang w:val="pt-PT" w:eastAsia="pt-BR"/>
        </w:rPr>
        <w:t xml:space="preserve"> o que é? por quê? como fazer? São Paulo: Moderna, 2003.</w:t>
      </w:r>
    </w:p>
    <w:p w14:paraId="3B64C53C" w14:textId="77777777" w:rsidR="006A5680" w:rsidRPr="00922B17" w:rsidRDefault="006A5680" w:rsidP="00922B17">
      <w:pPr>
        <w:spacing w:after="120" w:line="240" w:lineRule="auto"/>
        <w:jc w:val="left"/>
        <w:rPr>
          <w:rFonts w:ascii="Arial" w:eastAsia="Times New Roman" w:hAnsi="Arial" w:cs="Arial"/>
          <w:sz w:val="24"/>
          <w:szCs w:val="24"/>
          <w:lang w:val="pt-PT" w:eastAsia="pt-BR"/>
        </w:rPr>
      </w:pPr>
      <w:r w:rsidRPr="00922B17">
        <w:rPr>
          <w:rFonts w:ascii="Arial" w:eastAsia="Times New Roman" w:hAnsi="Arial" w:cs="Arial"/>
          <w:sz w:val="24"/>
          <w:szCs w:val="24"/>
          <w:lang w:eastAsia="pt-BR"/>
        </w:rPr>
        <w:t xml:space="preserve">MEDINA, J.; ROSA, G. K. B.; MARQUES, I. Desenvolvimento da organização temporal de crianças com dificuldades de aprendizagem. </w:t>
      </w:r>
      <w:r w:rsidRPr="00922B1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Revista da Educação Física</w:t>
      </w:r>
      <w:r w:rsidRPr="00922B17">
        <w:rPr>
          <w:rFonts w:ascii="Arial" w:eastAsia="Times New Roman" w:hAnsi="Arial" w:cs="Arial"/>
          <w:sz w:val="24"/>
          <w:szCs w:val="24"/>
          <w:lang w:eastAsia="pt-BR"/>
        </w:rPr>
        <w:t xml:space="preserve">. UEM, v.17, n.1, p. 107-116, 2006. Disponível em: </w:t>
      </w:r>
      <w:hyperlink r:id="rId10" w:history="1">
        <w:r w:rsidRPr="00922B17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https://www.researchgate.net/publication/351339497_NIVEL_MOTOR_DE_ESTUDANTES_EM_UMA_ESCOLA_DA_ZONA_RURAL_DO_MUNICIPIO_DE_PICOS-PI</w:t>
        </w:r>
      </w:hyperlink>
      <w:r w:rsidRPr="00922B17">
        <w:rPr>
          <w:rFonts w:ascii="Arial" w:eastAsia="Times New Roman" w:hAnsi="Arial" w:cs="Arial"/>
          <w:sz w:val="24"/>
          <w:szCs w:val="24"/>
          <w:lang w:eastAsia="pt-BR"/>
        </w:rPr>
        <w:t>. Acesso em 22 de abril de 2025.</w:t>
      </w:r>
    </w:p>
    <w:p w14:paraId="23EF680A" w14:textId="77777777" w:rsidR="006A5680" w:rsidRPr="00922B17" w:rsidRDefault="006A5680" w:rsidP="00922B17">
      <w:pPr>
        <w:spacing w:after="120" w:line="240" w:lineRule="auto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922B17">
        <w:rPr>
          <w:rFonts w:ascii="Arial" w:eastAsia="Times New Roman" w:hAnsi="Arial" w:cs="Arial"/>
          <w:sz w:val="24"/>
          <w:szCs w:val="24"/>
          <w:lang w:eastAsia="pt-BR"/>
        </w:rPr>
        <w:t xml:space="preserve">MELO, L.; VALLE, E. O brinquedo e o brincar no desenvolvimento infantil. </w:t>
      </w:r>
      <w:r w:rsidRPr="00922B1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Psicologia Argumento</w:t>
      </w:r>
      <w:r w:rsidRPr="00922B17">
        <w:rPr>
          <w:rFonts w:ascii="Arial" w:eastAsia="Times New Roman" w:hAnsi="Arial" w:cs="Arial"/>
          <w:sz w:val="24"/>
          <w:szCs w:val="24"/>
          <w:lang w:eastAsia="pt-BR"/>
        </w:rPr>
        <w:t xml:space="preserve">, Curitiba, v. 23, n. 40, p. 43-48, jul./dez. 2005. Disponível em: </w:t>
      </w:r>
      <w:hyperlink r:id="rId11" w:tgtFrame="_blank" w:history="1">
        <w:r w:rsidRPr="00922B17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https://pesquisa.bvsalud.org/portal/resource/pt/lil-481858</w:t>
        </w:r>
      </w:hyperlink>
      <w:r w:rsidRPr="00922B17">
        <w:rPr>
          <w:rFonts w:ascii="Arial" w:eastAsia="Times New Roman" w:hAnsi="Arial" w:cs="Arial"/>
          <w:sz w:val="24"/>
          <w:szCs w:val="24"/>
          <w:lang w:eastAsia="pt-BR"/>
        </w:rPr>
        <w:t>. Acesso em: 22 de abril de 2025.</w:t>
      </w:r>
    </w:p>
    <w:p w14:paraId="327707EC" w14:textId="77777777" w:rsidR="006A5680" w:rsidRPr="00922B17" w:rsidRDefault="006A5680" w:rsidP="00922B17">
      <w:pPr>
        <w:spacing w:after="120" w:line="240" w:lineRule="auto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922B17">
        <w:rPr>
          <w:rFonts w:ascii="Arial" w:eastAsia="Times New Roman" w:hAnsi="Arial" w:cs="Arial"/>
          <w:sz w:val="24"/>
          <w:szCs w:val="24"/>
          <w:lang w:eastAsia="pt-BR"/>
        </w:rPr>
        <w:t xml:space="preserve">MINAYO, M. C. S. (Org.). </w:t>
      </w:r>
      <w:r w:rsidRPr="00922B1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Pesquisa Social. Teoria, método e criatividade. </w:t>
      </w:r>
      <w:r w:rsidRPr="00922B17">
        <w:rPr>
          <w:rFonts w:ascii="Arial" w:eastAsia="Times New Roman" w:hAnsi="Arial" w:cs="Arial"/>
          <w:sz w:val="24"/>
          <w:szCs w:val="24"/>
          <w:lang w:eastAsia="pt-BR"/>
        </w:rPr>
        <w:t>18 ed. Petrópolis: Vozes, 2001.</w:t>
      </w:r>
    </w:p>
    <w:p w14:paraId="1BEFCF15" w14:textId="77777777" w:rsidR="006A5680" w:rsidRPr="00922B17" w:rsidRDefault="006A5680" w:rsidP="00922B17">
      <w:pPr>
        <w:spacing w:after="120" w:line="240" w:lineRule="auto"/>
        <w:jc w:val="left"/>
        <w:rPr>
          <w:rFonts w:ascii="Arial" w:eastAsia="Times New Roman" w:hAnsi="Arial" w:cs="Arial"/>
          <w:sz w:val="24"/>
          <w:szCs w:val="24"/>
          <w:lang w:val="pt-PT" w:eastAsia="pt-BR"/>
        </w:rPr>
      </w:pPr>
      <w:r w:rsidRPr="00922B17">
        <w:rPr>
          <w:rFonts w:ascii="Arial" w:eastAsia="Times New Roman" w:hAnsi="Arial" w:cs="Arial"/>
          <w:sz w:val="24"/>
          <w:szCs w:val="24"/>
          <w:lang w:eastAsia="pt-BR"/>
        </w:rPr>
        <w:t xml:space="preserve">ROSA NETO, F. et al. Efeitos da intervenção motora em uma criança com transtorno do espectro do autismo. </w:t>
      </w:r>
      <w:r w:rsidRPr="00922B1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Temas sobre Desenvolvimento,</w:t>
      </w:r>
      <w:r w:rsidRPr="00922B17">
        <w:rPr>
          <w:rFonts w:ascii="Arial" w:eastAsia="Times New Roman" w:hAnsi="Arial" w:cs="Arial"/>
          <w:sz w:val="24"/>
          <w:szCs w:val="24"/>
          <w:lang w:eastAsia="pt-BR"/>
        </w:rPr>
        <w:t xml:space="preserve"> [</w:t>
      </w:r>
      <w:proofErr w:type="spellStart"/>
      <w:r w:rsidRPr="00922B17">
        <w:rPr>
          <w:rFonts w:ascii="Arial" w:eastAsia="Times New Roman" w:hAnsi="Arial" w:cs="Arial"/>
          <w:sz w:val="24"/>
          <w:szCs w:val="24"/>
          <w:lang w:eastAsia="pt-BR"/>
        </w:rPr>
        <w:t>S.l</w:t>
      </w:r>
      <w:proofErr w:type="spellEnd"/>
      <w:r w:rsidRPr="00922B17">
        <w:rPr>
          <w:rFonts w:ascii="Arial" w:eastAsia="Times New Roman" w:hAnsi="Arial" w:cs="Arial"/>
          <w:sz w:val="24"/>
          <w:szCs w:val="24"/>
          <w:lang w:eastAsia="pt-BR"/>
        </w:rPr>
        <w:t>.], v. 19, n. 105, p. 110-114, 2013.</w:t>
      </w:r>
      <w:r w:rsidRPr="00922B17">
        <w:rPr>
          <w:rFonts w:ascii="Arial" w:eastAsia="Times New Roman" w:hAnsi="Arial" w:cs="Arial"/>
          <w:sz w:val="24"/>
          <w:szCs w:val="24"/>
          <w:lang w:val="pt-PT" w:eastAsia="pt-BR"/>
        </w:rPr>
        <w:t xml:space="preserve"> </w:t>
      </w:r>
    </w:p>
    <w:p w14:paraId="5296F241" w14:textId="77777777" w:rsidR="006A5680" w:rsidRPr="00922B17" w:rsidRDefault="006A5680" w:rsidP="00922B17">
      <w:pPr>
        <w:spacing w:after="120" w:line="240" w:lineRule="auto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922B17">
        <w:rPr>
          <w:rFonts w:ascii="Arial" w:eastAsia="Times New Roman" w:hAnsi="Arial" w:cs="Arial"/>
          <w:sz w:val="24"/>
          <w:szCs w:val="24"/>
          <w:lang w:eastAsia="pt-BR"/>
        </w:rPr>
        <w:t xml:space="preserve">SANTOS, S.; DANTAS, L.; OLIVEIRA, J. A. Desenvolvimento motor de crianças, de idosos, e de pessoas com transtorno da coordenação. </w:t>
      </w:r>
      <w:r w:rsidRPr="00922B1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Revista Paulista de Educação Física</w:t>
      </w:r>
      <w:r w:rsidRPr="00922B17">
        <w:rPr>
          <w:rFonts w:ascii="Arial" w:eastAsia="Times New Roman" w:hAnsi="Arial" w:cs="Arial"/>
          <w:sz w:val="24"/>
          <w:szCs w:val="24"/>
          <w:lang w:eastAsia="pt-BR"/>
        </w:rPr>
        <w:t xml:space="preserve">, São Paulo, v. 18, n. 1, p. 33-44, jan./jun. 2004. Disponível em: </w:t>
      </w:r>
      <w:hyperlink r:id="rId12" w:history="1">
        <w:r w:rsidRPr="00922B17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https://www.researchgate.net/publication/255621524_Desenvolvimento_motor_de_crianAas_de_idosos_e_de_pessoas_com_transtornos_da_coordenaAo</w:t>
        </w:r>
      </w:hyperlink>
      <w:r w:rsidRPr="00922B17">
        <w:rPr>
          <w:rFonts w:ascii="Arial" w:eastAsia="Times New Roman" w:hAnsi="Arial" w:cs="Arial"/>
          <w:sz w:val="24"/>
          <w:szCs w:val="24"/>
          <w:lang w:eastAsia="pt-BR"/>
        </w:rPr>
        <w:t>. Acesso em 20 de junho de 2025.</w:t>
      </w:r>
    </w:p>
    <w:p w14:paraId="5DDAC4F9" w14:textId="77777777" w:rsidR="00922B17" w:rsidRPr="00922B17" w:rsidRDefault="00922B17" w:rsidP="00922B17">
      <w:pPr>
        <w:spacing w:after="120" w:line="240" w:lineRule="auto"/>
        <w:jc w:val="left"/>
        <w:rPr>
          <w:rFonts w:ascii="Arial" w:eastAsia="Times New Roman" w:hAnsi="Arial" w:cs="Arial"/>
          <w:sz w:val="24"/>
          <w:szCs w:val="24"/>
          <w:lang w:val="pt-PT" w:eastAsia="pt-BR"/>
        </w:rPr>
      </w:pPr>
      <w:r w:rsidRPr="00922B17">
        <w:rPr>
          <w:rFonts w:ascii="Arial" w:eastAsia="Times New Roman" w:hAnsi="Arial" w:cs="Arial"/>
          <w:sz w:val="24"/>
          <w:szCs w:val="24"/>
          <w:lang w:val="pt-PT" w:eastAsia="pt-BR"/>
        </w:rPr>
        <w:t xml:space="preserve">VIGOTSKI, L. S. </w:t>
      </w:r>
      <w:r w:rsidRPr="00922B17">
        <w:rPr>
          <w:rFonts w:ascii="Arial" w:eastAsia="Times New Roman" w:hAnsi="Arial" w:cs="Arial"/>
          <w:b/>
          <w:bCs/>
          <w:sz w:val="24"/>
          <w:szCs w:val="24"/>
          <w:lang w:val="pt-PT" w:eastAsia="pt-BR"/>
        </w:rPr>
        <w:t>A formação social da mente</w:t>
      </w:r>
      <w:r w:rsidRPr="00922B17">
        <w:rPr>
          <w:rFonts w:ascii="Arial" w:eastAsia="Times New Roman" w:hAnsi="Arial" w:cs="Arial"/>
          <w:sz w:val="24"/>
          <w:szCs w:val="24"/>
          <w:lang w:val="pt-PT" w:eastAsia="pt-BR"/>
        </w:rPr>
        <w:t>: o desenvolvimento dos processos psicológicos superiores. São Paulo: Martins Fontes, 2007.</w:t>
      </w:r>
    </w:p>
    <w:p w14:paraId="1CEA4D6E" w14:textId="77777777" w:rsidR="00597F8A" w:rsidRPr="004C446D" w:rsidRDefault="00597F8A" w:rsidP="002848D1">
      <w:pPr>
        <w:pStyle w:val="Texto"/>
        <w:ind w:firstLine="0"/>
      </w:pPr>
    </w:p>
    <w:p w14:paraId="592425AB" w14:textId="1A5CEF62" w:rsidR="001E54C1" w:rsidRDefault="3A7DF960">
      <w:pPr>
        <w:pStyle w:val="TtulosNoNumerados"/>
      </w:pPr>
      <w:r w:rsidRPr="00DF040B">
        <w:t>AGRADECIMENTOS</w:t>
      </w:r>
      <w:r>
        <w:t xml:space="preserve"> </w:t>
      </w:r>
    </w:p>
    <w:p w14:paraId="33A6A16D" w14:textId="77777777" w:rsidR="00AF0025" w:rsidRPr="00E53948" w:rsidRDefault="00AF0025" w:rsidP="00AF0025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E53948">
        <w:rPr>
          <w:rFonts w:ascii="Arial" w:eastAsia="Times New Roman" w:hAnsi="Arial" w:cs="Arial"/>
          <w:sz w:val="24"/>
          <w:szCs w:val="24"/>
          <w:lang w:val="pt-PT" w:eastAsia="pt-BR"/>
        </w:rPr>
        <w:t xml:space="preserve">Agradecemos à CAPES e à UNIVALI pela oportunidade de participação no </w:t>
      </w:r>
      <w:r w:rsidRPr="00E53948">
        <w:rPr>
          <w:rFonts w:ascii="Arial" w:hAnsi="Arial" w:cs="Arial"/>
          <w:sz w:val="24"/>
          <w:szCs w:val="24"/>
        </w:rPr>
        <w:t>Programa Institucional de Bolsa de Iniciação à Docência – PIBID.</w:t>
      </w:r>
    </w:p>
    <w:p w14:paraId="2821CC48" w14:textId="77777777" w:rsidR="00AF0025" w:rsidRDefault="00AF0025">
      <w:pPr>
        <w:pStyle w:val="TtulosNoNumerados"/>
      </w:pPr>
    </w:p>
    <w:p w14:paraId="79BEE3E7" w14:textId="77777777" w:rsidR="001E54C1" w:rsidRDefault="001E54C1">
      <w:pPr>
        <w:pStyle w:val="TtulosNoNumerados"/>
      </w:pPr>
    </w:p>
    <w:p w14:paraId="400A594F" w14:textId="77777777" w:rsidR="001E54C1" w:rsidRPr="00CD581C" w:rsidRDefault="001E54C1">
      <w:pPr>
        <w:pStyle w:val="TtulosNoNumerados"/>
      </w:pPr>
    </w:p>
    <w:sectPr w:rsidR="001E54C1" w:rsidRPr="00CD581C" w:rsidSect="004C446D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B28E2C" w14:textId="77777777" w:rsidR="006668DA" w:rsidRDefault="006668DA" w:rsidP="00026BCD">
      <w:pPr>
        <w:spacing w:line="240" w:lineRule="auto"/>
      </w:pPr>
      <w:r>
        <w:separator/>
      </w:r>
    </w:p>
  </w:endnote>
  <w:endnote w:type="continuationSeparator" w:id="0">
    <w:p w14:paraId="60B97EF2" w14:textId="77777777" w:rsidR="006668DA" w:rsidRDefault="006668DA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B5104" w14:textId="77777777" w:rsidR="006668DA" w:rsidRDefault="006668DA" w:rsidP="00026BCD">
      <w:pPr>
        <w:spacing w:line="240" w:lineRule="auto"/>
      </w:pPr>
      <w:r>
        <w:separator/>
      </w:r>
    </w:p>
  </w:footnote>
  <w:footnote w:type="continuationSeparator" w:id="0">
    <w:p w14:paraId="7BAE5C2E" w14:textId="77777777" w:rsidR="006668DA" w:rsidRDefault="006668DA" w:rsidP="00026BCD">
      <w:pPr>
        <w:spacing w:line="240" w:lineRule="auto"/>
      </w:pPr>
      <w:r>
        <w:continuationSeparator/>
      </w:r>
    </w:p>
  </w:footnote>
  <w:footnote w:id="1">
    <w:p w14:paraId="1AA749BA" w14:textId="77777777" w:rsidR="001E5127" w:rsidRPr="00690C80" w:rsidRDefault="001E5127" w:rsidP="001E5127">
      <w:pPr>
        <w:pStyle w:val="Textodenotaderodap"/>
        <w:rPr>
          <w:rStyle w:val="Hyperlink1"/>
          <w:color w:val="auto"/>
        </w:rPr>
      </w:pPr>
      <w:r>
        <w:rPr>
          <w:rStyle w:val="Refdenotaderodap"/>
        </w:rPr>
        <w:footnoteRef/>
      </w:r>
      <w:r>
        <w:t xml:space="preserve"> </w:t>
      </w:r>
      <w:bookmarkStart w:id="0" w:name="_Hlk211518630"/>
      <w:r w:rsidRPr="00CF221E">
        <w:t>Mestre em Saúde e Gestão do Trabalho da Universidade do Vale do Itajaí</w:t>
      </w:r>
      <w:r>
        <w:t xml:space="preserve"> - </w:t>
      </w:r>
      <w:r w:rsidRPr="00CF221E">
        <w:t>UNIVALI</w:t>
      </w:r>
      <w:r>
        <w:t xml:space="preserve">, </w:t>
      </w:r>
      <w:r w:rsidRPr="00690C80">
        <w:rPr>
          <w:rStyle w:val="Hyperlink1"/>
        </w:rPr>
        <w:t>gzonta@univali.br;</w:t>
      </w:r>
      <w:bookmarkEnd w:id="0"/>
    </w:p>
  </w:footnote>
  <w:footnote w:id="2">
    <w:p w14:paraId="1EC41CFE" w14:textId="15B76B8B" w:rsidR="001E5127" w:rsidRDefault="001E5127" w:rsidP="001E5127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B625B8">
        <w:t xml:space="preserve">Graduando pelo Curso de </w:t>
      </w:r>
      <w:r w:rsidR="00B625B8" w:rsidRPr="00690C80">
        <w:t xml:space="preserve">Educação física </w:t>
      </w:r>
      <w:r w:rsidR="00B625B8">
        <w:t xml:space="preserve">da Universidade do Vale do Itajaí - UNIVALI, </w:t>
      </w:r>
      <w:hyperlink r:id="rId1" w:history="1">
        <w:r w:rsidR="00B625B8" w:rsidRPr="00B625B8">
          <w:rPr>
            <w:rStyle w:val="Hyperlink1"/>
          </w:rPr>
          <w:t>brunocosta@univali.br</w:t>
        </w:r>
      </w:hyperlink>
      <w:r w:rsidR="00B625B8" w:rsidRPr="00B625B8">
        <w:rPr>
          <w:rStyle w:val="Hyperlink1"/>
        </w:rPr>
        <w:t>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0BC5288"/>
    <w:multiLevelType w:val="hybridMultilevel"/>
    <w:tmpl w:val="6FC083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1D59BF"/>
    <w:multiLevelType w:val="hybridMultilevel"/>
    <w:tmpl w:val="90CC61D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5C8639C"/>
    <w:multiLevelType w:val="hybridMultilevel"/>
    <w:tmpl w:val="C0727D92"/>
    <w:lvl w:ilvl="0" w:tplc="1A5C8FDE">
      <w:start w:val="5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4"/>
  </w:num>
  <w:num w:numId="2" w16cid:durableId="1066029037">
    <w:abstractNumId w:val="9"/>
  </w:num>
  <w:num w:numId="3" w16cid:durableId="1085955489">
    <w:abstractNumId w:val="5"/>
  </w:num>
  <w:num w:numId="4" w16cid:durableId="425228222">
    <w:abstractNumId w:val="0"/>
  </w:num>
  <w:num w:numId="5" w16cid:durableId="1219895703">
    <w:abstractNumId w:val="6"/>
  </w:num>
  <w:num w:numId="6" w16cid:durableId="881675366">
    <w:abstractNumId w:val="1"/>
  </w:num>
  <w:num w:numId="7" w16cid:durableId="1310018532">
    <w:abstractNumId w:val="3"/>
  </w:num>
  <w:num w:numId="8" w16cid:durableId="2103139769">
    <w:abstractNumId w:val="7"/>
  </w:num>
  <w:num w:numId="9" w16cid:durableId="1847092191">
    <w:abstractNumId w:val="2"/>
  </w:num>
  <w:num w:numId="10" w16cid:durableId="164843505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83ECD"/>
    <w:rsid w:val="0008414C"/>
    <w:rsid w:val="00091F4C"/>
    <w:rsid w:val="000A64EC"/>
    <w:rsid w:val="000B3107"/>
    <w:rsid w:val="000B3767"/>
    <w:rsid w:val="000D4380"/>
    <w:rsid w:val="00116C61"/>
    <w:rsid w:val="00126DD2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B26F1"/>
    <w:rsid w:val="001D23A0"/>
    <w:rsid w:val="001E5127"/>
    <w:rsid w:val="001E54C1"/>
    <w:rsid w:val="001E75F3"/>
    <w:rsid w:val="001F6136"/>
    <w:rsid w:val="00217CF3"/>
    <w:rsid w:val="002506BE"/>
    <w:rsid w:val="00250E5E"/>
    <w:rsid w:val="00251815"/>
    <w:rsid w:val="002848D1"/>
    <w:rsid w:val="0029403C"/>
    <w:rsid w:val="00297730"/>
    <w:rsid w:val="002A6224"/>
    <w:rsid w:val="002D4387"/>
    <w:rsid w:val="002E5744"/>
    <w:rsid w:val="0030144E"/>
    <w:rsid w:val="0030158D"/>
    <w:rsid w:val="003063C9"/>
    <w:rsid w:val="00390C0D"/>
    <w:rsid w:val="00391E0A"/>
    <w:rsid w:val="00391F87"/>
    <w:rsid w:val="003A16B9"/>
    <w:rsid w:val="003A53FB"/>
    <w:rsid w:val="003B2FAA"/>
    <w:rsid w:val="003B5B9D"/>
    <w:rsid w:val="003B6045"/>
    <w:rsid w:val="003B776C"/>
    <w:rsid w:val="003D08B6"/>
    <w:rsid w:val="003E279A"/>
    <w:rsid w:val="003F656B"/>
    <w:rsid w:val="003F72AF"/>
    <w:rsid w:val="00403677"/>
    <w:rsid w:val="00435A4C"/>
    <w:rsid w:val="004371A8"/>
    <w:rsid w:val="004423AA"/>
    <w:rsid w:val="00442C14"/>
    <w:rsid w:val="00454912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22804"/>
    <w:rsid w:val="00526D12"/>
    <w:rsid w:val="00531E8C"/>
    <w:rsid w:val="0057474E"/>
    <w:rsid w:val="00576DF9"/>
    <w:rsid w:val="00597F8A"/>
    <w:rsid w:val="005A2B0A"/>
    <w:rsid w:val="005C5724"/>
    <w:rsid w:val="005C58D8"/>
    <w:rsid w:val="005D3A9E"/>
    <w:rsid w:val="005E76E8"/>
    <w:rsid w:val="0060173B"/>
    <w:rsid w:val="006017C1"/>
    <w:rsid w:val="006032B4"/>
    <w:rsid w:val="006306D9"/>
    <w:rsid w:val="00646D7A"/>
    <w:rsid w:val="006668DA"/>
    <w:rsid w:val="0068327B"/>
    <w:rsid w:val="00695D93"/>
    <w:rsid w:val="006A5680"/>
    <w:rsid w:val="006C2E27"/>
    <w:rsid w:val="006D2F5D"/>
    <w:rsid w:val="006D3ABF"/>
    <w:rsid w:val="006E6A2F"/>
    <w:rsid w:val="006E7866"/>
    <w:rsid w:val="007016EA"/>
    <w:rsid w:val="00704890"/>
    <w:rsid w:val="00707214"/>
    <w:rsid w:val="00717678"/>
    <w:rsid w:val="00760B15"/>
    <w:rsid w:val="0076389E"/>
    <w:rsid w:val="00777399"/>
    <w:rsid w:val="00777958"/>
    <w:rsid w:val="007873C8"/>
    <w:rsid w:val="007A1F67"/>
    <w:rsid w:val="007B3083"/>
    <w:rsid w:val="007B7881"/>
    <w:rsid w:val="007C242F"/>
    <w:rsid w:val="007C257B"/>
    <w:rsid w:val="007D0EAE"/>
    <w:rsid w:val="007E2E87"/>
    <w:rsid w:val="007E33B8"/>
    <w:rsid w:val="00812F49"/>
    <w:rsid w:val="00816D36"/>
    <w:rsid w:val="00823FCA"/>
    <w:rsid w:val="00836A3A"/>
    <w:rsid w:val="008562B7"/>
    <w:rsid w:val="00865FF8"/>
    <w:rsid w:val="0087040B"/>
    <w:rsid w:val="00892CA9"/>
    <w:rsid w:val="008967EE"/>
    <w:rsid w:val="008B711F"/>
    <w:rsid w:val="008C02E5"/>
    <w:rsid w:val="008C6DFB"/>
    <w:rsid w:val="008F32E8"/>
    <w:rsid w:val="008F3891"/>
    <w:rsid w:val="0090786F"/>
    <w:rsid w:val="00915550"/>
    <w:rsid w:val="009168D8"/>
    <w:rsid w:val="009173EC"/>
    <w:rsid w:val="00922B17"/>
    <w:rsid w:val="00965B62"/>
    <w:rsid w:val="009676AF"/>
    <w:rsid w:val="00971680"/>
    <w:rsid w:val="0098531D"/>
    <w:rsid w:val="0099131B"/>
    <w:rsid w:val="009A0059"/>
    <w:rsid w:val="009A33DE"/>
    <w:rsid w:val="009B4393"/>
    <w:rsid w:val="009E3B90"/>
    <w:rsid w:val="009E6C0F"/>
    <w:rsid w:val="00A161E5"/>
    <w:rsid w:val="00A223FB"/>
    <w:rsid w:val="00A27006"/>
    <w:rsid w:val="00A35ED3"/>
    <w:rsid w:val="00A47061"/>
    <w:rsid w:val="00A57D22"/>
    <w:rsid w:val="00AB2173"/>
    <w:rsid w:val="00AB47AE"/>
    <w:rsid w:val="00AD5392"/>
    <w:rsid w:val="00AD658C"/>
    <w:rsid w:val="00AF0025"/>
    <w:rsid w:val="00AF346D"/>
    <w:rsid w:val="00AF4418"/>
    <w:rsid w:val="00B1746B"/>
    <w:rsid w:val="00B2706C"/>
    <w:rsid w:val="00B31EAA"/>
    <w:rsid w:val="00B35ECD"/>
    <w:rsid w:val="00B47A4E"/>
    <w:rsid w:val="00B61B60"/>
    <w:rsid w:val="00B625B8"/>
    <w:rsid w:val="00B62ADD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BF7F2A"/>
    <w:rsid w:val="00C8769A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4622B"/>
    <w:rsid w:val="00D67F0A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31A9B"/>
    <w:rsid w:val="00E406F6"/>
    <w:rsid w:val="00E53948"/>
    <w:rsid w:val="00E57BDA"/>
    <w:rsid w:val="00E65BC9"/>
    <w:rsid w:val="00E73320"/>
    <w:rsid w:val="00E91D9C"/>
    <w:rsid w:val="00EC1F91"/>
    <w:rsid w:val="00ED4385"/>
    <w:rsid w:val="00ED7BE5"/>
    <w:rsid w:val="00EE2639"/>
    <w:rsid w:val="00EE6ED3"/>
    <w:rsid w:val="00F022CA"/>
    <w:rsid w:val="00F27CE0"/>
    <w:rsid w:val="00F32F47"/>
    <w:rsid w:val="00F46CF2"/>
    <w:rsid w:val="00F647DC"/>
    <w:rsid w:val="00F72FD3"/>
    <w:rsid w:val="00F97363"/>
    <w:rsid w:val="00F97C22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026BCD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yperlink1">
    <w:name w:val="Hyperlink1"/>
    <w:basedOn w:val="Fontepargpadro"/>
    <w:uiPriority w:val="99"/>
    <w:unhideWhenUsed/>
    <w:rsid w:val="001E5127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E5394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tismoerealidade.org.br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esearchgate.net/publication/255621524_Desenvolvimento_motor_de_crianAas_de_idosos_e_de_pessoas_com_transtornos_da_coordenaA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squisa.bvsalud.org/portal/resource/pt/lil-481858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researchgate.net/publication/351339497_NIVEL_MOTOR_DE_ESTUDANTES_EM_UMA_ESCOLA_DA_ZONA_RURAL_DO_MUNICIPIO_DE_PICOS-P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590/S1413-65382012000300009" TargetMode="External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brunocosta@univali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7</Pages>
  <Words>2361</Words>
  <Characters>12752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bruno costa</cp:lastModifiedBy>
  <cp:revision>6</cp:revision>
  <dcterms:created xsi:type="dcterms:W3CDTF">2025-10-19T03:43:00Z</dcterms:created>
  <dcterms:modified xsi:type="dcterms:W3CDTF">2025-11-02T05:02:00Z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