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E1607" w14:textId="77777777" w:rsidR="00985AFC" w:rsidRDefault="00985AFC">
      <w:pPr>
        <w:rPr>
          <w:szCs w:val="24"/>
        </w:rPr>
      </w:pPr>
    </w:p>
    <w:p w14:paraId="26935B5F" w14:textId="77777777" w:rsidR="00985AFC" w:rsidRDefault="00985AFC">
      <w:pPr>
        <w:jc w:val="center"/>
        <w:rPr>
          <w:b/>
          <w:bCs/>
          <w:szCs w:val="24"/>
        </w:rPr>
      </w:pPr>
    </w:p>
    <w:p w14:paraId="11FCD846" w14:textId="59883D9F" w:rsidR="009D13A3" w:rsidRPr="009D13A3" w:rsidRDefault="009D13A3" w:rsidP="00D4714F">
      <w:pPr>
        <w:tabs>
          <w:tab w:val="left" w:pos="1540"/>
        </w:tabs>
        <w:ind w:firstLine="0"/>
        <w:jc w:val="center"/>
        <w:rPr>
          <w:b/>
          <w:bCs/>
          <w:szCs w:val="24"/>
        </w:rPr>
      </w:pPr>
      <w:proofErr w:type="spellStart"/>
      <w:r w:rsidRPr="009D13A3">
        <w:rPr>
          <w:b/>
          <w:bCs/>
          <w:szCs w:val="24"/>
        </w:rPr>
        <w:t>Eclâmpsia</w:t>
      </w:r>
      <w:proofErr w:type="spellEnd"/>
      <w:r w:rsidRPr="009D13A3">
        <w:rPr>
          <w:b/>
          <w:bCs/>
          <w:szCs w:val="24"/>
        </w:rPr>
        <w:t xml:space="preserve"> (Hipocalcemia Puerperal) em Cadelas: Aspectos fisiopatológicos,</w:t>
      </w:r>
    </w:p>
    <w:p w14:paraId="6D8D739D" w14:textId="2C01BBA4" w:rsidR="00985AFC" w:rsidRDefault="009D13A3" w:rsidP="00D4714F">
      <w:pPr>
        <w:tabs>
          <w:tab w:val="left" w:pos="1540"/>
        </w:tabs>
        <w:ind w:firstLine="0"/>
        <w:jc w:val="center"/>
        <w:rPr>
          <w:b/>
          <w:bCs/>
          <w:szCs w:val="24"/>
        </w:rPr>
      </w:pPr>
      <w:r w:rsidRPr="009D13A3">
        <w:rPr>
          <w:b/>
          <w:bCs/>
          <w:szCs w:val="24"/>
        </w:rPr>
        <w:t>apresentação clínica e emergência terapêutica.</w:t>
      </w:r>
    </w:p>
    <w:p w14:paraId="4DE91AD3" w14:textId="77777777" w:rsidR="009D13A3" w:rsidRDefault="009D13A3" w:rsidP="009D13A3">
      <w:pPr>
        <w:tabs>
          <w:tab w:val="left" w:pos="1540"/>
        </w:tabs>
        <w:ind w:left="-360"/>
        <w:jc w:val="center"/>
        <w:rPr>
          <w:szCs w:val="24"/>
        </w:rPr>
      </w:pPr>
    </w:p>
    <w:p w14:paraId="669936DC" w14:textId="4F19D534" w:rsidR="00985AFC" w:rsidRDefault="001249FC">
      <w:pPr>
        <w:tabs>
          <w:tab w:val="left" w:pos="1540"/>
        </w:tabs>
        <w:ind w:left="-360"/>
        <w:jc w:val="right"/>
        <w:rPr>
          <w:szCs w:val="24"/>
        </w:rPr>
      </w:pPr>
      <w:proofErr w:type="spellStart"/>
      <w:r>
        <w:rPr>
          <w:szCs w:val="24"/>
        </w:rPr>
        <w:t>Kauan</w:t>
      </w:r>
      <w:proofErr w:type="spellEnd"/>
      <w:r>
        <w:rPr>
          <w:szCs w:val="24"/>
        </w:rPr>
        <w:t xml:space="preserve"> Nicolas Soares Do Nascimento:</w:t>
      </w:r>
      <w:r>
        <w:rPr>
          <w:szCs w:val="24"/>
          <w:vertAlign w:val="superscript"/>
        </w:rPr>
        <w:footnoteReference w:id="1"/>
      </w:r>
    </w:p>
    <w:p w14:paraId="1EDA7442" w14:textId="11C345F7" w:rsidR="00985AFC" w:rsidRDefault="001249FC">
      <w:pPr>
        <w:tabs>
          <w:tab w:val="left" w:pos="2060"/>
        </w:tabs>
        <w:ind w:left="-360"/>
        <w:jc w:val="right"/>
        <w:rPr>
          <w:szCs w:val="24"/>
        </w:rPr>
      </w:pPr>
      <w:r>
        <w:rPr>
          <w:szCs w:val="24"/>
        </w:rPr>
        <w:t xml:space="preserve">Michele Maria </w:t>
      </w:r>
      <w:proofErr w:type="spellStart"/>
      <w:r>
        <w:rPr>
          <w:szCs w:val="24"/>
        </w:rPr>
        <w:t>Prudencio</w:t>
      </w:r>
      <w:proofErr w:type="spellEnd"/>
      <w:r>
        <w:rPr>
          <w:szCs w:val="24"/>
        </w:rPr>
        <w:t xml:space="preserve"> da Rocha:</w:t>
      </w:r>
      <w:r w:rsidRPr="001249FC">
        <w:rPr>
          <w:szCs w:val="24"/>
          <w:vertAlign w:val="superscript"/>
        </w:rPr>
        <w:t>2</w:t>
      </w:r>
    </w:p>
    <w:p w14:paraId="5DD7156B" w14:textId="0B5FD732" w:rsidR="00985AFC" w:rsidRDefault="001249FC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  <w:r w:rsidRPr="001249FC">
        <w:rPr>
          <w:szCs w:val="24"/>
        </w:rPr>
        <w:t>Paloma Medeiros Ferreira</w:t>
      </w:r>
      <w:r>
        <w:rPr>
          <w:szCs w:val="24"/>
        </w:rPr>
        <w:t>:</w:t>
      </w:r>
      <w:r w:rsidRPr="001249FC">
        <w:rPr>
          <w:szCs w:val="24"/>
          <w:vertAlign w:val="superscript"/>
        </w:rPr>
        <w:t>3</w:t>
      </w:r>
    </w:p>
    <w:p w14:paraId="63337C09" w14:textId="17C3E467" w:rsidR="00985AFC" w:rsidRDefault="001249FC">
      <w:pPr>
        <w:tabs>
          <w:tab w:val="left" w:pos="2060"/>
          <w:tab w:val="left" w:pos="7240"/>
        </w:tabs>
        <w:ind w:left="-360"/>
        <w:jc w:val="right"/>
        <w:rPr>
          <w:szCs w:val="24"/>
          <w:vertAlign w:val="superscript"/>
        </w:rPr>
      </w:pPr>
      <w:proofErr w:type="spellStart"/>
      <w:r w:rsidRPr="001249FC">
        <w:rPr>
          <w:szCs w:val="24"/>
        </w:rPr>
        <w:t>Vicentede</w:t>
      </w:r>
      <w:proofErr w:type="spellEnd"/>
      <w:r w:rsidR="00613ACE">
        <w:rPr>
          <w:szCs w:val="24"/>
        </w:rPr>
        <w:t xml:space="preserve"> </w:t>
      </w:r>
      <w:r w:rsidRPr="001249FC">
        <w:rPr>
          <w:szCs w:val="24"/>
        </w:rPr>
        <w:t>Paula</w:t>
      </w:r>
      <w:r w:rsidR="00613ACE">
        <w:rPr>
          <w:szCs w:val="24"/>
        </w:rPr>
        <w:t xml:space="preserve"> </w:t>
      </w:r>
      <w:r w:rsidRPr="001249FC">
        <w:rPr>
          <w:szCs w:val="24"/>
        </w:rPr>
        <w:t>Fernandes</w:t>
      </w:r>
      <w:r w:rsidR="00613ACE">
        <w:rPr>
          <w:szCs w:val="24"/>
        </w:rPr>
        <w:t xml:space="preserve"> </w:t>
      </w:r>
      <w:r w:rsidRPr="001249FC">
        <w:rPr>
          <w:szCs w:val="24"/>
        </w:rPr>
        <w:t>Neto</w:t>
      </w:r>
      <w:r>
        <w:rPr>
          <w:szCs w:val="24"/>
        </w:rPr>
        <w:t>:</w:t>
      </w:r>
      <w:r w:rsidRPr="001249FC">
        <w:rPr>
          <w:szCs w:val="24"/>
          <w:vertAlign w:val="superscript"/>
        </w:rPr>
        <w:t>4</w:t>
      </w:r>
    </w:p>
    <w:p w14:paraId="3C7D0A66" w14:textId="77777777" w:rsidR="009D13A3" w:rsidRDefault="009D13A3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</w:p>
    <w:p w14:paraId="0022105E" w14:textId="77777777" w:rsidR="002F6D6C" w:rsidRDefault="002F6D6C">
      <w:pPr>
        <w:tabs>
          <w:tab w:val="left" w:pos="2060"/>
          <w:tab w:val="left" w:pos="7240"/>
        </w:tabs>
        <w:ind w:left="-360"/>
        <w:jc w:val="right"/>
        <w:rPr>
          <w:szCs w:val="24"/>
        </w:rPr>
      </w:pPr>
    </w:p>
    <w:p w14:paraId="492A4EEB" w14:textId="77777777" w:rsidR="00985AFC" w:rsidRDefault="00613ACE" w:rsidP="002F6D6C">
      <w:pPr>
        <w:ind w:firstLine="0"/>
        <w:jc w:val="center"/>
        <w:rPr>
          <w:szCs w:val="24"/>
        </w:rPr>
      </w:pPr>
      <w:r>
        <w:rPr>
          <w:b/>
          <w:bCs/>
          <w:szCs w:val="24"/>
        </w:rPr>
        <w:t>RESUMO</w:t>
      </w:r>
    </w:p>
    <w:p w14:paraId="7E850CC9" w14:textId="7BA6724B" w:rsidR="00985AFC" w:rsidRDefault="00B34596" w:rsidP="00B34596">
      <w:pPr>
        <w:ind w:firstLine="0"/>
        <w:jc w:val="left"/>
        <w:rPr>
          <w:b/>
          <w:bCs/>
          <w:szCs w:val="24"/>
        </w:rPr>
      </w:pPr>
      <w:r w:rsidRPr="00B34596">
        <w:rPr>
          <w:szCs w:val="24"/>
        </w:rPr>
        <w:t xml:space="preserve">A hipocalcemia puerperal é uma </w:t>
      </w:r>
      <w:r w:rsidR="00613ACE" w:rsidRPr="00B34596">
        <w:rPr>
          <w:szCs w:val="24"/>
        </w:rPr>
        <w:t>doença caracterizada</w:t>
      </w:r>
      <w:r w:rsidRPr="00B34596">
        <w:rPr>
          <w:szCs w:val="24"/>
        </w:rPr>
        <w:t xml:space="preserve"> pela diminuição da quantidade de cálcio que circula no </w:t>
      </w:r>
      <w:r w:rsidR="00613ACE" w:rsidRPr="00B34596">
        <w:rPr>
          <w:szCs w:val="24"/>
        </w:rPr>
        <w:t>sangue,</w:t>
      </w:r>
      <w:r w:rsidRPr="00B34596">
        <w:rPr>
          <w:szCs w:val="24"/>
        </w:rPr>
        <w:t xml:space="preserve"> que acomode principalmente cadelas no período do parte ou pós parte nas </w:t>
      </w:r>
      <w:r w:rsidR="00613ACE" w:rsidRPr="00B34596">
        <w:rPr>
          <w:szCs w:val="24"/>
        </w:rPr>
        <w:t>cadelas.</w:t>
      </w:r>
      <w:r w:rsidRPr="00B34596">
        <w:rPr>
          <w:szCs w:val="24"/>
        </w:rPr>
        <w:t xml:space="preserve"> Os animais mais acometidos são aqueles que possuem ninhadas </w:t>
      </w:r>
      <w:bookmarkStart w:id="0" w:name="_GoBack"/>
      <w:bookmarkEnd w:id="0"/>
      <w:r w:rsidR="00613ACE" w:rsidRPr="00B34596">
        <w:rPr>
          <w:szCs w:val="24"/>
        </w:rPr>
        <w:t>numerosas,</w:t>
      </w:r>
      <w:r w:rsidRPr="00B34596">
        <w:rPr>
          <w:szCs w:val="24"/>
        </w:rPr>
        <w:t xml:space="preserve"> que tem alimentação desbalanceado, estado nutricional </w:t>
      </w:r>
      <w:proofErr w:type="gramStart"/>
      <w:r w:rsidRPr="00B34596">
        <w:rPr>
          <w:szCs w:val="24"/>
        </w:rPr>
        <w:t>inadequado ,</w:t>
      </w:r>
      <w:proofErr w:type="gramEnd"/>
      <w:r w:rsidRPr="00B34596">
        <w:rPr>
          <w:szCs w:val="24"/>
        </w:rPr>
        <w:t xml:space="preserve"> deixando-os mais predisposto a essa afecção . Os sintomas mais comuns são tremores musculares, </w:t>
      </w:r>
      <w:proofErr w:type="gramStart"/>
      <w:r w:rsidRPr="00B34596">
        <w:rPr>
          <w:szCs w:val="24"/>
        </w:rPr>
        <w:t>inquietação ,</w:t>
      </w:r>
      <w:proofErr w:type="gramEnd"/>
      <w:r w:rsidRPr="00B34596">
        <w:rPr>
          <w:szCs w:val="24"/>
        </w:rPr>
        <w:t xml:space="preserve"> </w:t>
      </w:r>
      <w:proofErr w:type="spellStart"/>
      <w:r w:rsidRPr="00B34596">
        <w:rPr>
          <w:szCs w:val="24"/>
        </w:rPr>
        <w:t>incoordenação</w:t>
      </w:r>
      <w:proofErr w:type="spellEnd"/>
      <w:r w:rsidRPr="00B34596">
        <w:rPr>
          <w:szCs w:val="24"/>
        </w:rPr>
        <w:t xml:space="preserve"> motora , rigidez que comprometem o bem estar animal . </w:t>
      </w:r>
      <w:r w:rsidR="007A566B" w:rsidRPr="00B34596">
        <w:rPr>
          <w:szCs w:val="24"/>
        </w:rPr>
        <w:t>A reposição dos níveis de cálcio no organismo corresponde</w:t>
      </w:r>
      <w:r w:rsidRPr="00B34596">
        <w:rPr>
          <w:szCs w:val="24"/>
        </w:rPr>
        <w:t xml:space="preserve"> a principal terapêutica para resolução desse caso</w:t>
      </w:r>
      <w:r w:rsidRPr="00B34596">
        <w:rPr>
          <w:i/>
          <w:iCs/>
          <w:szCs w:val="24"/>
        </w:rPr>
        <w:t>.</w:t>
      </w:r>
    </w:p>
    <w:p w14:paraId="514871EE" w14:textId="7A83CE75" w:rsidR="00985AFC" w:rsidRDefault="00613ACE" w:rsidP="00D4714F">
      <w:pPr>
        <w:ind w:firstLine="0"/>
        <w:rPr>
          <w:i/>
          <w:iCs/>
          <w:szCs w:val="24"/>
        </w:rPr>
      </w:pPr>
      <w:r>
        <w:rPr>
          <w:b/>
          <w:bCs/>
          <w:szCs w:val="24"/>
        </w:rPr>
        <w:t xml:space="preserve">Palavras-chave: </w:t>
      </w:r>
      <w:proofErr w:type="gramStart"/>
      <w:r w:rsidR="00B34596">
        <w:rPr>
          <w:szCs w:val="24"/>
        </w:rPr>
        <w:t>Cálcio</w:t>
      </w:r>
      <w:r>
        <w:rPr>
          <w:szCs w:val="24"/>
        </w:rPr>
        <w:t>.</w:t>
      </w:r>
      <w:r w:rsidR="00B34596">
        <w:rPr>
          <w:szCs w:val="24"/>
        </w:rPr>
        <w:t>;</w:t>
      </w:r>
      <w:proofErr w:type="gramEnd"/>
      <w:r w:rsidR="00B34596">
        <w:rPr>
          <w:szCs w:val="24"/>
        </w:rPr>
        <w:t xml:space="preserve"> Sintomas; </w:t>
      </w:r>
      <w:r w:rsidR="007A566B">
        <w:rPr>
          <w:szCs w:val="24"/>
        </w:rPr>
        <w:t>Terapêutica</w:t>
      </w:r>
      <w:r w:rsidR="00B34596">
        <w:rPr>
          <w:szCs w:val="24"/>
        </w:rPr>
        <w:t xml:space="preserve"> ; </w:t>
      </w:r>
      <w:r w:rsidR="007A566B">
        <w:rPr>
          <w:szCs w:val="24"/>
        </w:rPr>
        <w:t>Parto;</w:t>
      </w:r>
      <w:r w:rsidR="00B34596">
        <w:rPr>
          <w:szCs w:val="24"/>
        </w:rPr>
        <w:t xml:space="preserve"> Pós-parto.</w:t>
      </w:r>
    </w:p>
    <w:p w14:paraId="63479B7D" w14:textId="77777777" w:rsidR="00985AFC" w:rsidRDefault="00985AFC">
      <w:pPr>
        <w:rPr>
          <w:szCs w:val="24"/>
        </w:rPr>
      </w:pPr>
    </w:p>
    <w:p w14:paraId="327DE965" w14:textId="35DA8FA9" w:rsidR="00D4714F" w:rsidRPr="002F6D6C" w:rsidRDefault="00613ACE" w:rsidP="003E5557">
      <w:pPr>
        <w:rPr>
          <w:szCs w:val="24"/>
        </w:rPr>
      </w:pPr>
      <w:bookmarkStart w:id="1" w:name="f5vk82do5j7i" w:colFirst="0" w:colLast="0"/>
      <w:bookmarkEnd w:id="1"/>
      <w:r>
        <w:rPr>
          <w:b/>
          <w:bCs/>
          <w:szCs w:val="24"/>
        </w:rPr>
        <w:t>1 INTRODUÇÃO</w:t>
      </w:r>
    </w:p>
    <w:p w14:paraId="1470FBA3" w14:textId="47C02CA7" w:rsidR="008B24BA" w:rsidRPr="008B24BA" w:rsidRDefault="008B24BA" w:rsidP="003E5557">
      <w:r w:rsidRPr="008B24BA">
        <w:t xml:space="preserve">A hipocalcemia puerperal, também conhecida como </w:t>
      </w:r>
      <w:proofErr w:type="spellStart"/>
      <w:r w:rsidRPr="008B24BA">
        <w:t>eclâmpsia</w:t>
      </w:r>
      <w:proofErr w:type="spellEnd"/>
      <w:r w:rsidRPr="008B24BA">
        <w:t xml:space="preserve"> ou </w:t>
      </w:r>
      <w:proofErr w:type="spellStart"/>
      <w:r w:rsidRPr="008B24BA">
        <w:t>tetania</w:t>
      </w:r>
      <w:proofErr w:type="spellEnd"/>
      <w:r w:rsidRPr="008B24BA">
        <w:t xml:space="preserve"> puerperal, é uma afecção metabólica caracterizada pela redução dos níveis séricos de cálcio, especialmente do cálcio ionizado, em cadelas durante o período </w:t>
      </w:r>
      <w:proofErr w:type="spellStart"/>
      <w:r w:rsidRPr="008B24BA">
        <w:t>periparto</w:t>
      </w:r>
      <w:proofErr w:type="spellEnd"/>
      <w:r w:rsidRPr="008B24BA">
        <w:t>, principalmente no pós-parto e durante a lactação. A condição está relacionada à elevada demanda de cálcio para a produção de leite, podendo causar alterações neuromusculares importantes e evoluir rapidamente para um quadro grave, sendo considerada uma emergência na clínica veterinária (M</w:t>
      </w:r>
      <w:r w:rsidR="007A566B">
        <w:t>endes</w:t>
      </w:r>
      <w:r w:rsidRPr="008B24BA">
        <w:t xml:space="preserve"> et al., 2024).</w:t>
      </w:r>
    </w:p>
    <w:p w14:paraId="4D726100" w14:textId="06934CEB" w:rsidR="008B24BA" w:rsidRPr="008B24BA" w:rsidRDefault="008B24BA" w:rsidP="003E5557">
      <w:r w:rsidRPr="008B24BA">
        <w:t>O cálcio é um mineral essencial para diversas funções do organismo e apresenta papel importante durante a gestação e, principalmente, durante a lactação. Nesse período, a necessidade de cálcio aumenta devido à sua utilização na produção de leite. Quando a disponibilidade do mineral não é suficiente para atender à demanda do organismo, ocorre redução dos níveis séricos de cálcio, favorecendo o desenvolvimento da hipocalcemia puerperal. Essa alteração pode comprometer a função neuromuscular da fêmea e, quando não identificada e tratada rapidamente, pode evoluir para manifestações clínicas graves (M</w:t>
      </w:r>
      <w:r w:rsidR="007A566B">
        <w:t>endonça</w:t>
      </w:r>
      <w:r w:rsidRPr="008B24BA">
        <w:t>, 2021).</w:t>
      </w:r>
    </w:p>
    <w:p w14:paraId="38000D19" w14:textId="51EFAFB2" w:rsidR="008B24BA" w:rsidRPr="008B24BA" w:rsidRDefault="008B24BA" w:rsidP="003E5557">
      <w:r w:rsidRPr="008B24BA">
        <w:t xml:space="preserve">Os sinais clínicos estão relacionados principalmente ao aumento da excitabilidade neuromuscular provocado pela redução do cálcio sérico. Inicialmente, a cadela pode apresentar inquietação, nervosismo, tremores musculares e </w:t>
      </w:r>
      <w:proofErr w:type="spellStart"/>
      <w:r w:rsidRPr="008B24BA">
        <w:t>fasciculações</w:t>
      </w:r>
      <w:proofErr w:type="spellEnd"/>
      <w:r w:rsidRPr="008B24BA">
        <w:t xml:space="preserve">, principalmente na região facial e auricular. Com a progressão do quadro, podem surgir rigidez, </w:t>
      </w:r>
      <w:proofErr w:type="spellStart"/>
      <w:r w:rsidRPr="008B24BA">
        <w:t>incoordenação</w:t>
      </w:r>
      <w:proofErr w:type="spellEnd"/>
      <w:r w:rsidRPr="008B24BA">
        <w:t xml:space="preserve">, </w:t>
      </w:r>
      <w:proofErr w:type="spellStart"/>
      <w:r w:rsidRPr="008B24BA">
        <w:t>tetania</w:t>
      </w:r>
      <w:proofErr w:type="spellEnd"/>
      <w:r w:rsidRPr="008B24BA">
        <w:t xml:space="preserve"> e contrações musculares mais intensas. Em casos graves, podem ocorrer convulsões, hipertermia decorrente da atividade muscular excessiva, redução do apetite e da produção de leite, além de paresia, decúbito, coma e até morte (</w:t>
      </w:r>
      <w:r w:rsidR="007A566B">
        <w:t xml:space="preserve">Carvalho </w:t>
      </w:r>
      <w:r w:rsidRPr="008B24BA">
        <w:t>M</w:t>
      </w:r>
      <w:r w:rsidR="007A566B">
        <w:t>oraes</w:t>
      </w:r>
      <w:r w:rsidRPr="008B24BA">
        <w:t xml:space="preserve"> et al., 2023).</w:t>
      </w:r>
    </w:p>
    <w:p w14:paraId="75035896" w14:textId="77777777" w:rsidR="008B24BA" w:rsidRPr="008B24BA" w:rsidRDefault="008B24BA" w:rsidP="003E5557">
      <w:r w:rsidRPr="008B24BA">
        <w:t xml:space="preserve">Por apresentar evolução rápida e potencialmente grave, o diagnóstico e o tratamento da hipocalcemia puerperal devem ser realizados de forma imediata. A terapia baseia-se principalmente na reposição de cálcio, geralmente por via intravenosa lenta, com monitoramento da frequência e do ritmo cardíaco devido ao risco de alterações cardíacas durante a administração. Após a estabilização da fêmea, </w:t>
      </w:r>
      <w:r w:rsidRPr="008B24BA">
        <w:lastRenderedPageBreak/>
        <w:t>pode ser necessária a suplementação oral de cálcio e a adoção de medidas para reduzir temporariamente a demanda de cálcio durante a lactação (HALL, 2025). Diante da importância dessa afecção na clínica de pequenos animais, o presente artigo tem como objetivo abordar os principais aspectos fisiopatológicos da hipocalcemia puerperal em cadelas, destacando sua apresentação clínica, diagnóstico e importância do atendimento emergencial, bem como as principais medidas terapêuticas utilizadas na estabilização das pacientes.</w:t>
      </w:r>
    </w:p>
    <w:p w14:paraId="4F18D5AE" w14:textId="77777777" w:rsidR="00985AFC" w:rsidRDefault="00985AFC">
      <w:pPr>
        <w:rPr>
          <w:b/>
          <w:bCs/>
          <w:szCs w:val="24"/>
        </w:rPr>
      </w:pPr>
    </w:p>
    <w:p w14:paraId="3BADE785" w14:textId="77777777" w:rsidR="00F968D1" w:rsidRDefault="00F968D1">
      <w:pPr>
        <w:rPr>
          <w:b/>
          <w:bCs/>
          <w:szCs w:val="24"/>
        </w:rPr>
      </w:pPr>
      <w:r>
        <w:rPr>
          <w:b/>
          <w:bCs/>
          <w:szCs w:val="24"/>
        </w:rPr>
        <w:t>2 REFERENCIAL TEÓRICO</w:t>
      </w:r>
    </w:p>
    <w:p w14:paraId="67496C12" w14:textId="77777777" w:rsidR="00941E94" w:rsidRDefault="00941E94">
      <w:pPr>
        <w:rPr>
          <w:b/>
          <w:bCs/>
          <w:szCs w:val="24"/>
        </w:rPr>
      </w:pPr>
    </w:p>
    <w:p w14:paraId="1DDCE134" w14:textId="3DB857EA" w:rsidR="00941E94" w:rsidRDefault="00941E94">
      <w:pPr>
        <w:rPr>
          <w:b/>
          <w:bCs/>
          <w:szCs w:val="24"/>
        </w:rPr>
      </w:pPr>
      <w:r>
        <w:rPr>
          <w:b/>
          <w:bCs/>
          <w:szCs w:val="24"/>
        </w:rPr>
        <w:t>2.1 FORMAS DE APRESENTAÇÃO E DEMANDA DO CÁLCIO NA GESTAÇÃO E LACTAÇÃO</w:t>
      </w:r>
    </w:p>
    <w:p w14:paraId="3FAA6D09" w14:textId="77777777" w:rsidR="00F968D1" w:rsidRDefault="00F968D1" w:rsidP="003E5557">
      <w:pPr>
        <w:rPr>
          <w:rFonts w:eastAsia="Calibri"/>
          <w:lang w:eastAsia="en-US"/>
        </w:rPr>
      </w:pPr>
      <w:r w:rsidRPr="00F968D1">
        <w:rPr>
          <w:rFonts w:eastAsia="Calibri"/>
          <w:lang w:eastAsia="en-US"/>
        </w:rPr>
        <w:t xml:space="preserve">A maior parte da reserva corporal de cálcio é armazenada na matriz óssea, enquanto uma pequena parte circula na corrente sanguínea, separada em três formas: ligado a proteínas, complexado a ânions e a fração livre ou ionizada, sendo a última, a forma ativa no metabolismo (Carvalho Moraes et al., 2023). Durante a gestação, principalmente na faze de amamentação, ocorre um aumento por cálcio ionizado, com o intuito de fornecer a mineralização do esqueleto fetal e a síntese de colostro e leite (Araújo, 2021). </w:t>
      </w:r>
    </w:p>
    <w:p w14:paraId="0315BF56" w14:textId="77777777" w:rsidR="008F153F" w:rsidRDefault="008F153F" w:rsidP="003E5557">
      <w:pPr>
        <w:rPr>
          <w:rFonts w:eastAsia="Calibri"/>
          <w:lang w:eastAsia="en-US"/>
        </w:rPr>
      </w:pPr>
    </w:p>
    <w:p w14:paraId="6CAA49F2" w14:textId="77777777" w:rsidR="008F153F" w:rsidRPr="00941E94" w:rsidRDefault="008F153F" w:rsidP="008F153F">
      <w:pPr>
        <w:ind w:firstLine="709"/>
        <w:rPr>
          <w:rFonts w:eastAsia="Calibri"/>
          <w:b/>
          <w:bCs/>
          <w:lang w:eastAsia="en-US"/>
        </w:rPr>
      </w:pPr>
      <w:r w:rsidRPr="00941E94">
        <w:rPr>
          <w:rFonts w:eastAsia="Calibri"/>
          <w:b/>
          <w:bCs/>
          <w:lang w:eastAsia="en-US"/>
        </w:rPr>
        <w:t>2.3 ETIOLOGIA DO EQUILÍBRIO MINERAL NA LACTAÇÃO</w:t>
      </w:r>
    </w:p>
    <w:p w14:paraId="5BE3C48B" w14:textId="77777777" w:rsidR="008F153F" w:rsidRPr="00F968D1" w:rsidRDefault="008F153F" w:rsidP="008F153F">
      <w:pPr>
        <w:rPr>
          <w:rFonts w:eastAsia="Calibri"/>
          <w:lang w:eastAsia="en-US"/>
        </w:rPr>
      </w:pPr>
      <w:r w:rsidRPr="00F968D1">
        <w:rPr>
          <w:rFonts w:eastAsia="Calibri"/>
          <w:lang w:eastAsia="en-US"/>
        </w:rPr>
        <w:t>O início dessa alteração acontece pelo fato da intensa e rápida perda de cálcio por meio do leite, que supera a capacidade fisiológica de mobilização das reservas ósseas e de reabsorção intestinal do mineral pela fêmea (</w:t>
      </w:r>
      <w:r>
        <w:rPr>
          <w:rFonts w:eastAsia="Calibri"/>
          <w:lang w:eastAsia="en-US"/>
        </w:rPr>
        <w:t xml:space="preserve">Carvalho </w:t>
      </w:r>
      <w:r w:rsidRPr="00F968D1">
        <w:rPr>
          <w:rFonts w:eastAsia="Calibri"/>
          <w:lang w:eastAsia="en-US"/>
        </w:rPr>
        <w:t>Moraes et al., 2023).</w:t>
      </w:r>
    </w:p>
    <w:p w14:paraId="0FF725E1" w14:textId="77777777" w:rsidR="00941E94" w:rsidRDefault="00941E94" w:rsidP="003E5557">
      <w:pPr>
        <w:rPr>
          <w:rFonts w:eastAsia="Calibri"/>
          <w:lang w:eastAsia="en-US"/>
        </w:rPr>
      </w:pPr>
    </w:p>
    <w:p w14:paraId="774B3181" w14:textId="1C4224FC" w:rsidR="00941E94" w:rsidRPr="00941E94" w:rsidRDefault="00941E94" w:rsidP="003E5557">
      <w:pPr>
        <w:rPr>
          <w:rFonts w:eastAsia="Calibri"/>
          <w:b/>
          <w:bCs/>
          <w:lang w:eastAsia="en-US"/>
        </w:rPr>
      </w:pPr>
      <w:r w:rsidRPr="00941E94">
        <w:rPr>
          <w:rFonts w:eastAsia="Calibri"/>
          <w:b/>
          <w:bCs/>
          <w:lang w:eastAsia="en-US"/>
        </w:rPr>
        <w:t xml:space="preserve">2.2 MANEJO NUTRICIONAL PRÉ-PARTO E </w:t>
      </w:r>
      <w:r w:rsidR="008F153F" w:rsidRPr="00941E94">
        <w:rPr>
          <w:rFonts w:eastAsia="Calibri"/>
          <w:b/>
          <w:bCs/>
          <w:lang w:eastAsia="en-US"/>
        </w:rPr>
        <w:t>FATORES DE</w:t>
      </w:r>
      <w:r w:rsidRPr="00941E94">
        <w:rPr>
          <w:rFonts w:eastAsia="Calibri"/>
          <w:b/>
          <w:bCs/>
          <w:lang w:eastAsia="en-US"/>
        </w:rPr>
        <w:t xml:space="preserve"> RISCO PREDITIVOS</w:t>
      </w:r>
    </w:p>
    <w:p w14:paraId="0825BB2E" w14:textId="46EFFCA6" w:rsidR="00F968D1" w:rsidRDefault="00F968D1" w:rsidP="003E5557">
      <w:pPr>
        <w:rPr>
          <w:rFonts w:eastAsia="Calibri"/>
          <w:lang w:eastAsia="en-US"/>
        </w:rPr>
      </w:pPr>
      <w:r w:rsidRPr="00F968D1">
        <w:rPr>
          <w:rFonts w:eastAsia="Calibri"/>
          <w:lang w:eastAsia="en-US"/>
        </w:rPr>
        <w:t xml:space="preserve">A suplementação em excesso de cálcio durante a gestação atua como um dos principais erros nutricionais e fatores predisponentes no </w:t>
      </w:r>
      <w:proofErr w:type="spellStart"/>
      <w:r w:rsidRPr="00F968D1">
        <w:rPr>
          <w:rFonts w:eastAsia="Calibri"/>
          <w:lang w:eastAsia="en-US"/>
        </w:rPr>
        <w:t>pré-parto</w:t>
      </w:r>
      <w:proofErr w:type="spellEnd"/>
      <w:r w:rsidRPr="00F968D1">
        <w:rPr>
          <w:rFonts w:eastAsia="Calibri"/>
          <w:lang w:eastAsia="en-US"/>
        </w:rPr>
        <w:t xml:space="preserve">. De acordo com </w:t>
      </w:r>
      <w:r w:rsidRPr="00F968D1">
        <w:rPr>
          <w:rFonts w:eastAsia="Calibri"/>
          <w:lang w:eastAsia="en-US"/>
        </w:rPr>
        <w:lastRenderedPageBreak/>
        <w:t xml:space="preserve">Mendes </w:t>
      </w:r>
      <w:r w:rsidR="007A566B" w:rsidRPr="00F968D1">
        <w:rPr>
          <w:rFonts w:eastAsia="Calibri"/>
          <w:lang w:eastAsia="en-US"/>
        </w:rPr>
        <w:t>et al</w:t>
      </w:r>
      <w:r w:rsidR="007A566B">
        <w:rPr>
          <w:rFonts w:eastAsia="Calibri"/>
          <w:lang w:eastAsia="en-US"/>
        </w:rPr>
        <w:t xml:space="preserve"> (</w:t>
      </w:r>
      <w:r w:rsidRPr="00F968D1">
        <w:rPr>
          <w:rFonts w:eastAsia="Calibri"/>
          <w:lang w:eastAsia="en-US"/>
        </w:rPr>
        <w:t>2024, p. 5), a administração inadequada do mineral na gestação "promove a regulação negativa do PTH</w:t>
      </w:r>
      <w:r>
        <w:rPr>
          <w:rFonts w:eastAsia="Calibri"/>
          <w:lang w:eastAsia="en-US"/>
        </w:rPr>
        <w:t xml:space="preserve"> (</w:t>
      </w:r>
      <w:r w:rsidR="006B4B0B">
        <w:rPr>
          <w:rFonts w:eastAsia="Calibri"/>
          <w:lang w:eastAsia="en-US"/>
        </w:rPr>
        <w:t xml:space="preserve">Paratormônio) </w:t>
      </w:r>
      <w:r w:rsidR="006B4B0B" w:rsidRPr="00F968D1">
        <w:rPr>
          <w:rFonts w:eastAsia="Calibri"/>
          <w:lang w:eastAsia="en-US"/>
        </w:rPr>
        <w:t>e</w:t>
      </w:r>
      <w:r w:rsidRPr="00F968D1">
        <w:rPr>
          <w:rFonts w:eastAsia="Calibri"/>
          <w:lang w:eastAsia="en-US"/>
        </w:rPr>
        <w:t xml:space="preserve"> comprometimento da resposta às necessidades de mobilização de cálcio durante a lactação", assim, interrompendo temporariamente a capacidade da paratireoide de mobilizar o cálcio do osso quando surge a demanda repentina pós-parto. Outrossim, fêmeas de raças de pequeno porte e cadelas primíparas que amamentam ninhadas numerosas apresentam maior ocorrência para o desenvolvimento do quadro (Mendes et al., 2024). </w:t>
      </w:r>
    </w:p>
    <w:p w14:paraId="3C57DE5D" w14:textId="1E61EC35" w:rsidR="0098149F" w:rsidRDefault="0098149F" w:rsidP="0098149F">
      <w:pPr>
        <w:jc w:val="center"/>
        <w:rPr>
          <w:rFonts w:eastAsia="Calibri"/>
          <w:sz w:val="20"/>
          <w:szCs w:val="20"/>
          <w:lang w:eastAsia="en-US"/>
        </w:rPr>
      </w:pPr>
      <w:r w:rsidRPr="0098149F">
        <w:rPr>
          <w:rFonts w:eastAsia="Calibri"/>
          <w:sz w:val="20"/>
          <w:szCs w:val="20"/>
          <w:lang w:eastAsia="en-US"/>
        </w:rPr>
        <w:t>Figura 1. Recomendações nutricionais de cálcio em cada g/1000 kcal de energia metabolizável de alimento, considerando a kcal empregada no cálculo da NEM e de cada fase de cães e de gatos.</w:t>
      </w:r>
    </w:p>
    <w:p w14:paraId="23171541" w14:textId="77777777" w:rsidR="0098149F" w:rsidRDefault="0098149F" w:rsidP="0098149F">
      <w:pPr>
        <w:jc w:val="center"/>
        <w:rPr>
          <w:rFonts w:eastAsia="Calibri"/>
          <w:sz w:val="20"/>
          <w:szCs w:val="20"/>
          <w:lang w:eastAsia="en-US"/>
        </w:rPr>
      </w:pPr>
    </w:p>
    <w:tbl>
      <w:tblPr>
        <w:tblStyle w:val="TabeladeGradeClara"/>
        <w:tblW w:w="0" w:type="auto"/>
        <w:tblInd w:w="-147" w:type="dxa"/>
        <w:tblLook w:val="04A0" w:firstRow="1" w:lastRow="0" w:firstColumn="1" w:lastColumn="0" w:noHBand="0" w:noVBand="1"/>
      </w:tblPr>
      <w:tblGrid>
        <w:gridCol w:w="829"/>
        <w:gridCol w:w="1017"/>
        <w:gridCol w:w="1251"/>
        <w:gridCol w:w="1251"/>
        <w:gridCol w:w="1215"/>
        <w:gridCol w:w="1215"/>
        <w:gridCol w:w="1215"/>
        <w:gridCol w:w="1215"/>
      </w:tblGrid>
      <w:tr w:rsidR="0098149F" w:rsidRPr="0098149F" w14:paraId="0636EDC0" w14:textId="77777777" w:rsidTr="0098149F">
        <w:trPr>
          <w:trHeight w:val="548"/>
        </w:trPr>
        <w:tc>
          <w:tcPr>
            <w:tcW w:w="1276" w:type="dxa"/>
            <w:hideMark/>
          </w:tcPr>
          <w:p w14:paraId="156D2479" w14:textId="77777777" w:rsidR="0098149F" w:rsidRPr="0098149F" w:rsidRDefault="0098149F" w:rsidP="0098149F">
            <w:pPr>
              <w:spacing w:line="240" w:lineRule="auto"/>
              <w:ind w:firstLine="0"/>
              <w:jc w:val="center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Espécie</w:t>
            </w:r>
          </w:p>
        </w:tc>
        <w:tc>
          <w:tcPr>
            <w:tcW w:w="570" w:type="dxa"/>
            <w:hideMark/>
          </w:tcPr>
          <w:p w14:paraId="171CF4E6" w14:textId="77777777" w:rsidR="0098149F" w:rsidRPr="0098149F" w:rsidRDefault="0098149F" w:rsidP="0098149F">
            <w:pPr>
              <w:spacing w:line="240" w:lineRule="auto"/>
              <w:ind w:firstLine="0"/>
              <w:jc w:val="center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Parâmetro</w:t>
            </w:r>
          </w:p>
        </w:tc>
        <w:tc>
          <w:tcPr>
            <w:tcW w:w="0" w:type="auto"/>
            <w:hideMark/>
          </w:tcPr>
          <w:p w14:paraId="4CEBE535" w14:textId="77777777" w:rsidR="0098149F" w:rsidRPr="0098149F" w:rsidRDefault="0098149F" w:rsidP="0098149F">
            <w:pPr>
              <w:spacing w:line="240" w:lineRule="auto"/>
              <w:ind w:firstLine="0"/>
              <w:jc w:val="center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Crescimento: Inicial</w:t>
            </w:r>
          </w:p>
        </w:tc>
        <w:tc>
          <w:tcPr>
            <w:tcW w:w="0" w:type="auto"/>
            <w:hideMark/>
          </w:tcPr>
          <w:p w14:paraId="10C5114D" w14:textId="77777777" w:rsidR="0098149F" w:rsidRPr="0098149F" w:rsidRDefault="0098149F" w:rsidP="0098149F">
            <w:pPr>
              <w:spacing w:line="240" w:lineRule="auto"/>
              <w:ind w:firstLine="0"/>
              <w:jc w:val="center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Crescimento: Final</w:t>
            </w:r>
          </w:p>
        </w:tc>
        <w:tc>
          <w:tcPr>
            <w:tcW w:w="0" w:type="auto"/>
            <w:hideMark/>
          </w:tcPr>
          <w:p w14:paraId="733571CA" w14:textId="77777777" w:rsidR="0098149F" w:rsidRPr="0098149F" w:rsidRDefault="0098149F" w:rsidP="0098149F">
            <w:pPr>
              <w:spacing w:line="240" w:lineRule="auto"/>
              <w:ind w:firstLine="0"/>
              <w:jc w:val="center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Manutenção: 75 kcal</w:t>
            </w:r>
          </w:p>
        </w:tc>
        <w:tc>
          <w:tcPr>
            <w:tcW w:w="0" w:type="auto"/>
            <w:hideMark/>
          </w:tcPr>
          <w:p w14:paraId="645B42C6" w14:textId="77777777" w:rsidR="0098149F" w:rsidRPr="0098149F" w:rsidRDefault="0098149F" w:rsidP="0098149F">
            <w:pPr>
              <w:spacing w:line="240" w:lineRule="auto"/>
              <w:ind w:firstLine="0"/>
              <w:jc w:val="center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Manutenção: 95 kcal</w:t>
            </w:r>
          </w:p>
        </w:tc>
        <w:tc>
          <w:tcPr>
            <w:tcW w:w="0" w:type="auto"/>
            <w:hideMark/>
          </w:tcPr>
          <w:p w14:paraId="1C1D9174" w14:textId="77777777" w:rsidR="0098149F" w:rsidRPr="0098149F" w:rsidRDefault="0098149F" w:rsidP="0098149F">
            <w:pPr>
              <w:spacing w:line="240" w:lineRule="auto"/>
              <w:ind w:firstLine="0"/>
              <w:jc w:val="center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Manutenção: 100 kcal</w:t>
            </w:r>
          </w:p>
        </w:tc>
        <w:tc>
          <w:tcPr>
            <w:tcW w:w="0" w:type="auto"/>
            <w:hideMark/>
          </w:tcPr>
          <w:p w14:paraId="3561DBB8" w14:textId="77777777" w:rsidR="0098149F" w:rsidRPr="0098149F" w:rsidRDefault="0098149F" w:rsidP="0098149F">
            <w:pPr>
              <w:spacing w:line="240" w:lineRule="auto"/>
              <w:ind w:firstLine="0"/>
              <w:jc w:val="center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Manutenção: 110 kcal</w:t>
            </w:r>
          </w:p>
        </w:tc>
      </w:tr>
      <w:tr w:rsidR="0098149F" w:rsidRPr="0098149F" w14:paraId="597990B3" w14:textId="77777777" w:rsidTr="0098149F">
        <w:tc>
          <w:tcPr>
            <w:tcW w:w="1276" w:type="dxa"/>
            <w:hideMark/>
          </w:tcPr>
          <w:p w14:paraId="044B924E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Cães</w:t>
            </w:r>
          </w:p>
        </w:tc>
        <w:tc>
          <w:tcPr>
            <w:tcW w:w="570" w:type="dxa"/>
            <w:hideMark/>
          </w:tcPr>
          <w:p w14:paraId="62386C9C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Mínimo</w:t>
            </w:r>
          </w:p>
        </w:tc>
        <w:tc>
          <w:tcPr>
            <w:tcW w:w="0" w:type="auto"/>
            <w:hideMark/>
          </w:tcPr>
          <w:p w14:paraId="29AB984E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2,5</w:t>
            </w:r>
          </w:p>
        </w:tc>
        <w:tc>
          <w:tcPr>
            <w:tcW w:w="0" w:type="auto"/>
            <w:hideMark/>
          </w:tcPr>
          <w:p w14:paraId="36FEB6F0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2 - 2,5</w:t>
            </w:r>
          </w:p>
        </w:tc>
        <w:tc>
          <w:tcPr>
            <w:tcW w:w="0" w:type="auto"/>
            <w:hideMark/>
          </w:tcPr>
          <w:p w14:paraId="64BCDD6B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—</w:t>
            </w:r>
          </w:p>
        </w:tc>
        <w:tc>
          <w:tcPr>
            <w:tcW w:w="0" w:type="auto"/>
            <w:hideMark/>
          </w:tcPr>
          <w:p w14:paraId="3C872F9B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1,45</w:t>
            </w:r>
          </w:p>
        </w:tc>
        <w:tc>
          <w:tcPr>
            <w:tcW w:w="0" w:type="auto"/>
            <w:hideMark/>
          </w:tcPr>
          <w:p w14:paraId="293A3011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—</w:t>
            </w:r>
          </w:p>
        </w:tc>
        <w:tc>
          <w:tcPr>
            <w:tcW w:w="0" w:type="auto"/>
            <w:hideMark/>
          </w:tcPr>
          <w:p w14:paraId="3852BF16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1,25</w:t>
            </w:r>
          </w:p>
        </w:tc>
      </w:tr>
      <w:tr w:rsidR="0098149F" w:rsidRPr="0098149F" w14:paraId="2AC55A79" w14:textId="77777777" w:rsidTr="0098149F">
        <w:tc>
          <w:tcPr>
            <w:tcW w:w="1276" w:type="dxa"/>
            <w:hideMark/>
          </w:tcPr>
          <w:p w14:paraId="27B0F779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</w:p>
        </w:tc>
        <w:tc>
          <w:tcPr>
            <w:tcW w:w="570" w:type="dxa"/>
            <w:hideMark/>
          </w:tcPr>
          <w:p w14:paraId="4B12ABA2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Máximo</w:t>
            </w:r>
          </w:p>
        </w:tc>
        <w:tc>
          <w:tcPr>
            <w:tcW w:w="0" w:type="auto"/>
            <w:hideMark/>
          </w:tcPr>
          <w:p w14:paraId="264F350D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hideMark/>
          </w:tcPr>
          <w:p w14:paraId="47B30D56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4,5</w:t>
            </w:r>
          </w:p>
        </w:tc>
        <w:tc>
          <w:tcPr>
            <w:tcW w:w="0" w:type="auto"/>
            <w:hideMark/>
          </w:tcPr>
          <w:p w14:paraId="3B137F5F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—</w:t>
            </w:r>
          </w:p>
        </w:tc>
        <w:tc>
          <w:tcPr>
            <w:tcW w:w="0" w:type="auto"/>
            <w:hideMark/>
          </w:tcPr>
          <w:p w14:paraId="760A4543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6,25</w:t>
            </w:r>
          </w:p>
        </w:tc>
        <w:tc>
          <w:tcPr>
            <w:tcW w:w="0" w:type="auto"/>
            <w:hideMark/>
          </w:tcPr>
          <w:p w14:paraId="03100ECF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—</w:t>
            </w:r>
          </w:p>
        </w:tc>
        <w:tc>
          <w:tcPr>
            <w:tcW w:w="0" w:type="auto"/>
            <w:hideMark/>
          </w:tcPr>
          <w:p w14:paraId="1A14CB3B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6,25</w:t>
            </w:r>
          </w:p>
        </w:tc>
      </w:tr>
      <w:tr w:rsidR="0098149F" w:rsidRPr="0098149F" w14:paraId="20BADF95" w14:textId="77777777" w:rsidTr="0098149F">
        <w:tc>
          <w:tcPr>
            <w:tcW w:w="1276" w:type="dxa"/>
            <w:hideMark/>
          </w:tcPr>
          <w:p w14:paraId="702C9BBC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Gatos</w:t>
            </w:r>
          </w:p>
        </w:tc>
        <w:tc>
          <w:tcPr>
            <w:tcW w:w="570" w:type="dxa"/>
            <w:hideMark/>
          </w:tcPr>
          <w:p w14:paraId="7A5F7BF2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Mínimo</w:t>
            </w:r>
          </w:p>
        </w:tc>
        <w:tc>
          <w:tcPr>
            <w:tcW w:w="0" w:type="auto"/>
            <w:hideMark/>
          </w:tcPr>
          <w:p w14:paraId="3C22EE79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2,5</w:t>
            </w:r>
          </w:p>
        </w:tc>
        <w:tc>
          <w:tcPr>
            <w:tcW w:w="0" w:type="auto"/>
            <w:hideMark/>
          </w:tcPr>
          <w:p w14:paraId="23235FAA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2,5</w:t>
            </w:r>
          </w:p>
        </w:tc>
        <w:tc>
          <w:tcPr>
            <w:tcW w:w="0" w:type="auto"/>
            <w:hideMark/>
          </w:tcPr>
          <w:p w14:paraId="1F19D015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1,33</w:t>
            </w:r>
          </w:p>
        </w:tc>
        <w:tc>
          <w:tcPr>
            <w:tcW w:w="0" w:type="auto"/>
            <w:hideMark/>
          </w:tcPr>
          <w:p w14:paraId="3C506881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—</w:t>
            </w:r>
          </w:p>
        </w:tc>
        <w:tc>
          <w:tcPr>
            <w:tcW w:w="0" w:type="auto"/>
            <w:hideMark/>
          </w:tcPr>
          <w:p w14:paraId="73C60383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hideMark/>
          </w:tcPr>
          <w:p w14:paraId="0E81B2F3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—</w:t>
            </w:r>
          </w:p>
        </w:tc>
      </w:tr>
      <w:tr w:rsidR="0098149F" w:rsidRPr="0098149F" w14:paraId="79FF7517" w14:textId="77777777" w:rsidTr="0098149F">
        <w:tc>
          <w:tcPr>
            <w:tcW w:w="1276" w:type="dxa"/>
            <w:hideMark/>
          </w:tcPr>
          <w:p w14:paraId="3C201FA9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</w:p>
        </w:tc>
        <w:tc>
          <w:tcPr>
            <w:tcW w:w="570" w:type="dxa"/>
            <w:hideMark/>
          </w:tcPr>
          <w:p w14:paraId="376B69A4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Máximo</w:t>
            </w:r>
          </w:p>
        </w:tc>
        <w:tc>
          <w:tcPr>
            <w:tcW w:w="0" w:type="auto"/>
            <w:hideMark/>
          </w:tcPr>
          <w:p w14:paraId="2EC08ADA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Sem valores mencionados</w:t>
            </w:r>
          </w:p>
        </w:tc>
        <w:tc>
          <w:tcPr>
            <w:tcW w:w="0" w:type="auto"/>
            <w:hideMark/>
          </w:tcPr>
          <w:p w14:paraId="2B9B919B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Sem valores mencionados</w:t>
            </w:r>
          </w:p>
        </w:tc>
        <w:tc>
          <w:tcPr>
            <w:tcW w:w="0" w:type="auto"/>
            <w:hideMark/>
          </w:tcPr>
          <w:p w14:paraId="0A2DBAEF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Sem valores mencionados</w:t>
            </w:r>
          </w:p>
        </w:tc>
        <w:tc>
          <w:tcPr>
            <w:tcW w:w="0" w:type="auto"/>
            <w:hideMark/>
          </w:tcPr>
          <w:p w14:paraId="17690B37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Sem valores mencionados</w:t>
            </w:r>
          </w:p>
        </w:tc>
        <w:tc>
          <w:tcPr>
            <w:tcW w:w="0" w:type="auto"/>
            <w:hideMark/>
          </w:tcPr>
          <w:p w14:paraId="33DFECC9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Sem valores mencionados</w:t>
            </w:r>
          </w:p>
        </w:tc>
        <w:tc>
          <w:tcPr>
            <w:tcW w:w="0" w:type="auto"/>
            <w:hideMark/>
          </w:tcPr>
          <w:p w14:paraId="308BB084" w14:textId="77777777" w:rsidR="0098149F" w:rsidRPr="0098149F" w:rsidRDefault="0098149F" w:rsidP="0098149F">
            <w:pPr>
              <w:spacing w:line="240" w:lineRule="auto"/>
              <w:ind w:firstLine="0"/>
              <w:jc w:val="left"/>
              <w:rPr>
                <w:rFonts w:cs="Arial"/>
                <w:color w:val="1F1F1F"/>
                <w:sz w:val="20"/>
                <w:szCs w:val="20"/>
              </w:rPr>
            </w:pPr>
            <w:r w:rsidRPr="0098149F">
              <w:rPr>
                <w:rFonts w:cs="Arial"/>
                <w:color w:val="1F1F1F"/>
                <w:sz w:val="20"/>
                <w:szCs w:val="20"/>
                <w:bdr w:val="none" w:sz="0" w:space="0" w:color="auto" w:frame="1"/>
              </w:rPr>
              <w:t>Sem valores mencionados</w:t>
            </w:r>
          </w:p>
        </w:tc>
      </w:tr>
    </w:tbl>
    <w:p w14:paraId="152F72E3" w14:textId="77777777" w:rsidR="0098149F" w:rsidRDefault="0098149F" w:rsidP="0098149F">
      <w:pPr>
        <w:jc w:val="center"/>
        <w:rPr>
          <w:rFonts w:eastAsia="Calibri"/>
          <w:sz w:val="20"/>
          <w:szCs w:val="20"/>
          <w:lang w:eastAsia="en-US"/>
        </w:rPr>
      </w:pPr>
    </w:p>
    <w:p w14:paraId="544242C5" w14:textId="2128340F" w:rsidR="0098149F" w:rsidRPr="0098149F" w:rsidRDefault="0098149F" w:rsidP="0098149F">
      <w:pPr>
        <w:jc w:val="center"/>
        <w:rPr>
          <w:rFonts w:eastAsia="Calibri"/>
          <w:sz w:val="20"/>
          <w:szCs w:val="20"/>
          <w:lang w:eastAsia="en-US"/>
        </w:rPr>
      </w:pPr>
      <w:r w:rsidRPr="0098149F">
        <w:rPr>
          <w:rFonts w:eastAsia="Calibri"/>
          <w:b/>
          <w:bCs/>
          <w:sz w:val="20"/>
          <w:szCs w:val="20"/>
          <w:lang w:eastAsia="en-US"/>
        </w:rPr>
        <w:t>Fonte:</w:t>
      </w:r>
      <w:r w:rsidRPr="0098149F">
        <w:rPr>
          <w:rFonts w:eastAsia="Calibri"/>
          <w:sz w:val="20"/>
          <w:szCs w:val="20"/>
          <w:lang w:eastAsia="en-US"/>
        </w:rPr>
        <w:t xml:space="preserve"> FEDIAF. </w:t>
      </w:r>
      <w:proofErr w:type="spellStart"/>
      <w:r w:rsidRPr="0098149F">
        <w:rPr>
          <w:rFonts w:eastAsia="Calibri"/>
          <w:sz w:val="20"/>
          <w:szCs w:val="20"/>
          <w:lang w:eastAsia="en-US"/>
        </w:rPr>
        <w:t>Nutritional</w:t>
      </w:r>
      <w:proofErr w:type="spellEnd"/>
      <w:r w:rsidRPr="0098149F"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 w:rsidRPr="0098149F">
        <w:rPr>
          <w:rFonts w:eastAsia="Calibri"/>
          <w:sz w:val="20"/>
          <w:szCs w:val="20"/>
          <w:lang w:eastAsia="en-US"/>
        </w:rPr>
        <w:t>Guidelines</w:t>
      </w:r>
      <w:proofErr w:type="spellEnd"/>
      <w:r w:rsidRPr="0098149F">
        <w:rPr>
          <w:rFonts w:eastAsia="Calibri"/>
          <w:sz w:val="20"/>
          <w:szCs w:val="20"/>
          <w:lang w:eastAsia="en-US"/>
        </w:rPr>
        <w:t>. 2021.</w:t>
      </w:r>
    </w:p>
    <w:p w14:paraId="0F3D2806" w14:textId="77777777" w:rsidR="00941E94" w:rsidRDefault="00941E94" w:rsidP="003E5557">
      <w:pPr>
        <w:rPr>
          <w:rFonts w:eastAsia="Calibri"/>
          <w:lang w:eastAsia="en-US"/>
        </w:rPr>
      </w:pPr>
    </w:p>
    <w:p w14:paraId="0A48BCE0" w14:textId="4168BE34" w:rsidR="00F968D1" w:rsidRDefault="00F968D1" w:rsidP="003E5557">
      <w:pPr>
        <w:ind w:firstLine="0"/>
        <w:rPr>
          <w:szCs w:val="24"/>
        </w:rPr>
      </w:pPr>
      <w:r>
        <w:rPr>
          <w:b/>
          <w:bCs/>
          <w:szCs w:val="24"/>
        </w:rPr>
        <w:t>3 OBJETIVOS</w:t>
      </w:r>
    </w:p>
    <w:p w14:paraId="3B12367B" w14:textId="6607B513" w:rsidR="00F968D1" w:rsidRDefault="003E5557" w:rsidP="003E5557">
      <w:r w:rsidRPr="003E5557">
        <w:t xml:space="preserve">O presente artigo tem como objetivo analisar, a partir da literatura científica disponível, os principais desafios relacionados a </w:t>
      </w:r>
      <w:proofErr w:type="spellStart"/>
      <w:r w:rsidRPr="003E5557">
        <w:t>Eclâmpsia</w:t>
      </w:r>
      <w:proofErr w:type="spellEnd"/>
      <w:r w:rsidRPr="003E5557">
        <w:t xml:space="preserve"> (Hipocalcemia Puerperal) em cadelas, seus aspectos fisiopatológicos, apresentação clínica e emergência terapêutica, destacando a fisiopatologia da doença, discutindo as estratégias atuais utilizadas na clínica veterinária para o manejo eficaz dessa doença e as formas de evita-la</w:t>
      </w:r>
    </w:p>
    <w:p w14:paraId="1AFB9091" w14:textId="77777777" w:rsidR="00985AFC" w:rsidRDefault="00985AFC">
      <w:pPr>
        <w:rPr>
          <w:b/>
          <w:bCs/>
          <w:szCs w:val="24"/>
        </w:rPr>
      </w:pPr>
    </w:p>
    <w:p w14:paraId="3FE5DDC6" w14:textId="03A8ADAE" w:rsidR="00985AFC" w:rsidRDefault="003E5557" w:rsidP="003E5557">
      <w:pPr>
        <w:ind w:firstLine="0"/>
        <w:rPr>
          <w:b/>
          <w:bCs/>
          <w:szCs w:val="24"/>
        </w:rPr>
      </w:pPr>
      <w:r>
        <w:rPr>
          <w:b/>
          <w:bCs/>
          <w:szCs w:val="24"/>
        </w:rPr>
        <w:t>4 MÉTODO</w:t>
      </w:r>
    </w:p>
    <w:p w14:paraId="3BF58CAE" w14:textId="77777777" w:rsidR="003E5557" w:rsidRPr="003E5557" w:rsidRDefault="003E5557" w:rsidP="003E5557">
      <w:r w:rsidRPr="003E5557">
        <w:lastRenderedPageBreak/>
        <w:t>O presente artigo trata-se de uma revisão bibliográfica, pois é realizado com base principalmente em materiais obtidos de fontes bibliográficas, como livros, revistas, jornais, teses, dissertações e em artigos científicos.</w:t>
      </w:r>
    </w:p>
    <w:p w14:paraId="5622C6CD" w14:textId="2DEF093B" w:rsidR="003E5557" w:rsidRDefault="003E5557" w:rsidP="003E5557">
      <w:r w:rsidRPr="003E5557">
        <w:t xml:space="preserve">Como termos de busca foram empregadas as palavras chaves: Eclampsia; Hipocalcemia Puerperal; </w:t>
      </w:r>
      <w:proofErr w:type="spellStart"/>
      <w:r w:rsidRPr="003E5557">
        <w:t>Tetania</w:t>
      </w:r>
      <w:proofErr w:type="spellEnd"/>
      <w:r w:rsidRPr="003E5557">
        <w:t xml:space="preserve"> puerperal. Foram retornados </w:t>
      </w:r>
      <w:r w:rsidR="00F807EC">
        <w:t>11</w:t>
      </w:r>
      <w:r w:rsidRPr="003E5557">
        <w:t xml:space="preserve"> artigos, principalmente da base de dados do </w:t>
      </w:r>
      <w:proofErr w:type="spellStart"/>
      <w:r w:rsidR="00F807EC">
        <w:t>Scielo</w:t>
      </w:r>
      <w:proofErr w:type="spellEnd"/>
      <w:r w:rsidRPr="003E5557">
        <w:t xml:space="preserve">. Desses artigos foram selecionados </w:t>
      </w:r>
      <w:r w:rsidR="00F807EC">
        <w:t>06</w:t>
      </w:r>
      <w:r w:rsidRPr="003E5557">
        <w:t xml:space="preserve"> para compor a amostra deste trabalho, após a aplicação dos critérios de inclusão e exclusão.  </w:t>
      </w:r>
    </w:p>
    <w:p w14:paraId="67F54760" w14:textId="77777777" w:rsidR="00D4714F" w:rsidRPr="003E5557" w:rsidRDefault="00D4714F" w:rsidP="003E5557"/>
    <w:p w14:paraId="0F318D47" w14:textId="77777777" w:rsidR="003E5557" w:rsidRPr="003E5557" w:rsidRDefault="003E5557" w:rsidP="003E5557">
      <w:r w:rsidRPr="003E5557">
        <w:t xml:space="preserve">Como critério de inclusão:  </w:t>
      </w:r>
    </w:p>
    <w:p w14:paraId="7B05985C" w14:textId="77777777" w:rsidR="003E5557" w:rsidRPr="003E5557" w:rsidRDefault="003E5557" w:rsidP="003E5557">
      <w:r w:rsidRPr="003E5557">
        <w:rPr>
          <w:b/>
          <w:bCs/>
        </w:rPr>
        <w:t>1.Temática:</w:t>
      </w:r>
      <w:r w:rsidRPr="003E5557">
        <w:t xml:space="preserve"> </w:t>
      </w:r>
      <w:proofErr w:type="spellStart"/>
      <w:r w:rsidRPr="003E5557">
        <w:t>Eclâmpsia</w:t>
      </w:r>
      <w:proofErr w:type="spellEnd"/>
      <w:r w:rsidRPr="003E5557">
        <w:t xml:space="preserve"> (Hipocalcemia Puerperal) em Cadelas: Aspectos fisiopatológicos, apresentação clínica e emergência terapêutica. </w:t>
      </w:r>
    </w:p>
    <w:p w14:paraId="20B2EAC6" w14:textId="77777777" w:rsidR="003E5557" w:rsidRPr="003E5557" w:rsidRDefault="003E5557" w:rsidP="003E5557">
      <w:r w:rsidRPr="003E5557">
        <w:rPr>
          <w:b/>
          <w:bCs/>
        </w:rPr>
        <w:t>2. Disponibilidade:</w:t>
      </w:r>
      <w:r w:rsidRPr="003E5557">
        <w:t xml:space="preserve"> O texto completo do artigo está disponível. </w:t>
      </w:r>
    </w:p>
    <w:p w14:paraId="0AE57065" w14:textId="4B6B50E7" w:rsidR="003E5557" w:rsidRPr="003E5557" w:rsidRDefault="003E5557" w:rsidP="003E5557">
      <w:r w:rsidRPr="003E5557">
        <w:rPr>
          <w:b/>
          <w:bCs/>
        </w:rPr>
        <w:t>3. Período:</w:t>
      </w:r>
      <w:r w:rsidRPr="003E5557">
        <w:t xml:space="preserve"> Publicações datadas entre 20</w:t>
      </w:r>
      <w:r w:rsidR="00F807EC">
        <w:t>17</w:t>
      </w:r>
      <w:r w:rsidRPr="003E5557">
        <w:t xml:space="preserve"> e 2026.  </w:t>
      </w:r>
    </w:p>
    <w:p w14:paraId="1F158A97" w14:textId="77777777" w:rsidR="003E5557" w:rsidRPr="003E5557" w:rsidRDefault="003E5557" w:rsidP="003E5557"/>
    <w:p w14:paraId="187289AA" w14:textId="77777777" w:rsidR="003E5557" w:rsidRPr="003E5557" w:rsidRDefault="003E5557" w:rsidP="003E5557">
      <w:r w:rsidRPr="003E5557">
        <w:t xml:space="preserve">Como critério de exclusão: </w:t>
      </w:r>
    </w:p>
    <w:p w14:paraId="7D180B2E" w14:textId="77777777" w:rsidR="003E5557" w:rsidRPr="003E5557" w:rsidRDefault="003E5557" w:rsidP="003E5557">
      <w:r w:rsidRPr="003E5557">
        <w:rPr>
          <w:b/>
          <w:bCs/>
        </w:rPr>
        <w:t>1.Temática:</w:t>
      </w:r>
      <w:r w:rsidRPr="003E5557">
        <w:t xml:space="preserve"> Artigos que não abordam os aspectos fisiopatológicos, apresentação clínica e emergência terapêutica da </w:t>
      </w:r>
      <w:proofErr w:type="spellStart"/>
      <w:r w:rsidRPr="003E5557">
        <w:t>eclâmpsia</w:t>
      </w:r>
      <w:proofErr w:type="spellEnd"/>
      <w:r w:rsidRPr="003E5557">
        <w:t xml:space="preserve"> (Hipocalcemia Puerperal) em Cadelas. </w:t>
      </w:r>
    </w:p>
    <w:p w14:paraId="424053D6" w14:textId="3E32ED71" w:rsidR="003E5557" w:rsidRDefault="003E5557" w:rsidP="003E5557">
      <w:r w:rsidRPr="003E5557">
        <w:rPr>
          <w:b/>
          <w:bCs/>
        </w:rPr>
        <w:t>2. Período:</w:t>
      </w:r>
      <w:r w:rsidRPr="003E5557">
        <w:t xml:space="preserve"> Publicações anteriores a 20</w:t>
      </w:r>
      <w:r w:rsidR="007A566B">
        <w:t>17</w:t>
      </w:r>
    </w:p>
    <w:p w14:paraId="7079B943" w14:textId="77777777" w:rsidR="00985AFC" w:rsidRDefault="00985AFC">
      <w:pPr>
        <w:rPr>
          <w:b/>
          <w:bCs/>
          <w:szCs w:val="24"/>
        </w:rPr>
      </w:pPr>
    </w:p>
    <w:p w14:paraId="08C5325C" w14:textId="33B2F5A5" w:rsidR="00985AFC" w:rsidRDefault="003E5557" w:rsidP="003E5557">
      <w:pPr>
        <w:ind w:firstLine="0"/>
        <w:rPr>
          <w:b/>
          <w:bCs/>
          <w:szCs w:val="24"/>
        </w:rPr>
      </w:pPr>
      <w:r>
        <w:rPr>
          <w:b/>
          <w:bCs/>
          <w:szCs w:val="24"/>
        </w:rPr>
        <w:t>5 RESULTADOS E DISCUSSÃO</w:t>
      </w:r>
    </w:p>
    <w:p w14:paraId="5BD73631" w14:textId="14A2E310" w:rsidR="008B24BA" w:rsidRPr="008B24BA" w:rsidRDefault="008B24BA" w:rsidP="003E5557">
      <w:r>
        <w:rPr>
          <w:b/>
          <w:bCs/>
        </w:rPr>
        <w:t xml:space="preserve"> </w:t>
      </w:r>
      <w:r w:rsidRPr="008B24BA">
        <w:t xml:space="preserve">A hipocalcemia puerperal em cadelas é uma importante emergência metabólica do período pós-parto, caracterizada pela redução da concentração de cálcio circulante em um momento de elevada exigência fisiológica. Os estudos analisados demonstram que a enfermidade está principalmente associada ao período de lactação, quando a demanda materna de cálcio aumenta significativamente para atender à produção de leite. Essa condição pode ser agravada por fatores como ninhadas numerosas, produção elevada de leite e alimentação inadequada, comprometendo a capacidade do organismo de manter a homeostase do cálcio. No </w:t>
      </w:r>
      <w:r w:rsidRPr="008B24BA">
        <w:lastRenderedPageBreak/>
        <w:t xml:space="preserve">relato de Araújo (2021), por exemplo, a cadela apresentava oito filhotes, intensa produção de leite e histórico recorrente da enfermidade, além de receber alimentação de baixa qualidade, fatores que provavelmente contribuíram para o desenvolvimento do quadro. De forma semelhante, </w:t>
      </w:r>
      <w:r w:rsidR="00F807EC">
        <w:t xml:space="preserve">Carvalho </w:t>
      </w:r>
      <w:r w:rsidRPr="008B24BA">
        <w:t>Moraes et al. (2023) associaram o quadro ao período de elevada demanda de cálcio durante a lactação e à alimentação inadequada.</w:t>
      </w:r>
    </w:p>
    <w:p w14:paraId="6A46D269" w14:textId="77777777" w:rsidR="008B24BA" w:rsidRPr="008B24BA" w:rsidRDefault="008B24BA" w:rsidP="003E5557">
      <w:pPr>
        <w:rPr>
          <w:szCs w:val="24"/>
        </w:rPr>
      </w:pPr>
      <w:r w:rsidRPr="008B24BA">
        <w:rPr>
          <w:szCs w:val="24"/>
        </w:rPr>
        <w:t xml:space="preserve">Do ponto de vista fisiopatológico, a queda da concentração de cálcio extracelular interfere na estabilidade das membranas das células nervosas e musculares, aumentando a excitabilidade neuromuscular. A redução do cálcio estimula mecanismos compensatórios, especialmente a secreção do paratormônio (PTH), que atua na mobilização do cálcio para tentar restabelecer sua concentração plasmática. Entretanto, diante de uma demanda intensa e contínua, como ocorre durante a lactação, esses mecanismos podem não ser suficientes para compensar as perdas. A maior excitabilidade neuromuscular explica a ocorrência de </w:t>
      </w:r>
      <w:proofErr w:type="spellStart"/>
      <w:r w:rsidRPr="008B24BA">
        <w:rPr>
          <w:szCs w:val="24"/>
        </w:rPr>
        <w:t>fasciculações</w:t>
      </w:r>
      <w:proofErr w:type="spellEnd"/>
      <w:r w:rsidRPr="008B24BA">
        <w:rPr>
          <w:szCs w:val="24"/>
        </w:rPr>
        <w:t xml:space="preserve">, tremores, rigidez e </w:t>
      </w:r>
      <w:proofErr w:type="spellStart"/>
      <w:r w:rsidRPr="008B24BA">
        <w:rPr>
          <w:szCs w:val="24"/>
        </w:rPr>
        <w:t>tetania</w:t>
      </w:r>
      <w:proofErr w:type="spellEnd"/>
      <w:r w:rsidRPr="008B24BA">
        <w:rPr>
          <w:szCs w:val="24"/>
        </w:rPr>
        <w:t xml:space="preserve"> observadas nos animais acometidos.</w:t>
      </w:r>
    </w:p>
    <w:p w14:paraId="3A02F377" w14:textId="5A281388" w:rsidR="008B24BA" w:rsidRPr="008B24BA" w:rsidRDefault="008B24BA" w:rsidP="003E5557">
      <w:pPr>
        <w:rPr>
          <w:szCs w:val="24"/>
        </w:rPr>
      </w:pPr>
      <w:r w:rsidRPr="008B24BA">
        <w:rPr>
          <w:szCs w:val="24"/>
        </w:rPr>
        <w:t xml:space="preserve">Os sinais clínicos observados nos estudos foram semelhantes e apresentaram diferentes graus de intensidade. Entre as principais manifestações destacaram-se inquietação, tremores musculares, </w:t>
      </w:r>
      <w:proofErr w:type="spellStart"/>
      <w:r w:rsidRPr="008B24BA">
        <w:rPr>
          <w:szCs w:val="24"/>
        </w:rPr>
        <w:t>fasciculações</w:t>
      </w:r>
      <w:proofErr w:type="spellEnd"/>
      <w:r w:rsidRPr="008B24BA">
        <w:rPr>
          <w:szCs w:val="24"/>
        </w:rPr>
        <w:t xml:space="preserve">, rigidez dos membros, </w:t>
      </w:r>
      <w:proofErr w:type="spellStart"/>
      <w:r w:rsidRPr="008B24BA">
        <w:rPr>
          <w:szCs w:val="24"/>
        </w:rPr>
        <w:t>taquipneia</w:t>
      </w:r>
      <w:proofErr w:type="spellEnd"/>
      <w:r w:rsidRPr="008B24BA">
        <w:rPr>
          <w:szCs w:val="24"/>
        </w:rPr>
        <w:t xml:space="preserve">, taquicardia, hipertermia e </w:t>
      </w:r>
      <w:proofErr w:type="spellStart"/>
      <w:r w:rsidRPr="008B24BA">
        <w:rPr>
          <w:szCs w:val="24"/>
        </w:rPr>
        <w:t>tetania</w:t>
      </w:r>
      <w:proofErr w:type="spellEnd"/>
      <w:r w:rsidRPr="008B24BA">
        <w:rPr>
          <w:b/>
          <w:bCs/>
          <w:szCs w:val="24"/>
        </w:rPr>
        <w:t>,</w:t>
      </w:r>
      <w:r w:rsidRPr="008B24BA">
        <w:rPr>
          <w:szCs w:val="24"/>
        </w:rPr>
        <w:t xml:space="preserve"> podendo ocorrer convulsões nos casos mais graves. Araújo (2021) descreveu uma evolução particularmente rápida, com a paciente passando de um estado aparentemente normal para um quadro de </w:t>
      </w:r>
      <w:proofErr w:type="spellStart"/>
      <w:r w:rsidRPr="008B24BA">
        <w:rPr>
          <w:szCs w:val="24"/>
        </w:rPr>
        <w:t>tetania</w:t>
      </w:r>
      <w:proofErr w:type="spellEnd"/>
      <w:r w:rsidRPr="008B24BA">
        <w:rPr>
          <w:szCs w:val="24"/>
        </w:rPr>
        <w:t xml:space="preserve"> em aproximadamente 30 minutos. Esse achado demonstra que a evolução clínica pode ser mais rápida do que o intervalo de 8 a 12 horas descrito por Fraser (2017), reforçando a necessidade de reconhecimento imediato dos sinais. Já </w:t>
      </w:r>
      <w:r w:rsidR="00F807EC">
        <w:rPr>
          <w:szCs w:val="24"/>
        </w:rPr>
        <w:t xml:space="preserve">Carvalho </w:t>
      </w:r>
      <w:r w:rsidRPr="008B24BA">
        <w:rPr>
          <w:szCs w:val="24"/>
        </w:rPr>
        <w:t xml:space="preserve">Moraes et al. (2023) observaram tremores musculares e </w:t>
      </w:r>
      <w:proofErr w:type="spellStart"/>
      <w:r w:rsidRPr="008B24BA">
        <w:rPr>
          <w:szCs w:val="24"/>
        </w:rPr>
        <w:t>fasciculações</w:t>
      </w:r>
      <w:proofErr w:type="spellEnd"/>
      <w:r w:rsidRPr="008B24BA">
        <w:rPr>
          <w:szCs w:val="24"/>
        </w:rPr>
        <w:t xml:space="preserve"> faciais, associados a uma concentração sérica de cálcio de 7,5 mg/</w:t>
      </w:r>
      <w:proofErr w:type="spellStart"/>
      <w:r w:rsidRPr="008B24BA">
        <w:rPr>
          <w:szCs w:val="24"/>
        </w:rPr>
        <w:t>dL</w:t>
      </w:r>
      <w:proofErr w:type="spellEnd"/>
      <w:r w:rsidRPr="008B24BA">
        <w:rPr>
          <w:szCs w:val="24"/>
        </w:rPr>
        <w:t>.</w:t>
      </w:r>
    </w:p>
    <w:p w14:paraId="1E42F699" w14:textId="77777777" w:rsidR="008B24BA" w:rsidRPr="008B24BA" w:rsidRDefault="008B24BA" w:rsidP="003E5557">
      <w:pPr>
        <w:rPr>
          <w:szCs w:val="24"/>
        </w:rPr>
      </w:pPr>
      <w:r w:rsidRPr="008B24BA">
        <w:rPr>
          <w:szCs w:val="24"/>
        </w:rPr>
        <w:t>A intensidade dos sinais clínicos também apresenta relação com a concentração sérica de cálcio. Segundo os dados apresentados por Araújo (2021), valores inferiores a 9 mg/</w:t>
      </w:r>
      <w:proofErr w:type="spellStart"/>
      <w:r w:rsidRPr="008B24BA">
        <w:rPr>
          <w:szCs w:val="24"/>
        </w:rPr>
        <w:t>dL</w:t>
      </w:r>
      <w:proofErr w:type="spellEnd"/>
      <w:r w:rsidRPr="008B24BA">
        <w:rPr>
          <w:szCs w:val="24"/>
        </w:rPr>
        <w:t xml:space="preserve"> caracterizam hipocalcemia em cães adultos, enquanto manifestações clínicas mais evidentes tendem a ocorrer quando os níveis são </w:t>
      </w:r>
      <w:r w:rsidRPr="008B24BA">
        <w:rPr>
          <w:szCs w:val="24"/>
        </w:rPr>
        <w:lastRenderedPageBreak/>
        <w:t>inferiores a 7 mg/</w:t>
      </w:r>
      <w:proofErr w:type="spellStart"/>
      <w:r w:rsidRPr="008B24BA">
        <w:rPr>
          <w:szCs w:val="24"/>
        </w:rPr>
        <w:t>dL</w:t>
      </w:r>
      <w:proofErr w:type="spellEnd"/>
      <w:r w:rsidRPr="008B24BA">
        <w:rPr>
          <w:szCs w:val="24"/>
        </w:rPr>
        <w:t>. No caso relatado, mesmo após a administração de cálcio, a paciente apresentava 7,1 mg/</w:t>
      </w:r>
      <w:proofErr w:type="spellStart"/>
      <w:r w:rsidRPr="008B24BA">
        <w:rPr>
          <w:szCs w:val="24"/>
        </w:rPr>
        <w:t>dL</w:t>
      </w:r>
      <w:proofErr w:type="spellEnd"/>
      <w:r w:rsidRPr="008B24BA">
        <w:rPr>
          <w:szCs w:val="24"/>
        </w:rPr>
        <w:t xml:space="preserve">, indicando que a concentração provavelmente era ainda menor antes da intervenção terapêutica. Dessa forma, a associação entre histórico de parto recente, lactação, sinais neuromusculares e avaliação da </w:t>
      </w:r>
      <w:proofErr w:type="spellStart"/>
      <w:r w:rsidRPr="008B24BA">
        <w:rPr>
          <w:szCs w:val="24"/>
        </w:rPr>
        <w:t>calcemia</w:t>
      </w:r>
      <w:proofErr w:type="spellEnd"/>
      <w:r w:rsidRPr="008B24BA">
        <w:rPr>
          <w:szCs w:val="24"/>
        </w:rPr>
        <w:t xml:space="preserve"> constitui importante ferramenta para o diagnóstico.</w:t>
      </w:r>
    </w:p>
    <w:p w14:paraId="74A537E9" w14:textId="12C971FC" w:rsidR="008B24BA" w:rsidRDefault="008B24BA" w:rsidP="003E5557">
      <w:pPr>
        <w:rPr>
          <w:szCs w:val="24"/>
        </w:rPr>
      </w:pPr>
      <w:r w:rsidRPr="008B24BA">
        <w:rPr>
          <w:szCs w:val="24"/>
        </w:rPr>
        <w:t xml:space="preserve">Quanto à terapêutica, os trabalhos analisados apresentaram concordância quanto à necessidade de intervenção rápida com </w:t>
      </w:r>
      <w:proofErr w:type="spellStart"/>
      <w:r w:rsidRPr="008B24BA">
        <w:rPr>
          <w:szCs w:val="24"/>
        </w:rPr>
        <w:t>gluconato</w:t>
      </w:r>
      <w:proofErr w:type="spellEnd"/>
      <w:r w:rsidRPr="008B24BA">
        <w:rPr>
          <w:szCs w:val="24"/>
        </w:rPr>
        <w:t xml:space="preserve"> de cálcio, principalmente por via intravenosa nos animais sintomáticos. No caso de Araújo (2021), a administração intravenosa lenta de </w:t>
      </w:r>
      <w:proofErr w:type="spellStart"/>
      <w:r w:rsidRPr="008B24BA">
        <w:rPr>
          <w:szCs w:val="24"/>
        </w:rPr>
        <w:t>gluconato</w:t>
      </w:r>
      <w:proofErr w:type="spellEnd"/>
      <w:r w:rsidRPr="008B24BA">
        <w:rPr>
          <w:szCs w:val="24"/>
        </w:rPr>
        <w:t xml:space="preserve"> de cálcio a 10%, associada à </w:t>
      </w:r>
      <w:proofErr w:type="spellStart"/>
      <w:r w:rsidRPr="008B24BA">
        <w:rPr>
          <w:szCs w:val="24"/>
        </w:rPr>
        <w:t>fluidoterapia</w:t>
      </w:r>
      <w:proofErr w:type="spellEnd"/>
      <w:r w:rsidRPr="008B24BA">
        <w:rPr>
          <w:szCs w:val="24"/>
        </w:rPr>
        <w:t xml:space="preserve">, promoveu estabilização clínica, com melhora respiratória e desaparecimento da </w:t>
      </w:r>
      <w:proofErr w:type="spellStart"/>
      <w:r w:rsidRPr="008B24BA">
        <w:rPr>
          <w:szCs w:val="24"/>
        </w:rPr>
        <w:t>tetania</w:t>
      </w:r>
      <w:proofErr w:type="spellEnd"/>
      <w:r w:rsidRPr="008B24BA">
        <w:rPr>
          <w:szCs w:val="24"/>
        </w:rPr>
        <w:t xml:space="preserve">. </w:t>
      </w:r>
      <w:r w:rsidR="00F807EC">
        <w:rPr>
          <w:szCs w:val="24"/>
        </w:rPr>
        <w:t xml:space="preserve">Carvalho </w:t>
      </w:r>
      <w:r w:rsidRPr="008B24BA">
        <w:rPr>
          <w:szCs w:val="24"/>
        </w:rPr>
        <w:t xml:space="preserve">Moraes et al. (2023) também relataram resposta favorável após a administração intravenosa de </w:t>
      </w:r>
      <w:proofErr w:type="spellStart"/>
      <w:r w:rsidRPr="008B24BA">
        <w:rPr>
          <w:szCs w:val="24"/>
        </w:rPr>
        <w:t>gluconato</w:t>
      </w:r>
      <w:proofErr w:type="spellEnd"/>
      <w:r w:rsidRPr="008B24BA">
        <w:rPr>
          <w:szCs w:val="24"/>
        </w:rPr>
        <w:t xml:space="preserve"> de cálcio, com posterior normalização da concentração sérica para 9,1 mg/</w:t>
      </w:r>
      <w:proofErr w:type="spellStart"/>
      <w:r w:rsidRPr="008B24BA">
        <w:rPr>
          <w:szCs w:val="24"/>
        </w:rPr>
        <w:t>dL</w:t>
      </w:r>
      <w:proofErr w:type="spellEnd"/>
      <w:r w:rsidRPr="008B24BA">
        <w:rPr>
          <w:szCs w:val="24"/>
        </w:rPr>
        <w:t xml:space="preserve"> e resolução dos sinais clínicos. Esses resultados corroboram a importância da reposição de cálcio como medida emergencial para interromper a </w:t>
      </w:r>
      <w:proofErr w:type="spellStart"/>
      <w:r w:rsidRPr="008B24BA">
        <w:rPr>
          <w:szCs w:val="24"/>
        </w:rPr>
        <w:t>hiperexcitabilidade</w:t>
      </w:r>
      <w:proofErr w:type="spellEnd"/>
      <w:r w:rsidRPr="008B24BA">
        <w:rPr>
          <w:szCs w:val="24"/>
        </w:rPr>
        <w:t xml:space="preserve"> neuromuscular e estabilizar o paciente.</w:t>
      </w:r>
    </w:p>
    <w:p w14:paraId="7D6DF03D" w14:textId="05284329" w:rsidR="008B24BA" w:rsidRPr="008B24BA" w:rsidRDefault="008B24BA" w:rsidP="003E5557">
      <w:pPr>
        <w:rPr>
          <w:szCs w:val="24"/>
        </w:rPr>
      </w:pPr>
      <w:r w:rsidRPr="008B24BA">
        <w:rPr>
          <w:szCs w:val="24"/>
        </w:rPr>
        <w:t xml:space="preserve">Entretanto, a terapêutica não deve se limitar à correção imediata da hipocalcemia. O manejo após a estabilização é fundamental para evitar novos episódios, principalmente porque a lactação mantém elevada a demanda de cálcio. No caso de Araújo (2021), a cadela apresentou recidiva após os filhotes voltarem a mamar, evidenciando que a permanência do estímulo </w:t>
      </w:r>
      <w:proofErr w:type="spellStart"/>
      <w:r w:rsidRPr="008B24BA">
        <w:rPr>
          <w:szCs w:val="24"/>
        </w:rPr>
        <w:t>lactacional</w:t>
      </w:r>
      <w:proofErr w:type="spellEnd"/>
      <w:r w:rsidRPr="008B24BA">
        <w:rPr>
          <w:szCs w:val="24"/>
        </w:rPr>
        <w:t xml:space="preserve"> pode favorecer a recorrência do distúrbio. Por esse motivo, os estudos recomendam medidas complementares, como adequação da alimentação, acompanhamento da cadela durante a lactação e, quando necessário, suplementação mineral orientada pelo médico-veterinário.</w:t>
      </w:r>
    </w:p>
    <w:p w14:paraId="1029A002" w14:textId="7DA64B5E" w:rsidR="00985AFC" w:rsidRDefault="00985AFC">
      <w:pPr>
        <w:rPr>
          <w:b/>
          <w:bCs/>
          <w:szCs w:val="24"/>
        </w:rPr>
      </w:pPr>
    </w:p>
    <w:p w14:paraId="27EC2320" w14:textId="0C2C1829" w:rsidR="00985AFC" w:rsidRDefault="003E5557" w:rsidP="003E5557">
      <w:pPr>
        <w:ind w:firstLine="0"/>
        <w:rPr>
          <w:szCs w:val="24"/>
        </w:rPr>
      </w:pPr>
      <w:r>
        <w:rPr>
          <w:b/>
          <w:bCs/>
          <w:szCs w:val="24"/>
        </w:rPr>
        <w:t>6 CONSIDERAÇÕES FINAIS</w:t>
      </w:r>
    </w:p>
    <w:p w14:paraId="73E08773" w14:textId="68713AFC" w:rsidR="0068623C" w:rsidRPr="0068623C" w:rsidRDefault="0068623C" w:rsidP="0068623C">
      <w:r w:rsidRPr="0068623C">
        <w:t>A</w:t>
      </w:r>
      <w:r>
        <w:t xml:space="preserve"> </w:t>
      </w:r>
      <w:proofErr w:type="spellStart"/>
      <w:r>
        <w:t>E</w:t>
      </w:r>
      <w:r w:rsidRPr="0068623C">
        <w:t>clâmpsia</w:t>
      </w:r>
      <w:proofErr w:type="spellEnd"/>
      <w:r w:rsidRPr="0068623C">
        <w:t xml:space="preserve"> </w:t>
      </w:r>
      <w:r>
        <w:t>(</w:t>
      </w:r>
      <w:r w:rsidRPr="0068623C">
        <w:t>hipocalcemia puerperal</w:t>
      </w:r>
      <w:r>
        <w:t xml:space="preserve">) </w:t>
      </w:r>
      <w:r w:rsidRPr="0068623C">
        <w:t xml:space="preserve">se </w:t>
      </w:r>
      <w:r>
        <w:t>destaca</w:t>
      </w:r>
      <w:r w:rsidRPr="0068623C">
        <w:t xml:space="preserve"> como uma das emergências metabólicas de maior relevância na clínica médica de pequenos animais. Como </w:t>
      </w:r>
      <w:r>
        <w:t>exposto</w:t>
      </w:r>
      <w:r w:rsidRPr="0068623C">
        <w:t xml:space="preserve"> ao </w:t>
      </w:r>
      <w:r w:rsidR="009F0100">
        <w:t>longo</w:t>
      </w:r>
      <w:r w:rsidRPr="0068623C">
        <w:t xml:space="preserve"> deste estudo, sua </w:t>
      </w:r>
      <w:r>
        <w:t>causa</w:t>
      </w:r>
      <w:r w:rsidRPr="0068623C">
        <w:t xml:space="preserve"> está relacionada à </w:t>
      </w:r>
      <w:r w:rsidR="009F0100">
        <w:t>dificuldade</w:t>
      </w:r>
      <w:r w:rsidRPr="0068623C">
        <w:t xml:space="preserve"> da fêmea em </w:t>
      </w:r>
      <w:r w:rsidRPr="0068623C">
        <w:lastRenderedPageBreak/>
        <w:t>acompanhar a rápida</w:t>
      </w:r>
      <w:r>
        <w:t>, brusca</w:t>
      </w:r>
      <w:r w:rsidRPr="0068623C">
        <w:t xml:space="preserve"> e intensa demanda de cálcio exigida durante a lactação, sendo potencializada por fatores como </w:t>
      </w:r>
      <w:r>
        <w:t>alta quantidade de filhotes</w:t>
      </w:r>
      <w:r w:rsidRPr="0068623C">
        <w:t xml:space="preserve">, manejo nutricional inadequado no </w:t>
      </w:r>
      <w:proofErr w:type="spellStart"/>
      <w:r w:rsidRPr="0068623C">
        <w:t>pré-parto</w:t>
      </w:r>
      <w:proofErr w:type="spellEnd"/>
      <w:r>
        <w:t xml:space="preserve">, até mesmo a suplementação excessiva de cálcio, </w:t>
      </w:r>
      <w:r w:rsidRPr="0068623C">
        <w:t xml:space="preserve">e predisposição em raças pequenas ou cadelas primíparas. </w:t>
      </w:r>
    </w:p>
    <w:p w14:paraId="07B92C4F" w14:textId="449980D1" w:rsidR="0068623C" w:rsidRPr="0068623C" w:rsidRDefault="009F0100" w:rsidP="0068623C">
      <w:r>
        <w:t>O</w:t>
      </w:r>
      <w:r w:rsidR="0068623C" w:rsidRPr="0068623C">
        <w:t xml:space="preserve"> rápid</w:t>
      </w:r>
      <w:r>
        <w:t>o</w:t>
      </w:r>
      <w:r w:rsidR="0068623C" w:rsidRPr="0068623C">
        <w:t xml:space="preserve"> </w:t>
      </w:r>
      <w:r>
        <w:t>avanço</w:t>
      </w:r>
      <w:r w:rsidR="0068623C" w:rsidRPr="0068623C">
        <w:t xml:space="preserve"> dos sinais clínicos neuromusculares, que </w:t>
      </w:r>
      <w:r>
        <w:t xml:space="preserve">podem </w:t>
      </w:r>
      <w:r w:rsidR="0068623C" w:rsidRPr="0068623C">
        <w:t>varia</w:t>
      </w:r>
      <w:r>
        <w:t>r</w:t>
      </w:r>
      <w:r w:rsidR="0068623C" w:rsidRPr="0068623C">
        <w:t xml:space="preserve"> de </w:t>
      </w:r>
      <w:proofErr w:type="spellStart"/>
      <w:r w:rsidR="0068623C" w:rsidRPr="0068623C">
        <w:t>fasciculações</w:t>
      </w:r>
      <w:proofErr w:type="spellEnd"/>
      <w:r w:rsidR="0068623C" w:rsidRPr="0068623C">
        <w:t xml:space="preserve"> e tremores leves até estados de rigidez, </w:t>
      </w:r>
      <w:proofErr w:type="spellStart"/>
      <w:r w:rsidR="0068623C" w:rsidRPr="0068623C">
        <w:t>tetania</w:t>
      </w:r>
      <w:proofErr w:type="spellEnd"/>
      <w:r w:rsidR="0068623C" w:rsidRPr="0068623C">
        <w:t xml:space="preserve"> e convulsões graves, exige um </w:t>
      </w:r>
      <w:r>
        <w:t xml:space="preserve">rápido </w:t>
      </w:r>
      <w:r w:rsidR="0068623C" w:rsidRPr="0068623C">
        <w:t xml:space="preserve">diagnóstico. A terapia </w:t>
      </w:r>
      <w:r>
        <w:t xml:space="preserve">imediata </w:t>
      </w:r>
      <w:r w:rsidR="0068623C" w:rsidRPr="0068623C">
        <w:t xml:space="preserve">de reposição com </w:t>
      </w:r>
      <w:proofErr w:type="spellStart"/>
      <w:r w:rsidR="0068623C" w:rsidRPr="0068623C">
        <w:t>gluconato</w:t>
      </w:r>
      <w:proofErr w:type="spellEnd"/>
      <w:r w:rsidR="0068623C" w:rsidRPr="0068623C">
        <w:t xml:space="preserve"> de cálcio por via intravenosa</w:t>
      </w:r>
      <w:r>
        <w:t xml:space="preserve">, se mostrou muito eficaz </w:t>
      </w:r>
      <w:r w:rsidR="0068623C" w:rsidRPr="0068623C">
        <w:t xml:space="preserve">para a reversão rápida do quadro emergencial e a estabilização do paciente. </w:t>
      </w:r>
    </w:p>
    <w:p w14:paraId="290C5785" w14:textId="4AC71F9B" w:rsidR="00985AFC" w:rsidRPr="004C1D5E" w:rsidRDefault="009F0100">
      <w:r>
        <w:t>Ainda assim</w:t>
      </w:r>
      <w:r w:rsidR="0068623C" w:rsidRPr="0068623C">
        <w:t xml:space="preserve">, </w:t>
      </w:r>
      <w:r>
        <w:t>enfatiza-</w:t>
      </w:r>
      <w:r w:rsidR="006B5DED">
        <w:t xml:space="preserve">se </w:t>
      </w:r>
      <w:r w:rsidR="006B5DED" w:rsidRPr="0068623C">
        <w:t>que</w:t>
      </w:r>
      <w:r w:rsidR="0068623C" w:rsidRPr="0068623C">
        <w:t xml:space="preserve"> o sucesso do manejo terapêutico não </w:t>
      </w:r>
      <w:r w:rsidR="006B5DED">
        <w:t>termina apenas</w:t>
      </w:r>
      <w:r w:rsidR="0068623C" w:rsidRPr="0068623C">
        <w:t xml:space="preserve"> na aplicação emergencial da medicação. A prevenção de </w:t>
      </w:r>
      <w:r w:rsidR="006B5DED">
        <w:t xml:space="preserve">novas </w:t>
      </w:r>
      <w:r w:rsidR="0068623C" w:rsidRPr="0068623C">
        <w:t xml:space="preserve">recidivas exige uma abordagem contínua, que envolve o controle do estímulo </w:t>
      </w:r>
      <w:proofErr w:type="spellStart"/>
      <w:r w:rsidR="0068623C" w:rsidRPr="0068623C">
        <w:t>lactacional</w:t>
      </w:r>
      <w:proofErr w:type="spellEnd"/>
      <w:r w:rsidR="0068623C" w:rsidRPr="0068623C">
        <w:t xml:space="preserve">, o fornecimento de uma dieta de alta qualidade e o acompanhamento nutricional e clínico rigoroso durante o puerpério. Diante disso, </w:t>
      </w:r>
      <w:r w:rsidR="009935BE">
        <w:t>d</w:t>
      </w:r>
      <w:r w:rsidR="006B5DED" w:rsidRPr="006B5DED">
        <w:t>eduz-se</w:t>
      </w:r>
      <w:r w:rsidR="0068623C" w:rsidRPr="0068623C">
        <w:t xml:space="preserve"> que a conscientização dos tutores </w:t>
      </w:r>
      <w:r w:rsidR="009935BE">
        <w:t>em relação</w:t>
      </w:r>
      <w:r w:rsidR="0068623C" w:rsidRPr="0068623C">
        <w:t xml:space="preserve"> </w:t>
      </w:r>
      <w:r w:rsidR="009935BE">
        <w:t>ao</w:t>
      </w:r>
      <w:r w:rsidR="0068623C" w:rsidRPr="0068623C">
        <w:t xml:space="preserve"> manejo nutricional adequado e a agilidade na intervenção veterinária no pós-parto são</w:t>
      </w:r>
      <w:r w:rsidR="009935BE">
        <w:t xml:space="preserve"> </w:t>
      </w:r>
      <w:r w:rsidR="0068623C" w:rsidRPr="0068623C">
        <w:t xml:space="preserve">fundamentais para </w:t>
      </w:r>
      <w:r w:rsidR="009935BE">
        <w:t>diminuição</w:t>
      </w:r>
      <w:r w:rsidR="0068623C" w:rsidRPr="0068623C">
        <w:t xml:space="preserve"> da morbimortalidade associada a essa afecção. </w:t>
      </w:r>
    </w:p>
    <w:p w14:paraId="33B64F83" w14:textId="77777777" w:rsidR="00F807EC" w:rsidRDefault="00F807EC" w:rsidP="00F968D1">
      <w:pPr>
        <w:jc w:val="center"/>
        <w:rPr>
          <w:b/>
          <w:bCs/>
          <w:szCs w:val="24"/>
        </w:rPr>
      </w:pPr>
    </w:p>
    <w:p w14:paraId="0CBFCE24" w14:textId="77777777" w:rsidR="00D4714F" w:rsidRDefault="00D4714F" w:rsidP="00F968D1">
      <w:pPr>
        <w:jc w:val="center"/>
        <w:rPr>
          <w:b/>
          <w:bCs/>
          <w:szCs w:val="24"/>
        </w:rPr>
      </w:pPr>
    </w:p>
    <w:p w14:paraId="70C2AF32" w14:textId="1267D07F" w:rsidR="00F968D1" w:rsidRDefault="00613ACE" w:rsidP="00F807EC">
      <w:pPr>
        <w:ind w:firstLine="0"/>
        <w:jc w:val="center"/>
        <w:rPr>
          <w:b/>
          <w:bCs/>
          <w:szCs w:val="24"/>
        </w:rPr>
      </w:pPr>
      <w:r>
        <w:rPr>
          <w:b/>
          <w:bCs/>
          <w:szCs w:val="24"/>
        </w:rPr>
        <w:t>REFERÊNCIAS</w:t>
      </w:r>
    </w:p>
    <w:p w14:paraId="67395675" w14:textId="77777777" w:rsidR="00F807EC" w:rsidRPr="00F968D1" w:rsidRDefault="00F807EC" w:rsidP="00F968D1">
      <w:pPr>
        <w:jc w:val="center"/>
        <w:rPr>
          <w:b/>
          <w:bCs/>
          <w:szCs w:val="24"/>
        </w:rPr>
      </w:pPr>
    </w:p>
    <w:p w14:paraId="0095F81E" w14:textId="45261BF0" w:rsidR="00F968D1" w:rsidRDefault="00F968D1" w:rsidP="006B4B0B">
      <w:pPr>
        <w:pStyle w:val="REFERENCIAS"/>
      </w:pPr>
      <w:r w:rsidRPr="00F968D1">
        <w:t xml:space="preserve">ARAÚJO, Ariane Vaz. Hipocalcemia puerperal em cadela. 2021. 54 f. Relatório (Graduação) - Curso de Medicina Veterinária, Universidade Federal do Tocantins, Araguaína, 2021. </w:t>
      </w:r>
    </w:p>
    <w:p w14:paraId="6BC02006" w14:textId="77777777" w:rsidR="00941E94" w:rsidRDefault="00941E94" w:rsidP="006B4B0B">
      <w:pPr>
        <w:pStyle w:val="REFERENCIAS"/>
      </w:pPr>
    </w:p>
    <w:p w14:paraId="4C7C0049" w14:textId="77777777" w:rsidR="00F807EC" w:rsidRDefault="00F807EC" w:rsidP="006B4B0B">
      <w:pPr>
        <w:pStyle w:val="REFERENCIAS"/>
      </w:pPr>
    </w:p>
    <w:p w14:paraId="78909E4F" w14:textId="77777777" w:rsidR="00F968D1" w:rsidRDefault="00F968D1" w:rsidP="006B4B0B">
      <w:pPr>
        <w:pStyle w:val="REFERENCIAS"/>
      </w:pPr>
      <w:r w:rsidRPr="00F968D1">
        <w:t xml:space="preserve">CARVALHO MORAES, Eduarda; MENDES DA MATA, Gabrielle; DE OLIVEIRA, Thais Fernanda; MASOTI BLANKEINHEIM, Thalita. HIPOCALCEMIA PUERPERAL CANINA – RELATO DE CASO. Revista Científica </w:t>
      </w:r>
      <w:proofErr w:type="spellStart"/>
      <w:r w:rsidRPr="00F968D1">
        <w:t>Unilago</w:t>
      </w:r>
      <w:proofErr w:type="spellEnd"/>
      <w:r w:rsidRPr="00F968D1">
        <w:t>, [S. l.], v. 1, n. 1, 2023. Disponível em: https://revistas.unilago.edu.br/index.php/revista-cientifica/article/view/1020. Acesso em: 2 set. 2026.</w:t>
      </w:r>
    </w:p>
    <w:p w14:paraId="164C06AF" w14:textId="77777777" w:rsidR="00F807EC" w:rsidRDefault="00F807EC" w:rsidP="006B4B0B">
      <w:pPr>
        <w:pStyle w:val="REFERENCIAS"/>
      </w:pPr>
    </w:p>
    <w:p w14:paraId="201D0073" w14:textId="5D1E8F86" w:rsidR="008C0CD6" w:rsidRDefault="008C0CD6" w:rsidP="006B4B0B">
      <w:pPr>
        <w:pStyle w:val="REFERENCIAS"/>
      </w:pPr>
      <w:r w:rsidRPr="008C0CD6">
        <w:t xml:space="preserve">FEDIAF – EUROPEAN PET FOOD INDUSTRY FEDERATION. </w:t>
      </w:r>
      <w:proofErr w:type="spellStart"/>
      <w:r w:rsidRPr="008C0CD6">
        <w:t>Nutritional</w:t>
      </w:r>
      <w:proofErr w:type="spellEnd"/>
      <w:r w:rsidRPr="008C0CD6">
        <w:t xml:space="preserve"> </w:t>
      </w:r>
      <w:proofErr w:type="spellStart"/>
      <w:r w:rsidRPr="008C0CD6">
        <w:t>guidelines</w:t>
      </w:r>
      <w:proofErr w:type="spellEnd"/>
      <w:r w:rsidRPr="008C0CD6">
        <w:t xml:space="preserve"> for complete </w:t>
      </w:r>
      <w:proofErr w:type="spellStart"/>
      <w:r w:rsidRPr="008C0CD6">
        <w:t>and</w:t>
      </w:r>
      <w:proofErr w:type="spellEnd"/>
      <w:r w:rsidRPr="008C0CD6">
        <w:t xml:space="preserve"> </w:t>
      </w:r>
      <w:proofErr w:type="spellStart"/>
      <w:r w:rsidRPr="008C0CD6">
        <w:t>complementary</w:t>
      </w:r>
      <w:proofErr w:type="spellEnd"/>
      <w:r w:rsidRPr="008C0CD6">
        <w:t xml:space="preserve"> pet </w:t>
      </w:r>
      <w:proofErr w:type="spellStart"/>
      <w:r w:rsidRPr="008C0CD6">
        <w:t>food</w:t>
      </w:r>
      <w:proofErr w:type="spellEnd"/>
      <w:r w:rsidRPr="008C0CD6">
        <w:t xml:space="preserve"> for </w:t>
      </w:r>
      <w:proofErr w:type="spellStart"/>
      <w:r w:rsidRPr="008C0CD6">
        <w:t>cats</w:t>
      </w:r>
      <w:proofErr w:type="spellEnd"/>
      <w:r w:rsidRPr="008C0CD6">
        <w:t xml:space="preserve"> </w:t>
      </w:r>
      <w:proofErr w:type="spellStart"/>
      <w:r w:rsidRPr="008C0CD6">
        <w:t>and</w:t>
      </w:r>
      <w:proofErr w:type="spellEnd"/>
      <w:r w:rsidRPr="008C0CD6">
        <w:t xml:space="preserve"> </w:t>
      </w:r>
      <w:proofErr w:type="spellStart"/>
      <w:r w:rsidRPr="008C0CD6">
        <w:t>dogs</w:t>
      </w:r>
      <w:proofErr w:type="spellEnd"/>
      <w:r w:rsidRPr="008C0CD6">
        <w:t xml:space="preserve">. </w:t>
      </w:r>
      <w:proofErr w:type="spellStart"/>
      <w:r w:rsidRPr="008C0CD6">
        <w:t>Brussels</w:t>
      </w:r>
      <w:proofErr w:type="spellEnd"/>
      <w:r w:rsidRPr="008C0CD6">
        <w:t>: FEDIAF, 2024. Disponível em: https://europeanpetfood.org/wp-</w:t>
      </w:r>
      <w:r w:rsidRPr="008C0CD6">
        <w:lastRenderedPageBreak/>
        <w:t>content/uploads/2024/09/FEDIAF-Nutritional-Guidelines_2024.pdf. Acesso em: 9 set. 2026.</w:t>
      </w:r>
    </w:p>
    <w:p w14:paraId="50C52F59" w14:textId="77777777" w:rsidR="00941E94" w:rsidRDefault="00941E94" w:rsidP="006B4B0B">
      <w:pPr>
        <w:pStyle w:val="REFERENCIAS"/>
      </w:pPr>
    </w:p>
    <w:p w14:paraId="5A79FF29" w14:textId="595535CC" w:rsidR="00F807EC" w:rsidRDefault="00F807EC" w:rsidP="006B4B0B">
      <w:pPr>
        <w:pStyle w:val="REFERENCIAS"/>
      </w:pPr>
      <w:r w:rsidRPr="007A566B">
        <w:t>FRASER, C. M. Manual Merck de Medicina Veterinária. 10° edição. ed. São Paulo: Roca, 2017.</w:t>
      </w:r>
    </w:p>
    <w:p w14:paraId="6735D567" w14:textId="77777777" w:rsidR="00941E94" w:rsidRPr="00F968D1" w:rsidRDefault="00941E94" w:rsidP="006B4B0B">
      <w:pPr>
        <w:pStyle w:val="REFERENCIAS"/>
      </w:pPr>
    </w:p>
    <w:p w14:paraId="5F1632A3" w14:textId="77777777" w:rsidR="00F968D1" w:rsidRDefault="00F968D1" w:rsidP="006B4B0B">
      <w:pPr>
        <w:pStyle w:val="REFERENCIAS"/>
      </w:pPr>
      <w:r w:rsidRPr="00F968D1">
        <w:t xml:space="preserve">HALL, Jean A. Eclampsia in </w:t>
      </w:r>
      <w:proofErr w:type="spellStart"/>
      <w:r w:rsidRPr="00F968D1">
        <w:t>small</w:t>
      </w:r>
      <w:proofErr w:type="spellEnd"/>
      <w:r w:rsidRPr="00F968D1">
        <w:t xml:space="preserve"> </w:t>
      </w:r>
      <w:proofErr w:type="spellStart"/>
      <w:r w:rsidRPr="00F968D1">
        <w:t>animals</w:t>
      </w:r>
      <w:proofErr w:type="spellEnd"/>
      <w:r w:rsidRPr="00F968D1">
        <w:t xml:space="preserve">. In: MERCK VETERINARY MANUAL. </w:t>
      </w:r>
      <w:proofErr w:type="spellStart"/>
      <w:r w:rsidRPr="00F968D1">
        <w:t>Rahway</w:t>
      </w:r>
      <w:proofErr w:type="spellEnd"/>
      <w:r w:rsidRPr="00F968D1">
        <w:t xml:space="preserve">: Merck &amp; </w:t>
      </w:r>
      <w:proofErr w:type="spellStart"/>
      <w:r w:rsidRPr="00F968D1">
        <w:t>Co</w:t>
      </w:r>
      <w:proofErr w:type="spellEnd"/>
      <w:r w:rsidRPr="00F968D1">
        <w:t xml:space="preserve">., 2025. Disponível em: Merck </w:t>
      </w:r>
      <w:proofErr w:type="spellStart"/>
      <w:r w:rsidRPr="00F968D1">
        <w:t>Veterinary</w:t>
      </w:r>
      <w:proofErr w:type="spellEnd"/>
      <w:r w:rsidRPr="00F968D1">
        <w:t xml:space="preserve"> Manual – Eclampsia in </w:t>
      </w:r>
      <w:proofErr w:type="spellStart"/>
      <w:r w:rsidRPr="00F968D1">
        <w:t>Small</w:t>
      </w:r>
      <w:proofErr w:type="spellEnd"/>
      <w:r w:rsidRPr="00F968D1">
        <w:t xml:space="preserve"> </w:t>
      </w:r>
      <w:proofErr w:type="spellStart"/>
      <w:r w:rsidRPr="00F968D1">
        <w:t>Animals</w:t>
      </w:r>
      <w:proofErr w:type="spellEnd"/>
      <w:r w:rsidRPr="00F968D1">
        <w:t>. Acesso em: 29 ago. 2026.</w:t>
      </w:r>
    </w:p>
    <w:p w14:paraId="5D6A2D19" w14:textId="77777777" w:rsidR="00941E94" w:rsidRDefault="00941E94" w:rsidP="006B4B0B">
      <w:pPr>
        <w:pStyle w:val="REFERENCIAS"/>
      </w:pPr>
    </w:p>
    <w:p w14:paraId="4B423E3E" w14:textId="77777777" w:rsidR="00F968D1" w:rsidRPr="00F968D1" w:rsidRDefault="00F968D1" w:rsidP="006B4B0B">
      <w:pPr>
        <w:pStyle w:val="REFERENCIAS"/>
      </w:pPr>
    </w:p>
    <w:p w14:paraId="71A16D74" w14:textId="77777777" w:rsidR="00F968D1" w:rsidRDefault="00F968D1" w:rsidP="006B4B0B">
      <w:pPr>
        <w:pStyle w:val="REFERENCIAS"/>
      </w:pPr>
      <w:r w:rsidRPr="00F968D1">
        <w:t xml:space="preserve">MENDES, Martha Talita Ferreira; OLIVEIRA JÚNIOR, </w:t>
      </w:r>
      <w:proofErr w:type="spellStart"/>
      <w:r w:rsidRPr="00F968D1">
        <w:t>Ivam</w:t>
      </w:r>
      <w:proofErr w:type="spellEnd"/>
      <w:r w:rsidRPr="00F968D1">
        <w:t xml:space="preserve"> Moreira; SALES, </w:t>
      </w:r>
      <w:proofErr w:type="spellStart"/>
      <w:r w:rsidRPr="00F968D1">
        <w:t>Jhéssica</w:t>
      </w:r>
      <w:proofErr w:type="spellEnd"/>
      <w:r w:rsidRPr="00F968D1">
        <w:t xml:space="preserve"> de Fátima Silva; GARCIA, Júlia de Carvalho; DUARTE, </w:t>
      </w:r>
      <w:proofErr w:type="spellStart"/>
      <w:r w:rsidRPr="00F968D1">
        <w:t>Gautier</w:t>
      </w:r>
      <w:proofErr w:type="spellEnd"/>
      <w:r w:rsidRPr="00F968D1">
        <w:t xml:space="preserve"> Marc; VIEIRA, Vitória Ferreira; SOUSA, Rafaela Alves de Oliveira. Aspectos clínicos, epidemiológicos e terapêuticos da hipocalcemia puerperal em cadelas: Revisão. </w:t>
      </w:r>
      <w:proofErr w:type="spellStart"/>
      <w:r w:rsidRPr="00F968D1">
        <w:t>Pubvet</w:t>
      </w:r>
      <w:proofErr w:type="spellEnd"/>
      <w:r w:rsidRPr="00F968D1">
        <w:t>, [S. l.], v. 18, n. 07, p. e1617, 2024. DOI: 10.31533/pubvet.v18n07e1617. Disponível em: https://ojs.pubvet.com.br/index.php/revista/article/view/3668. Acesso em: 2 set. 2026.</w:t>
      </w:r>
    </w:p>
    <w:p w14:paraId="3915319A" w14:textId="77777777" w:rsidR="00941E94" w:rsidRDefault="00941E94" w:rsidP="006B4B0B">
      <w:pPr>
        <w:pStyle w:val="REFERENCIAS"/>
      </w:pPr>
    </w:p>
    <w:p w14:paraId="7A8EB73E" w14:textId="77777777" w:rsidR="00F968D1" w:rsidRPr="00F968D1" w:rsidRDefault="00F968D1" w:rsidP="006B4B0B">
      <w:pPr>
        <w:pStyle w:val="REFERENCIAS"/>
      </w:pPr>
    </w:p>
    <w:p w14:paraId="58F0FDF7" w14:textId="77777777" w:rsidR="00F968D1" w:rsidRDefault="00F968D1" w:rsidP="006B4B0B">
      <w:pPr>
        <w:pStyle w:val="REFERENCIAS"/>
      </w:pPr>
      <w:r w:rsidRPr="00F968D1">
        <w:t xml:space="preserve">MENDONÇA, Júlia </w:t>
      </w:r>
      <w:proofErr w:type="spellStart"/>
      <w:r w:rsidRPr="00F968D1">
        <w:t>Cosenza</w:t>
      </w:r>
      <w:proofErr w:type="spellEnd"/>
      <w:r w:rsidRPr="00F968D1">
        <w:t>. Abordagem nutricional em cadelas gestantes. 2021. 19 f. Trabalho de Conclusão de Curso (Graduação em Medicina Veterinária) – Faculdade de Ciências da Educação e Saúde, Centro Universitário de Brasília, Brasília, 2021. Disponível em: https://repositorio.uniceub.br/jspui/handle/prefix/15622. Acesso em: 29 ago. 2026.</w:t>
      </w:r>
    </w:p>
    <w:p w14:paraId="2100EFC9" w14:textId="34FDC7A0" w:rsidR="007A566B" w:rsidRDefault="007A566B" w:rsidP="006B4B0B">
      <w:pPr>
        <w:pStyle w:val="REFERENCIAS"/>
      </w:pPr>
    </w:p>
    <w:sectPr w:rsidR="007A566B" w:rsidSect="00F968D1">
      <w:headerReference w:type="default" r:id="rId7"/>
      <w:footerReference w:type="default" r:id="rId8"/>
      <w:pgSz w:w="11906" w:h="16840"/>
      <w:pgMar w:top="2269" w:right="1134" w:bottom="993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84EE25" w14:textId="77777777" w:rsidR="00AF7B16" w:rsidRDefault="00AF7B16">
      <w:r>
        <w:separator/>
      </w:r>
    </w:p>
  </w:endnote>
  <w:endnote w:type="continuationSeparator" w:id="0">
    <w:p w14:paraId="0B9B1E3F" w14:textId="77777777" w:rsidR="00AF7B16" w:rsidRDefault="00AF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0F3B0FA-06D5-4BF7-9D2C-FA37B5E58B4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FE0E85A-81E4-423A-8D28-EE5DF975DA24}"/>
    <w:embedBold r:id="rId3" w:fontKey="{E853052C-5B54-45A2-A383-91C1A262B2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B876D9A-CCBA-4BE4-B099-4F8AAA77CC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B8A4B" w14:textId="77777777" w:rsidR="00985AFC" w:rsidRDefault="00613A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DC8FB2B" wp14:editId="225889E6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35146367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655029" w14:textId="77777777" w:rsidR="00985AFC" w:rsidRDefault="00985A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6EC12AD4" w14:textId="77777777" w:rsidR="00985AFC" w:rsidRDefault="00985A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07AFD" w14:textId="77777777" w:rsidR="00AF7B16" w:rsidRDefault="00AF7B16">
      <w:r>
        <w:separator/>
      </w:r>
    </w:p>
  </w:footnote>
  <w:footnote w:type="continuationSeparator" w:id="0">
    <w:p w14:paraId="7254E05D" w14:textId="77777777" w:rsidR="00AF7B16" w:rsidRDefault="00AF7B16">
      <w:r>
        <w:continuationSeparator/>
      </w:r>
    </w:p>
  </w:footnote>
  <w:footnote w:id="1">
    <w:p w14:paraId="22962106" w14:textId="626E9F46" w:rsidR="001249FC" w:rsidRDefault="00613ACE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 w:rsidR="001249FC" w:rsidRPr="001249FC">
        <w:rPr>
          <w:color w:val="000000"/>
          <w:sz w:val="20"/>
          <w:szCs w:val="20"/>
        </w:rPr>
        <w:t xml:space="preserve">Graduando em Bacharelado em Medicina Veterinária – </w:t>
      </w:r>
      <w:r w:rsidR="001249FC">
        <w:rPr>
          <w:color w:val="000000"/>
          <w:sz w:val="20"/>
          <w:szCs w:val="20"/>
        </w:rPr>
        <w:t xml:space="preserve">Centro Universitário </w:t>
      </w:r>
      <w:proofErr w:type="spellStart"/>
      <w:r w:rsidR="001249FC">
        <w:rPr>
          <w:color w:val="000000"/>
          <w:sz w:val="20"/>
          <w:szCs w:val="20"/>
        </w:rPr>
        <w:t>Chrisfapi</w:t>
      </w:r>
      <w:proofErr w:type="spellEnd"/>
      <w:r w:rsidR="001249FC" w:rsidRPr="001249FC">
        <w:rPr>
          <w:color w:val="000000"/>
          <w:sz w:val="20"/>
          <w:szCs w:val="20"/>
        </w:rPr>
        <w:t xml:space="preserve">. E-mail: </w:t>
      </w:r>
      <w:r w:rsidR="001249FC">
        <w:rPr>
          <w:color w:val="000000" w:themeColor="text1"/>
          <w:sz w:val="20"/>
          <w:szCs w:val="20"/>
        </w:rPr>
        <w:t>kauannicolas828@gmail.com</w:t>
      </w:r>
    </w:p>
    <w:p w14:paraId="66A7E5E7" w14:textId="26136F34" w:rsidR="001249FC" w:rsidRDefault="001249FC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0"/>
          <w:szCs w:val="20"/>
        </w:rPr>
      </w:pPr>
      <w:r>
        <w:rPr>
          <w:vertAlign w:val="superscript"/>
        </w:rPr>
        <w:t>2</w:t>
      </w:r>
      <w:r>
        <w:rPr>
          <w:color w:val="000000"/>
          <w:sz w:val="20"/>
          <w:szCs w:val="20"/>
        </w:rPr>
        <w:t xml:space="preserve"> </w:t>
      </w:r>
      <w:r w:rsidRPr="001249FC">
        <w:rPr>
          <w:color w:val="000000"/>
          <w:sz w:val="20"/>
          <w:szCs w:val="20"/>
        </w:rPr>
        <w:t xml:space="preserve">Graduando em Bacharelado em Medicina Veterinária – </w:t>
      </w:r>
      <w:proofErr w:type="spellStart"/>
      <w:r w:rsidRPr="001249FC">
        <w:rPr>
          <w:color w:val="000000"/>
          <w:sz w:val="20"/>
          <w:szCs w:val="20"/>
        </w:rPr>
        <w:t>Christus</w:t>
      </w:r>
      <w:proofErr w:type="spellEnd"/>
      <w:r w:rsidRPr="001249FC">
        <w:rPr>
          <w:color w:val="000000"/>
          <w:sz w:val="20"/>
          <w:szCs w:val="20"/>
        </w:rPr>
        <w:t xml:space="preserve"> Faculdade do Piauí. E-mail: michellyrocha2005@gmail.com</w:t>
      </w:r>
    </w:p>
    <w:p w14:paraId="3474D193" w14:textId="29994CB1" w:rsidR="001249FC" w:rsidRPr="001249FC" w:rsidRDefault="001249FC" w:rsidP="001249F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t>3</w:t>
      </w:r>
      <w:r>
        <w:rPr>
          <w:color w:val="000000"/>
          <w:sz w:val="20"/>
          <w:szCs w:val="20"/>
        </w:rPr>
        <w:t xml:space="preserve"> </w:t>
      </w:r>
      <w:r w:rsidRPr="001249FC">
        <w:rPr>
          <w:color w:val="000000"/>
          <w:sz w:val="20"/>
          <w:szCs w:val="20"/>
        </w:rPr>
        <w:t>Médica veterinária pela Universidade Federal do Piauí-UFPI. Especialista em clínica médica e cirúrgica de pequenos animais, pela FACULDADE QUALITTAS. Docente do curso de Bacharelado em Medicina Veterinária UNICHRISFAPI. E-mail: palomamedeirosvet@gmail.com</w:t>
      </w:r>
    </w:p>
    <w:p w14:paraId="154FC6C5" w14:textId="17869151" w:rsidR="001249FC" w:rsidRPr="001249FC" w:rsidRDefault="001249FC" w:rsidP="001249F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t>4</w:t>
      </w:r>
      <w:r>
        <w:rPr>
          <w:color w:val="000000"/>
          <w:sz w:val="20"/>
          <w:szCs w:val="20"/>
        </w:rPr>
        <w:t xml:space="preserve"> </w:t>
      </w:r>
      <w:r w:rsidRPr="001249FC">
        <w:rPr>
          <w:color w:val="000000"/>
          <w:sz w:val="20"/>
          <w:szCs w:val="20"/>
        </w:rPr>
        <w:t>Médico Veterinário - UFPI. Mestre em Ciência Animal - UFPI.</w:t>
      </w:r>
      <w:r>
        <w:rPr>
          <w:color w:val="000000"/>
          <w:sz w:val="20"/>
          <w:szCs w:val="20"/>
        </w:rPr>
        <w:t xml:space="preserve"> </w:t>
      </w:r>
      <w:r w:rsidRPr="001249FC">
        <w:rPr>
          <w:color w:val="000000"/>
          <w:sz w:val="20"/>
          <w:szCs w:val="20"/>
        </w:rPr>
        <w:t>Docente do curso de Medicina Veterinária do Centro Universitário UNICHRISFAPI</w:t>
      </w:r>
      <w:r w:rsidRPr="001249FC">
        <w:rPr>
          <w:color w:val="000000" w:themeColor="text1"/>
          <w:sz w:val="20"/>
          <w:szCs w:val="20"/>
        </w:rPr>
        <w:t>.</w:t>
      </w:r>
      <w:r w:rsidR="00D4714F" w:rsidRPr="00D4714F">
        <w:rPr>
          <w:color w:val="000000"/>
          <w:sz w:val="20"/>
          <w:szCs w:val="20"/>
        </w:rPr>
        <w:t xml:space="preserve"> </w:t>
      </w:r>
      <w:r w:rsidR="00D4714F" w:rsidRPr="001249FC">
        <w:rPr>
          <w:color w:val="000000"/>
          <w:sz w:val="20"/>
          <w:szCs w:val="20"/>
        </w:rPr>
        <w:t>E-mail:</w:t>
      </w:r>
      <w:r w:rsidR="00D4714F" w:rsidRPr="00D4714F">
        <w:t xml:space="preserve"> </w:t>
      </w:r>
      <w:r w:rsidR="00D4714F" w:rsidRPr="00D4714F">
        <w:rPr>
          <w:color w:val="000000"/>
          <w:sz w:val="20"/>
          <w:szCs w:val="20"/>
        </w:rPr>
        <w:t>vtefernandes@hotmail.com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E0297E" w14:textId="77777777" w:rsidR="00985AFC" w:rsidRDefault="00613A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D35C12F" wp14:editId="3240DF73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99768623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AFC"/>
    <w:rsid w:val="001249FC"/>
    <w:rsid w:val="002B1B4F"/>
    <w:rsid w:val="002F6D6C"/>
    <w:rsid w:val="003930A7"/>
    <w:rsid w:val="003E5557"/>
    <w:rsid w:val="004C1D5E"/>
    <w:rsid w:val="005F50CB"/>
    <w:rsid w:val="00613ACE"/>
    <w:rsid w:val="0068623C"/>
    <w:rsid w:val="006B4B0B"/>
    <w:rsid w:val="006B5DED"/>
    <w:rsid w:val="007620AC"/>
    <w:rsid w:val="007A566B"/>
    <w:rsid w:val="008B24BA"/>
    <w:rsid w:val="008C0CD6"/>
    <w:rsid w:val="008F153F"/>
    <w:rsid w:val="00917EE2"/>
    <w:rsid w:val="00941E94"/>
    <w:rsid w:val="0098149F"/>
    <w:rsid w:val="00985AFC"/>
    <w:rsid w:val="009935BE"/>
    <w:rsid w:val="009D13A3"/>
    <w:rsid w:val="009E5CA5"/>
    <w:rsid w:val="009F0100"/>
    <w:rsid w:val="009F78DC"/>
    <w:rsid w:val="00AF7B16"/>
    <w:rsid w:val="00B34596"/>
    <w:rsid w:val="00BB5399"/>
    <w:rsid w:val="00C12D11"/>
    <w:rsid w:val="00C802BF"/>
    <w:rsid w:val="00CD2FFB"/>
    <w:rsid w:val="00D325CD"/>
    <w:rsid w:val="00D4714F"/>
    <w:rsid w:val="00F807EC"/>
    <w:rsid w:val="00F9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2AA58"/>
  <w15:docId w15:val="{6AF92EF5-0353-4410-BA23-22F896B6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53F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isselectedend">
    <w:name w:val="isselectedend"/>
    <w:basedOn w:val="Normal"/>
    <w:rsid w:val="008B24BA"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968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68D1"/>
  </w:style>
  <w:style w:type="paragraph" w:styleId="Rodap">
    <w:name w:val="footer"/>
    <w:basedOn w:val="Normal"/>
    <w:link w:val="RodapChar"/>
    <w:uiPriority w:val="99"/>
    <w:unhideWhenUsed/>
    <w:rsid w:val="00F968D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68D1"/>
  </w:style>
  <w:style w:type="paragraph" w:customStyle="1" w:styleId="REFERENCIAS">
    <w:name w:val="REFERENCIAS"/>
    <w:basedOn w:val="Normal"/>
    <w:link w:val="REFERENCIASChar"/>
    <w:qFormat/>
    <w:rsid w:val="00F807EC"/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firstLine="0"/>
      <w:jc w:val="left"/>
    </w:pPr>
    <w:rPr>
      <w:rFonts w:cs="Arial"/>
      <w:color w:val="000000"/>
      <w:szCs w:val="24"/>
    </w:rPr>
  </w:style>
  <w:style w:type="character" w:customStyle="1" w:styleId="REFERENCIASChar">
    <w:name w:val="REFERENCIAS Char"/>
    <w:basedOn w:val="Fontepargpadro"/>
    <w:link w:val="REFERENCIAS"/>
    <w:rsid w:val="00F807EC"/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249FC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249FC"/>
    <w:rPr>
      <w:color w:val="605E5C"/>
      <w:shd w:val="clear" w:color="auto" w:fill="E1DFDD"/>
    </w:rPr>
  </w:style>
  <w:style w:type="table" w:styleId="TabelaSimples3">
    <w:name w:val="Plain Table 3"/>
    <w:basedOn w:val="Tabelanormal"/>
    <w:uiPriority w:val="43"/>
    <w:rsid w:val="009814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2">
    <w:name w:val="Plain Table 2"/>
    <w:basedOn w:val="Tabelanormal"/>
    <w:uiPriority w:val="42"/>
    <w:rsid w:val="009814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deGradeClara">
    <w:name w:val="Grid Table Light"/>
    <w:basedOn w:val="Tabelanormal"/>
    <w:uiPriority w:val="40"/>
    <w:rsid w:val="0098149F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EE1B9-FBA1-4E81-ADAC-103784558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9</Pages>
  <Words>2432</Words>
  <Characters>13138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Win10</cp:lastModifiedBy>
  <cp:revision>15</cp:revision>
  <cp:lastPrinted>2026-09-10T00:49:00Z</cp:lastPrinted>
  <dcterms:created xsi:type="dcterms:W3CDTF">2026-09-02T17:34:00Z</dcterms:created>
  <dcterms:modified xsi:type="dcterms:W3CDTF">2026-09-11T15:03:00Z</dcterms:modified>
</cp:coreProperties>
</file>