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>
          <w:rFonts w:ascii="Arial" w:hAnsi="Arial" w:eastAsia="Arial" w:cs="Arial"/>
          <w:b/>
          <w:b/>
          <w:smallCaps/>
          <w:color w:val="000000"/>
          <w:sz w:val="22"/>
          <w:szCs w:val="22"/>
        </w:rPr>
      </w:pPr>
      <w:r>
        <w:rPr>
          <w:rFonts w:eastAsia="Arial" w:cs="Arial" w:ascii="Arial" w:hAnsi="Arial"/>
          <w:b/>
          <w:smallCaps/>
          <w:sz w:val="22"/>
          <w:szCs w:val="22"/>
        </w:rPr>
        <w:t>A IMPORTÂNCIA DA GESTÃO NO CONTEXTO DO SETOR AGROPECUÁRIO BRASILEIRO</w:t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Camila Cristina Ferreira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</w:rPr>
        <w:t>*, Rafaela Queiroz da Silva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</w:rPr>
        <w:t>, Bárbara de Souza Dias¹, Daiane Gonçalves Madureira¹, Ednéia Vieira Gonçalves¹, Raquel Araújo Azevedo Sá¹ e Breno Mourão de Sousa</w:t>
      </w:r>
      <w:r>
        <w:rPr>
          <w:rFonts w:eastAsia="Arial" w:cs="Arial" w:ascii="Arial" w:hAnsi="Arial"/>
          <w:b/>
          <w:color w:val="000000"/>
          <w:vertAlign w:val="superscript"/>
        </w:rPr>
        <w:t>2</w:t>
      </w:r>
      <w:r>
        <w:rPr>
          <w:rFonts w:eastAsia="Arial" w:cs="Arial" w:ascii="Arial" w:hAnsi="Arial"/>
          <w:b/>
          <w:color w:val="000000"/>
        </w:rPr>
        <w:t>.</w:t>
      </w:r>
    </w:p>
    <w:p>
      <w:pPr>
        <w:pStyle w:val="Normal"/>
        <w:jc w:val="center"/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4"/>
          <w:szCs w:val="14"/>
        </w:rPr>
        <w:t>Graduando em Medicina Veterinária – UniBH – Belo Horizonte/MG – Brasil – *Contato: camilahorizonte@gmail.com</w:t>
      </w:r>
    </w:p>
    <w:p>
      <w:pPr>
        <w:pStyle w:val="Normal"/>
        <w:jc w:val="center"/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2</w:t>
      </w:r>
      <w:bookmarkStart w:id="0" w:name="_heading=h.gjdgxs"/>
      <w:bookmarkEnd w:id="0"/>
      <w:r>
        <w:rPr>
          <w:rFonts w:eastAsia="Arial" w:cs="Arial" w:ascii="Arial" w:hAnsi="Arial"/>
          <w:i/>
          <w:color w:val="000000"/>
          <w:sz w:val="14"/>
          <w:szCs w:val="14"/>
        </w:rPr>
        <w:t>Professor de Medicina Veterinária – UniBH – Belo Horizonte/MG – Brasil</w:t>
      </w:r>
    </w:p>
    <w:p>
      <w:pPr>
        <w:pStyle w:val="Normal"/>
        <w:jc w:val="center"/>
        <w:rPr>
          <w:rFonts w:ascii="Arial" w:hAnsi="Arial" w:eastAsia="Arial" w:cs="Arial"/>
          <w:i/>
          <w:i/>
          <w:color w:val="000000"/>
          <w:sz w:val="18"/>
          <w:szCs w:val="18"/>
          <w:vertAlign w:val="superscript"/>
        </w:rPr>
      </w:pPr>
      <w:r>
        <w:rPr>
          <w:rFonts w:eastAsia="Arial" w:cs="Arial" w:ascii="Arial" w:hAnsi="Arial"/>
          <w:i/>
          <w:color w:val="000000"/>
          <w:sz w:val="18"/>
          <w:szCs w:val="18"/>
          <w:vertAlign w:val="superscript"/>
        </w:rPr>
      </w:r>
    </w:p>
    <w:p>
      <w:pPr>
        <w:sectPr>
          <w:headerReference w:type="default" r:id="rId2"/>
          <w:type w:val="nextPage"/>
          <w:pgSz w:w="11906" w:h="16838"/>
          <w:pgMar w:left="426" w:right="424" w:header="426" w:top="1560" w:footer="0" w:bottom="720" w:gutter="0"/>
          <w:pgNumType w:start="1" w:fmt="decimal"/>
          <w:formProt w:val="false"/>
          <w:textDirection w:val="lrTb"/>
          <w:docGrid w:type="default" w:linePitch="100" w:charSpace="16384"/>
        </w:sectPr>
      </w:pPr>
    </w:p>
    <w:p>
      <w:pPr>
        <w:pStyle w:val="Normal"/>
        <w:pBdr>
          <w:bottom w:val="single" w:sz="4" w:space="1" w:color="000000"/>
        </w:pBdr>
        <w:spacing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INTRODUÇÃO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O agronegócio configura-se como uma fração importante do PIB brasileiro, alcançando participação de 26,6% no ano de 2020. Ao longo do mesmo ano, apesar dos impactos negativos de uma pandemia mundial, o setor acumulou avanços e teve alta para todos os seus segmentos, até mesmo para a agroindústria, que foi o mais afetado². 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No que tange às atividades agropecuárias, o Censo agropecuário de 2017 apontou que elas empregam 15 milhões de pessoas e os estabelecimentos agropecuários do país somam 351 milhões de hectares. Dentre estes estabelecimentos, 77% foram classificados como de agricultura familiar³.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Diante do exposto, o presente estudo tem como objetivo elaborar uma revisão de literaturas que abordem a importância da gestão no contexto do setor agropecuário brasileiro.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Web"/>
        <w:pBdr>
          <w:bottom w:val="single" w:sz="4" w:space="1" w:color="000000"/>
        </w:pBdr>
        <w:spacing w:beforeAutospacing="0" w:before="280" w:afterAutospacing="0" w:after="96"/>
        <w:jc w:val="both"/>
        <w:rPr>
          <w:rFonts w:ascii="Arial" w:hAnsi="Arial" w:eastAsia="Arial" w:cs="Arial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MATERIAL E MÉTODOS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Revisão de literatura realizada a partir de artigos científicos publicados no período de 2006 a 2021, localizados através de mecanismos virtuais de pesquisa como o Google Acadêmico, além de consulta a boletins e publicações sobre o tema em sites de entidades ligadas ao setor, como a Confederação da Agricultura e Pecuária do Brasil (CNA) e o Instituto Brasileiro de Geografia e Estatística (IBGE).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Palavras-chave: gestão no agronegócio, gestão no setor agropecuário e censo agropecuário.</w:t>
      </w:r>
    </w:p>
    <w:p>
      <w:pPr>
        <w:pStyle w:val="Normal"/>
        <w:spacing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</w:r>
    </w:p>
    <w:p>
      <w:pPr>
        <w:pStyle w:val="Normal"/>
        <w:pBdr>
          <w:bottom w:val="single" w:sz="4" w:space="1" w:color="000000"/>
        </w:pBdr>
        <w:spacing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REVISÃO DE LITERATURA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No Censo de 2017 a agricultura familiar foi apontada como responsável por 23% da produção daquele ano, ocupou 80,89 milhões de hectares e empregou 10,1 milhões de pessoas. Em virtude dessa importante participação na economia brasileira, percebe-se a importância da utilização de ferramentas que aumentem a eficiência do negócio do produtor rural, no sentido de atender à crescente demanda da população por produtos de qualidade, ao mesmo tempo em que produzem de forma mais sustentável e se mantém competitivos perante o mercado</w:t>
      </w:r>
      <w:r>
        <w:rPr>
          <w:rFonts w:eastAsia="Arial" w:cs="Arial" w:ascii="Arial" w:hAnsi="Arial"/>
          <w:sz w:val="18"/>
          <w:szCs w:val="18"/>
          <w:vertAlign w:val="superscript"/>
        </w:rPr>
        <w:t>3,6</w:t>
      </w:r>
      <w:r>
        <w:rPr>
          <w:rFonts w:eastAsia="Arial" w:cs="Arial" w:ascii="Arial" w:hAnsi="Arial"/>
          <w:sz w:val="18"/>
          <w:szCs w:val="18"/>
        </w:rPr>
        <w:t>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Neste cenário, a gestão rural figura-se como imprescindível instrumento para o sucesso, fornecendo informações importantes que auxiliam na tomada de decisões, além de possibilitar uma visão sistêmica do negócio e permitir uma maior flexibilidade e adaptação a mudanças. Para um bom desempenho administrativo, entretanto, alguns pontos merecem destaque, como o planejamento, que deve servir de base às ações, direcionando as atividades a serem executadas e controlando o andamento de cada etapa, comparando o real com o inicialmente orçado e planejando. Além disso, o controle financeiro e de resultados deve estar ao alcance do administrador e sendo executado sob sua supervisão. Uma medida importante é a separação da contabilidade gerencial da fiscal, das contas bancárias particulares e das contas da empresa. Merece atenção ainda o controle de produção, pois mede o desempenho e avalia os resultados obtidos ao longo do desenvolvimento da atividade</w:t>
      </w:r>
      <w:r>
        <w:rPr>
          <w:rFonts w:eastAsia="Arial" w:cs="Arial" w:ascii="Arial" w:hAnsi="Arial"/>
          <w:sz w:val="18"/>
          <w:szCs w:val="18"/>
          <w:vertAlign w:val="superscript"/>
        </w:rPr>
        <w:t>6,7</w:t>
      </w:r>
      <w:r>
        <w:rPr>
          <w:rFonts w:eastAsia="Arial" w:cs="Arial" w:ascii="Arial" w:hAnsi="Arial"/>
          <w:sz w:val="18"/>
          <w:szCs w:val="18"/>
        </w:rPr>
        <w:t>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No contexto do setor agropecuário, além da adequação a políticas públicas e modernas ferramentas de gestão específicas, existem algumas particularidades que devem ser consideradas ao realizar um planejamento estratégico. Uma dessas singularidades é a maior dependência em relação aos fatores da natureza, que pode influenciar tanto na escolha e localização geográfica das propriedades, como interferem no nível de incidência de pragas. Outra característica importante é a sazonalidade da oferta, o que depende dos ciclos naturais de plantas e animais produzidos no país. Além disso, nos processos produtivos primários as despesas decorrentes da produção não coincidem com as receitas correntes que garantem o fluxo de caixa, o que implica na chamada variação estacional de renda dos produtores</w:t>
      </w:r>
      <w:r>
        <w:rPr>
          <w:rFonts w:eastAsia="Arial" w:cs="Arial" w:ascii="Arial" w:hAnsi="Arial"/>
          <w:sz w:val="18"/>
          <w:szCs w:val="18"/>
          <w:vertAlign w:val="superscript"/>
        </w:rPr>
        <w:t>5</w:t>
      </w:r>
      <w:r>
        <w:rPr>
          <w:rFonts w:eastAsia="Arial" w:cs="Arial" w:ascii="Arial" w:hAnsi="Arial"/>
          <w:sz w:val="18"/>
          <w:szCs w:val="18"/>
        </w:rPr>
        <w:t>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A gestão do empreendimento rural, que compreende a coleta de dados, geração de informações, tomada de decisões e ações que derivam destas decisões, ainda não é amplamente tratada na literatura nacional. Dados levantados em pesquisa realizada por Queiroz e Batalha em 2003 na região de Araraquara e São Carlos, no estado de São Paulo, mostraram que os produtores não utilizavam ferramentas de gestão adequadas e por mais que 61% dos produtores analisados tenham alegado fazer coleta e registro de dados referentes à atividade produtiva, esta era, quando realizada, sofrível, e em raríssimos casos se revertiam em análises úteis ao gerenciamento do negócio. No ano de 2013, Lopes e Santos desenvolveram estudo parecido na cidade de Ivinhema, no estado do Mato Grosso do Sul. Este trabalho mostrou que do total de produtores que participaram 69,23% declararam ter estudado até o ensino fundamental, 100% dos negócios eram dirigidos pela família e 76,92% não possuíam qualquer treinamento para aperfeiçoamento. Quanto aos custos de produção, 66,15% afirmaram ter conhecimento sobre os custos de produção, porém 60% dos entrevistados desconhecia qualquer método de controle de custos incorridos na propriedade</w:t>
      </w:r>
      <w:r>
        <w:rPr>
          <w:rFonts w:eastAsia="Arial" w:cs="Arial" w:ascii="Arial" w:hAnsi="Arial"/>
          <w:sz w:val="18"/>
          <w:szCs w:val="18"/>
          <w:vertAlign w:val="superscript"/>
        </w:rPr>
        <w:t>1,4</w:t>
      </w:r>
      <w:r>
        <w:rPr>
          <w:rFonts w:eastAsia="Arial" w:cs="Arial" w:ascii="Arial" w:hAnsi="Arial"/>
          <w:sz w:val="18"/>
          <w:szCs w:val="18"/>
        </w:rPr>
        <w:t>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Para que a gestão seja bem-sucedida é necessário não somente utilizar de maneira correta as ferramentas administrativas, mas também direcionar as decisões e os esforços para os objetivos esperados pelo produtor. Contudo, verifica-se que o baixo grau de instrução dos proprietários e a falta de treinamento e cursos sobre gestão de custo podem ser fatores limitadores do desenvolvimento da gestão rural no Brasil. Além disso, para os 39% dos entrevistados de São Paulo que afirmaram não fazer coleta e registro de dados, os motivos mais importantes apontados foram: 35,7% alegaram falta de tempo, 21,4% acredita que isto não seja importante para a gestão da atividade e 14,3% alegaram falta de hábito para a realização de coleta e registro</w:t>
      </w:r>
      <w:r>
        <w:rPr>
          <w:rFonts w:eastAsia="Arial" w:cs="Arial" w:ascii="Arial" w:hAnsi="Arial"/>
          <w:sz w:val="18"/>
          <w:szCs w:val="18"/>
          <w:vertAlign w:val="superscript"/>
        </w:rPr>
        <w:t>1,6</w:t>
      </w:r>
      <w:r>
        <w:rPr>
          <w:rFonts w:eastAsia="Arial" w:cs="Arial" w:ascii="Arial" w:hAnsi="Arial"/>
          <w:sz w:val="18"/>
          <w:szCs w:val="18"/>
        </w:rPr>
        <w:t>.</w:t>
      </w:r>
    </w:p>
    <w:p>
      <w:pPr>
        <w:pStyle w:val="Normal"/>
        <w:spacing w:before="4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>
          <w:bottom w:val="single" w:sz="4" w:space="1" w:color="000000"/>
        </w:pBdr>
        <w:spacing w:before="0" w:after="96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CONSIDERAÇÕES FINAIS</w:t>
      </w:r>
    </w:p>
    <w:p>
      <w:pPr>
        <w:pStyle w:val="Normal"/>
        <w:spacing w:before="0" w:after="9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Para otimizar as atividades dos estabelecimentos agropecuários e produzir com mais eficiência, é imprescindível a elaboração de um planejamento estratégico apoiado em ferramentas e técnicas de gestão, que devem ser inerentes a todo tipo de organização, seja ela uma empresa multinacional ou um estabelecimento de agricultura familiar.</w:t>
      </w:r>
      <w:bookmarkStart w:id="1" w:name="_GoBack"/>
      <w:bookmarkEnd w:id="1"/>
    </w:p>
    <w:p>
      <w:pPr>
        <w:pStyle w:val="Normal"/>
        <w:spacing w:before="0" w:after="96"/>
        <w:rPr>
          <w:rFonts w:ascii="Arial" w:hAnsi="Arial" w:cs="Arial"/>
          <w:b/>
          <w:b/>
          <w:bCs/>
          <w:color w:val="000000"/>
          <w:sz w:val="14"/>
          <w:szCs w:val="14"/>
        </w:rPr>
      </w:pPr>
      <w:r>
        <w:rPr>
          <w:rFonts w:cs="Arial" w:ascii="Arial" w:hAnsi="Arial"/>
          <w:b/>
          <w:bCs/>
          <w:color w:val="000000"/>
          <w:sz w:val="14"/>
          <w:szCs w:val="14"/>
        </w:rPr>
      </w:r>
    </w:p>
    <w:p>
      <w:pPr>
        <w:pStyle w:val="Normal"/>
        <w:spacing w:before="0" w:after="96"/>
        <w:jc w:val="center"/>
        <w:rPr>
          <w:rFonts w:ascii="Arial" w:hAnsi="Arial" w:cs="Arial"/>
          <w:b/>
          <w:b/>
          <w:bCs/>
          <w:color w:val="000000"/>
          <w:sz w:val="14"/>
          <w:szCs w:val="14"/>
        </w:rPr>
      </w:pPr>
      <w:r>
        <w:rPr>
          <w:rFonts w:cs="Arial" w:ascii="Arial" w:hAnsi="Arial"/>
          <w:b/>
          <w:bCs/>
          <w:color w:val="000000"/>
          <w:sz w:val="14"/>
          <w:szCs w:val="14"/>
        </w:rPr>
        <w:t xml:space="preserve">APOIO: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eastAsia="Arial" w:cs="Arial"/>
          <w:b/>
          <w:b/>
          <w:sz w:val="14"/>
          <w:szCs w:val="14"/>
        </w:rPr>
      </w:pPr>
      <w:r>
        <w:rPr>
          <w:rFonts w:eastAsia="Arial" w:cs="Arial" w:ascii="Arial" w:hAnsi="Arial"/>
          <w:b/>
          <w:sz w:val="14"/>
          <w:szCs w:val="14"/>
        </w:rPr>
        <w:t xml:space="preserve">                                           </w:t>
      </w:r>
      <w:r>
        <w:rPr/>
        <w:drawing>
          <wp:inline distT="0" distB="0" distL="0" distR="0">
            <wp:extent cx="1297305" cy="1133475"/>
            <wp:effectExtent l="0" t="0" r="0" b="0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left="426" w:right="424" w:header="426" w:top="1560" w:footer="0" w:bottom="720" w:gutter="0"/>
      <w:cols w:num="2" w:space="402" w:equalWidth="true" w:sep="false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rFonts w:ascii="Arial Rounded MT Bold" w:hAnsi="Arial Rounded MT Bold" w:eastAsia="Arial Rounded" w:cs="Arial Rounded"/>
        <w:color w:val="002060"/>
        <w:sz w:val="28"/>
        <w:szCs w:val="2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Rounded" w:cs="Arial Rounded" w:ascii="Arial Rounded MT Bold" w:hAnsi="Arial Rounded MT Bold"/>
        <w:color w:val="002060"/>
        <w:sz w:val="28"/>
        <w:szCs w:val="28"/>
      </w:rPr>
      <w:t>V</w:t>
    </w:r>
    <w:r>
      <w:rPr>
        <w:rFonts w:eastAsia="Arial Rounded" w:cs="Arial Rounded" w:ascii="Arial Rounded MT Bold" w:hAnsi="Arial Rounded MT Bold"/>
        <w:color w:val="002060"/>
        <w:sz w:val="28"/>
        <w:szCs w:val="28"/>
      </w:rPr>
      <w:t xml:space="preserve">II Colóquio Técnico Científico de Saúde Única, </w:t>
    </w:r>
  </w:p>
  <w:p>
    <w:pPr>
      <w:pStyle w:val="Normal"/>
      <w:tabs>
        <w:tab w:val="clear" w:pos="720"/>
        <w:tab w:val="center" w:pos="5670" w:leader="none"/>
        <w:tab w:val="right" w:pos="11056" w:leader="none"/>
      </w:tabs>
      <w:jc w:val="center"/>
      <w:rPr>
        <w:rFonts w:ascii="Arial Rounded MT Bold" w:hAnsi="Arial Rounded MT Bold" w:eastAsia="Arial Rounded" w:cs="Arial Rounded"/>
        <w:color w:val="002060"/>
        <w:sz w:val="16"/>
        <w:szCs w:val="16"/>
      </w:rPr>
    </w:pPr>
    <w:r>
      <w:rPr>
        <w:rFonts w:eastAsia="Arial Rounded" w:cs="Arial Rounded" w:ascii="Arial Rounded MT Bold" w:hAnsi="Arial Rounded MT Bol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7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 w:val="true"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678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d6782"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qFormat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DefaultParagraphFont"/>
    <w:link w:val="Ttulo3"/>
    <w:uiPriority w:val="99"/>
    <w:qFormat/>
    <w:rsid w:val="003d6782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d678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22953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ab590c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d6782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Corpodetexto2Char"/>
    <w:uiPriority w:val="99"/>
    <w:qFormat/>
    <w:rsid w:val="003d6782"/>
    <w:pPr/>
    <w:rPr>
      <w:rFonts w:ascii="Arial" w:hAnsi="Arial" w:cs="Arial"/>
      <w:color w:val="000000"/>
      <w:sz w:val="18"/>
      <w:szCs w:val="18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3d6782"/>
    <w:pPr>
      <w:spacing w:before="0" w:after="120"/>
      <w:ind w:left="283" w:hanging="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522953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05795d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rsid w:val="00ef590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DDDC828E-DD83-4096-9BA9-5D4FED64E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LibreOffice/6.4.7.2$Windows_X86_64 LibreOffice_project/639b8ac485750d5696d7590a72ef1b496725cfb5</Application>
  <Pages>1</Pages>
  <Words>969</Words>
  <Characters>5473</Characters>
  <CharactersWithSpaces>6588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2021-03-30T13:47:00Z</dcterms:created>
  <dc:creator>Pri Sadanã</dc:creator>
  <dc:description/>
  <dc:language>pt-BR</dc:language>
  <cp:lastModifiedBy/>
  <dcterms:modified xsi:type="dcterms:W3CDTF">2021-04-09T13:28:21Z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