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FB17" w14:textId="77777777" w:rsidR="00520F8A" w:rsidRPr="00752FB8" w:rsidRDefault="00520F8A">
      <w:pPr>
        <w:spacing w:line="360" w:lineRule="auto"/>
        <w:rPr>
          <w:sz w:val="24"/>
          <w:szCs w:val="24"/>
        </w:rPr>
      </w:pPr>
    </w:p>
    <w:p w14:paraId="7C603CE9" w14:textId="42710CE7" w:rsidR="00520F8A" w:rsidRPr="00752FB8" w:rsidRDefault="00520F8A" w:rsidP="00D31753">
      <w:pPr>
        <w:spacing w:line="360" w:lineRule="auto"/>
        <w:rPr>
          <w:b/>
          <w:bCs/>
          <w:sz w:val="24"/>
          <w:szCs w:val="24"/>
        </w:rPr>
      </w:pPr>
    </w:p>
    <w:p w14:paraId="0FBF397F" w14:textId="20C53718" w:rsidR="00520F8A" w:rsidRPr="00752FB8" w:rsidRDefault="00046786" w:rsidP="00046786">
      <w:pPr>
        <w:tabs>
          <w:tab w:val="left" w:pos="1540"/>
        </w:tabs>
        <w:spacing w:line="360" w:lineRule="auto"/>
        <w:ind w:left="-360"/>
        <w:jc w:val="center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 xml:space="preserve">Farmacologia Aplicada na Gestação e Lactação: Segurança e teratogenocidade de fármacos de uso comum na rotina veterinária. </w:t>
      </w:r>
    </w:p>
    <w:p w14:paraId="4640899F" w14:textId="38CEC9C5" w:rsidR="00D31753" w:rsidRPr="00752FB8" w:rsidRDefault="00D31753" w:rsidP="00D31753">
      <w:pPr>
        <w:tabs>
          <w:tab w:val="left" w:pos="2060"/>
          <w:tab w:val="left" w:pos="7240"/>
        </w:tabs>
        <w:spacing w:line="360" w:lineRule="auto"/>
        <w:ind w:left="-360"/>
        <w:jc w:val="both"/>
        <w:rPr>
          <w:sz w:val="24"/>
          <w:szCs w:val="24"/>
        </w:rPr>
      </w:pPr>
    </w:p>
    <w:p w14:paraId="34EC7141" w14:textId="258248E4" w:rsidR="00D31753" w:rsidRPr="00752FB8" w:rsidRDefault="00D31753" w:rsidP="00D31753">
      <w:pPr>
        <w:tabs>
          <w:tab w:val="left" w:pos="1540"/>
        </w:tabs>
        <w:spacing w:line="360" w:lineRule="auto"/>
        <w:ind w:left="5760"/>
        <w:jc w:val="both"/>
        <w:rPr>
          <w:sz w:val="24"/>
          <w:szCs w:val="24"/>
        </w:rPr>
      </w:pPr>
      <w:proofErr w:type="spellStart"/>
      <w:r w:rsidRPr="00752FB8">
        <w:rPr>
          <w:sz w:val="24"/>
          <w:szCs w:val="24"/>
        </w:rPr>
        <w:t>Franciaco</w:t>
      </w:r>
      <w:proofErr w:type="spellEnd"/>
      <w:r w:rsidRPr="00752FB8">
        <w:rPr>
          <w:sz w:val="24"/>
          <w:szCs w:val="24"/>
        </w:rPr>
        <w:t xml:space="preserve"> </w:t>
      </w:r>
      <w:proofErr w:type="gramStart"/>
      <w:r w:rsidRPr="00752FB8">
        <w:rPr>
          <w:sz w:val="24"/>
          <w:szCs w:val="24"/>
        </w:rPr>
        <w:t>Jo</w:t>
      </w:r>
      <w:r>
        <w:rPr>
          <w:sz w:val="24"/>
          <w:szCs w:val="24"/>
        </w:rPr>
        <w:t>sé  Paiva</w:t>
      </w:r>
      <w:proofErr w:type="gramEnd"/>
      <w:r>
        <w:rPr>
          <w:sz w:val="24"/>
          <w:szCs w:val="24"/>
        </w:rPr>
        <w:t xml:space="preserve"> Nascimento</w:t>
      </w:r>
      <w:r>
        <w:rPr>
          <w:rStyle w:val="Refdenotaderodap"/>
        </w:rPr>
        <w:footnoteRef/>
      </w:r>
    </w:p>
    <w:p w14:paraId="6DC191F1" w14:textId="77777777" w:rsidR="00D31753" w:rsidRPr="00D31753" w:rsidRDefault="00D31753" w:rsidP="00D31753">
      <w:pPr>
        <w:tabs>
          <w:tab w:val="left" w:pos="2060"/>
          <w:tab w:val="left" w:pos="7240"/>
        </w:tabs>
        <w:spacing w:line="360" w:lineRule="auto"/>
        <w:ind w:left="5760"/>
        <w:jc w:val="both"/>
        <w:rPr>
          <w:sz w:val="24"/>
          <w:szCs w:val="24"/>
        </w:rPr>
      </w:pPr>
      <w:r>
        <w:rPr>
          <w:sz w:val="24"/>
          <w:szCs w:val="24"/>
        </w:rPr>
        <w:t>Paloma Medeiros Ferreira</w:t>
      </w:r>
      <w:r w:rsidRPr="00D95BBF">
        <w:rPr>
          <w:vertAlign w:val="superscript"/>
        </w:rPr>
        <w:t>2</w:t>
      </w:r>
    </w:p>
    <w:p w14:paraId="3608C7C2" w14:textId="77777777" w:rsidR="00D31753" w:rsidRDefault="00D31753" w:rsidP="00D31753">
      <w:pPr>
        <w:tabs>
          <w:tab w:val="left" w:pos="2060"/>
          <w:tab w:val="left" w:pos="7240"/>
        </w:tabs>
        <w:spacing w:line="360" w:lineRule="auto"/>
        <w:ind w:left="576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Tiago Barros </w:t>
      </w:r>
      <w:r>
        <w:rPr>
          <w:sz w:val="24"/>
          <w:szCs w:val="24"/>
        </w:rPr>
        <w:t>Soares</w:t>
      </w:r>
      <w:r>
        <w:rPr>
          <w:rStyle w:val="Refdenotaderodap"/>
        </w:rPr>
        <w:footnoteRef/>
      </w:r>
    </w:p>
    <w:p w14:paraId="09E42509" w14:textId="77777777" w:rsidR="00D31753" w:rsidRPr="00752FB8" w:rsidRDefault="00D31753" w:rsidP="00D31753">
      <w:pPr>
        <w:tabs>
          <w:tab w:val="left" w:pos="2060"/>
        </w:tabs>
        <w:spacing w:line="360" w:lineRule="auto"/>
        <w:ind w:left="576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Vicente de Paula</w:t>
      </w:r>
      <w:r>
        <w:rPr>
          <w:sz w:val="24"/>
          <w:szCs w:val="24"/>
        </w:rPr>
        <w:t xml:space="preserve"> Fernades Neto</w:t>
      </w:r>
      <w:r w:rsidRPr="00D95BBF">
        <w:rPr>
          <w:vertAlign w:val="superscript"/>
        </w:rPr>
        <w:t>2</w:t>
      </w:r>
    </w:p>
    <w:p w14:paraId="01A86B82" w14:textId="56DE3B17" w:rsidR="00520F8A" w:rsidRPr="00752FB8" w:rsidRDefault="00000000">
      <w:pPr>
        <w:spacing w:line="360" w:lineRule="auto"/>
        <w:jc w:val="center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RESUMO</w:t>
      </w:r>
    </w:p>
    <w:p w14:paraId="49C2916B" w14:textId="5BCD4A97" w:rsidR="00752FB8" w:rsidRPr="00FB459F" w:rsidRDefault="00752FB8" w:rsidP="00FB459F">
      <w:pPr>
        <w:spacing w:line="360" w:lineRule="auto"/>
        <w:ind w:firstLine="720"/>
        <w:jc w:val="both"/>
        <w:rPr>
          <w:sz w:val="24"/>
          <w:szCs w:val="24"/>
        </w:rPr>
      </w:pPr>
      <w:r w:rsidRPr="00FB459F">
        <w:rPr>
          <w:sz w:val="24"/>
          <w:szCs w:val="24"/>
        </w:rPr>
        <w:t>A administração de medicamentos durante a gestação e a lactação faz parte da rotina da Medicina Veterinária, exigindo atenção aos possíveis efeitos sobre a fêmea, o feto e os neonatos. Nesse período, as mudanças fisiológicas da mãe podem afetar a absorção, a distribuição, a metabolização e a eliminação dos fármacos, alterando diretamente a resposta ao tratamento. Já o transporte dos princípios ativos pela barreira placentária e a excreção pelo leite trazem riscos de reações adversas e podem prejudicar o desenvolvimento fetal, sendo a teratogenicidade uma das principais preocupações nas fases críticas da embriogênese. Neste artigo, é apresentada uma revisão da literatura sobre a segurança dos principais fármacos usados na prática veterinária durante a gestação e a lactação, avaliando grupos de uso comum como anti-inflamatórios, antimicrobianos, antiparasitários, analgésicos, anestésicos e sedativos.  Também são discutidos aspectos relacionados à eliminação no leite e aos períodos de carência em animais de produção</w:t>
      </w:r>
      <w:proofErr w:type="gramStart"/>
      <w:r w:rsidRPr="00FB459F">
        <w:rPr>
          <w:sz w:val="24"/>
          <w:szCs w:val="24"/>
        </w:rPr>
        <w:t>. ;</w:t>
      </w:r>
      <w:proofErr w:type="gramEnd"/>
      <w:r w:rsidRPr="00FB459F">
        <w:rPr>
          <w:sz w:val="24"/>
          <w:szCs w:val="24"/>
        </w:rPr>
        <w:t xml:space="preserve"> </w:t>
      </w:r>
      <w:proofErr w:type="gramStart"/>
      <w:r w:rsidRPr="00FB459F">
        <w:rPr>
          <w:sz w:val="24"/>
          <w:szCs w:val="24"/>
        </w:rPr>
        <w:t>Por</w:t>
      </w:r>
      <w:proofErr w:type="gramEnd"/>
      <w:r w:rsidRPr="00FB459F">
        <w:rPr>
          <w:sz w:val="24"/>
          <w:szCs w:val="24"/>
        </w:rPr>
        <w:t xml:space="preserve"> fim, o trabalho destaca a importância da avaliação individual do paciente e da análise da relação risco-benefício, incentivando o uso racional e seguro de medicamentos na prática clínica.</w:t>
      </w:r>
    </w:p>
    <w:p w14:paraId="326BC76C" w14:textId="07A010DB" w:rsidR="00046786" w:rsidRDefault="00752FB8" w:rsidP="00FB459F">
      <w:pPr>
        <w:spacing w:line="360" w:lineRule="auto"/>
        <w:ind w:firstLine="720"/>
        <w:jc w:val="both"/>
        <w:rPr>
          <w:i/>
          <w:iCs/>
          <w:sz w:val="24"/>
          <w:szCs w:val="24"/>
        </w:rPr>
      </w:pPr>
      <w:r w:rsidRPr="00FB459F">
        <w:rPr>
          <w:sz w:val="24"/>
          <w:szCs w:val="24"/>
        </w:rPr>
        <w:t xml:space="preserve">Palavras-chave: farmacologia veterinária. </w:t>
      </w:r>
      <w:proofErr w:type="spellStart"/>
      <w:r w:rsidRPr="00FB459F">
        <w:rPr>
          <w:sz w:val="24"/>
          <w:szCs w:val="24"/>
        </w:rPr>
        <w:t>teratogênese</w:t>
      </w:r>
      <w:proofErr w:type="spellEnd"/>
      <w:r w:rsidRPr="00FB459F">
        <w:rPr>
          <w:sz w:val="24"/>
          <w:szCs w:val="24"/>
        </w:rPr>
        <w:t>. lactação. segurança terapêutica</w:t>
      </w:r>
      <w:r w:rsidRPr="00752FB8">
        <w:rPr>
          <w:i/>
          <w:iCs/>
          <w:sz w:val="24"/>
          <w:szCs w:val="24"/>
        </w:rPr>
        <w:t>. gestação.</w:t>
      </w:r>
    </w:p>
    <w:p w14:paraId="4FB086AD" w14:textId="629204E2" w:rsidR="001135DC" w:rsidRDefault="001135DC" w:rsidP="00FB459F">
      <w:pPr>
        <w:spacing w:line="360" w:lineRule="auto"/>
        <w:ind w:firstLine="720"/>
        <w:jc w:val="both"/>
        <w:rPr>
          <w:i/>
          <w:iCs/>
          <w:sz w:val="24"/>
          <w:szCs w:val="24"/>
        </w:rPr>
      </w:pPr>
    </w:p>
    <w:p w14:paraId="16792903" w14:textId="191F8648" w:rsidR="001135DC" w:rsidRDefault="001135DC" w:rsidP="00FB459F">
      <w:pPr>
        <w:spacing w:line="360" w:lineRule="auto"/>
        <w:ind w:firstLine="720"/>
        <w:jc w:val="both"/>
        <w:rPr>
          <w:i/>
          <w:iCs/>
          <w:sz w:val="24"/>
          <w:szCs w:val="24"/>
        </w:rPr>
      </w:pPr>
    </w:p>
    <w:p w14:paraId="1CFD07FA" w14:textId="696F433B" w:rsidR="001135DC" w:rsidRDefault="00B64B82" w:rsidP="001135DC">
      <w:pPr>
        <w:spacing w:line="360" w:lineRule="auto"/>
        <w:jc w:val="both"/>
        <w:rPr>
          <w:i/>
          <w:iCs/>
          <w:sz w:val="24"/>
          <w:szCs w:val="24"/>
        </w:rPr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A8671D5" wp14:editId="6C732EC9">
                <wp:simplePos x="0" y="0"/>
                <wp:positionH relativeFrom="margin">
                  <wp:align>right</wp:align>
                </wp:positionH>
                <wp:positionV relativeFrom="paragraph">
                  <wp:posOffset>27305</wp:posOffset>
                </wp:positionV>
                <wp:extent cx="5734050" cy="1343025"/>
                <wp:effectExtent l="0" t="0" r="19050" b="28575"/>
                <wp:wrapNone/>
                <wp:docPr id="1463109450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3430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C9E3E7" w14:textId="77777777" w:rsidR="00D31753" w:rsidRDefault="00D31753" w:rsidP="00D31753">
                            <w:pPr>
                              <w:pStyle w:val="Corpodetexto"/>
                              <w:spacing w:before="70"/>
                            </w:pPr>
                          </w:p>
                          <w:p w14:paraId="3638E17F" w14:textId="77777777" w:rsidR="00D31753" w:rsidRDefault="00D31753" w:rsidP="00D31753">
                            <w:pPr>
                              <w:pStyle w:val="Corpodetexto"/>
                              <w:spacing w:before="70"/>
                            </w:pPr>
                          </w:p>
                          <w:p w14:paraId="3F2F910A" w14:textId="40AC0667" w:rsidR="00D31753" w:rsidRDefault="00D31753" w:rsidP="00D31753">
                            <w:pPr>
                              <w:pStyle w:val="Corpodetexto"/>
                            </w:pPr>
                          </w:p>
                          <w:p w14:paraId="1EDC068D" w14:textId="35E164F4" w:rsidR="00D31753" w:rsidRDefault="00D31753" w:rsidP="00D31753">
                            <w:pPr>
                              <w:pStyle w:val="Corpodetexto"/>
                              <w:spacing w:before="139"/>
                              <w:ind w:left="525"/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671D5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400.3pt;margin-top:2.15pt;width:451.5pt;height:105.75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An4wQEAAHUDAAAOAAAAZHJzL2Uyb0RvYy54bWysU22P0zAM/o7Ef4jynbXrbgxV605i0yEk&#10;xCHd8QPSNFkjpUmwc2vHr8fJ3uD4hvjiurb7+PFjd30/DZYdFKDxruHzWcmZctJ3xu0b/v354d0H&#10;zjAK1wnrnWr4USG/37x9sx5DrSrfe9spYATisB5Dw/sYQ10UKHs1CJz5oBwltYdBRHqFfdGBGAl9&#10;sEVVlu+L0UMXwEuFSNHdKck3GV9rJeOj1qgisw0nbjFbyLZNttisRb0HEXojzzTEP7AYhHHU9Aq1&#10;E1GwFzB/QQ1Ggkev40z6ofBaG6nyDDTNvHw1zVMvgsqzkDgYrjLh/4OVXw9P4RuwOH30Ey0wCTIG&#10;rJGCaZ5Jw5CexJRRniQ8XmVTU2SSgsvV4q5cUkpSbr64W5TVMuEUt88DYPyk/MCS03CgvWS5xOEL&#10;xlPppSR1s46NBFWtyjKXobemezDWpiTCvt1aYAdBO52vqu0ys6Zuf5QlvJ3A/lSXU2dS1hG325DJ&#10;i1M7nSdvfXckQeim4yMZbT1RkdYEznoPP1/HRrqdhuOPFwGKM/vZ0XLSoV0cuDjtxYFotz6fYxo8&#10;dafdZrXOd5iO5/f3XHX7Wza/AAAA//8DAFBLAwQUAAYACAAAACEAraKYMNsAAAAGAQAADwAAAGRy&#10;cy9kb3ducmV2LnhtbEyPzU7DMBCE70i8g7VIXFDr9IcqhDhVRcUDtAVxdeNtbOGfKN62gadnOcFx&#10;NKOZb+r1GLy44JBdigpm0wIExjYZFzsFb4fXSQkik45G+xRRwRdmWDe3N7WuTLrGHV721AkuibnS&#10;CixRX0mZW4tB52nqMbJ3SkPQxHLopBn0lcuDl/OiWMmgXeQFq3t8sdh+7s9BQVo6923ft/JhLE/b&#10;crfxH0Reqfu7cfMMgnCkvzD84jM6NMx0TOdosvAK+AgpWC5AsPlULFgfFcxnjyXIppb/8ZsfAAAA&#10;//8DAFBLAQItABQABgAIAAAAIQC2gziS/gAAAOEBAAATAAAAAAAAAAAAAAAAAAAAAABbQ29udGVu&#10;dF9UeXBlc10ueG1sUEsBAi0AFAAGAAgAAAAhADj9If/WAAAAlAEAAAsAAAAAAAAAAAAAAAAALwEA&#10;AF9yZWxzLy5yZWxzUEsBAi0AFAAGAAgAAAAhABjcCfjBAQAAdQMAAA4AAAAAAAAAAAAAAAAALgIA&#10;AGRycy9lMm9Eb2MueG1sUEsBAi0AFAAGAAgAAAAhAK2imDDbAAAABgEAAA8AAAAAAAAAAAAAAAAA&#10;GwQAAGRycy9kb3ducmV2LnhtbFBLBQYAAAAABAAEAPMAAAAjBQAAAAA=&#10;" filled="f" strokecolor="#172c51" strokeweight="1pt">
                <v:textbox inset="0,0,0,0">
                  <w:txbxContent>
                    <w:p w14:paraId="22C9E3E7" w14:textId="77777777" w:rsidR="00D31753" w:rsidRDefault="00D31753" w:rsidP="00D31753">
                      <w:pPr>
                        <w:pStyle w:val="Corpodetexto"/>
                        <w:spacing w:before="70"/>
                      </w:pPr>
                    </w:p>
                    <w:p w14:paraId="3638E17F" w14:textId="77777777" w:rsidR="00D31753" w:rsidRDefault="00D31753" w:rsidP="00D31753">
                      <w:pPr>
                        <w:pStyle w:val="Corpodetexto"/>
                        <w:spacing w:before="70"/>
                      </w:pPr>
                    </w:p>
                    <w:p w14:paraId="3F2F910A" w14:textId="40AC0667" w:rsidR="00D31753" w:rsidRDefault="00D31753" w:rsidP="00D31753">
                      <w:pPr>
                        <w:pStyle w:val="Corpodetexto"/>
                      </w:pPr>
                    </w:p>
                    <w:p w14:paraId="1EDC068D" w14:textId="35E164F4" w:rsidR="00D31753" w:rsidRDefault="00D31753" w:rsidP="00D31753">
                      <w:pPr>
                        <w:pStyle w:val="Corpodetexto"/>
                        <w:spacing w:before="139"/>
                        <w:ind w:left="525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D9B45" w14:textId="0769E7E0" w:rsidR="001135DC" w:rsidRDefault="001135DC" w:rsidP="00FB459F">
      <w:pPr>
        <w:spacing w:line="360" w:lineRule="auto"/>
        <w:ind w:firstLine="720"/>
        <w:jc w:val="both"/>
        <w:rPr>
          <w:i/>
          <w:iCs/>
          <w:sz w:val="24"/>
          <w:szCs w:val="24"/>
        </w:rPr>
      </w:pPr>
    </w:p>
    <w:p w14:paraId="41CB089E" w14:textId="70587F60" w:rsidR="001135DC" w:rsidRDefault="00D31753" w:rsidP="001135DC">
      <w:pPr>
        <w:pStyle w:val="Textodenotaderodap"/>
      </w:pPr>
      <w:r w:rsidRPr="00D31753">
        <w:rPr>
          <w:sz w:val="22"/>
          <w:szCs w:val="22"/>
        </w:rPr>
        <w:t xml:space="preserve"> </w:t>
      </w:r>
      <w:r w:rsidRPr="00D31753">
        <w:t xml:space="preserve">   </w:t>
      </w:r>
      <w:r w:rsidR="001135DC" w:rsidRPr="00D31753">
        <w:rPr>
          <w:rStyle w:val="Refdenotaderodap"/>
          <w:sz w:val="24"/>
          <w:szCs w:val="24"/>
        </w:rPr>
        <w:footnoteRef/>
      </w:r>
      <w:r w:rsidR="001135DC" w:rsidRPr="00D31753">
        <w:rPr>
          <w:sz w:val="24"/>
          <w:szCs w:val="24"/>
        </w:rPr>
        <w:t xml:space="preserve"> </w:t>
      </w:r>
      <w:r w:rsidR="001135DC" w:rsidRPr="00F33874">
        <w:t xml:space="preserve">Graduando em </w:t>
      </w:r>
      <w:r w:rsidR="001135DC">
        <w:t>Medicina Veterinária</w:t>
      </w:r>
      <w:r w:rsidR="001135DC" w:rsidRPr="00F33874">
        <w:t xml:space="preserve"> – </w:t>
      </w:r>
      <w:proofErr w:type="spellStart"/>
      <w:r w:rsidR="001135DC" w:rsidRPr="00F33874">
        <w:t>Christus</w:t>
      </w:r>
      <w:proofErr w:type="spellEnd"/>
      <w:r w:rsidR="001135DC" w:rsidRPr="00F33874">
        <w:t xml:space="preserve"> Faculdade do Piauí.</w:t>
      </w:r>
    </w:p>
    <w:p w14:paraId="16D34356" w14:textId="7031EDBC" w:rsidR="001135DC" w:rsidRDefault="00D31753" w:rsidP="001135DC">
      <w:pPr>
        <w:spacing w:line="360" w:lineRule="auto"/>
        <w:jc w:val="both"/>
      </w:pPr>
      <w:r>
        <w:rPr>
          <w:vertAlign w:val="superscript"/>
        </w:rPr>
        <w:t xml:space="preserve">    </w:t>
      </w:r>
      <w:r w:rsidRPr="00D31753">
        <w:rPr>
          <w:sz w:val="28"/>
          <w:szCs w:val="28"/>
          <w:vertAlign w:val="superscript"/>
        </w:rPr>
        <w:t xml:space="preserve"> </w:t>
      </w:r>
      <w:r w:rsidR="001135DC" w:rsidRPr="00D31753">
        <w:rPr>
          <w:sz w:val="28"/>
          <w:szCs w:val="28"/>
          <w:vertAlign w:val="superscript"/>
        </w:rPr>
        <w:t>2</w:t>
      </w:r>
      <w:r w:rsidR="001135DC" w:rsidRPr="00D31753">
        <w:rPr>
          <w:sz w:val="28"/>
          <w:szCs w:val="28"/>
        </w:rPr>
        <w:t xml:space="preserve"> </w:t>
      </w:r>
      <w:r w:rsidR="001135DC" w:rsidRPr="00D95BBF">
        <w:t xml:space="preserve">Docente do curso de Medicina Veterinária – </w:t>
      </w:r>
      <w:proofErr w:type="spellStart"/>
      <w:r w:rsidR="001135DC" w:rsidRPr="00D95BBF">
        <w:t>Christus</w:t>
      </w:r>
      <w:proofErr w:type="spellEnd"/>
      <w:r w:rsidR="001135DC" w:rsidRPr="00D95BBF">
        <w:t xml:space="preserve"> Faculdade do Piauí.</w:t>
      </w:r>
    </w:p>
    <w:p w14:paraId="5186614A" w14:textId="77777777" w:rsidR="00D31753" w:rsidRDefault="00D31753" w:rsidP="001135DC">
      <w:pPr>
        <w:spacing w:line="360" w:lineRule="auto"/>
        <w:jc w:val="both"/>
      </w:pPr>
    </w:p>
    <w:p w14:paraId="1A9F2118" w14:textId="77777777" w:rsidR="00D31753" w:rsidRDefault="00D31753" w:rsidP="001135DC">
      <w:pPr>
        <w:spacing w:line="360" w:lineRule="auto"/>
        <w:jc w:val="both"/>
      </w:pPr>
    </w:p>
    <w:p w14:paraId="5D1CEEC2" w14:textId="77777777" w:rsidR="00D31753" w:rsidRDefault="00D31753" w:rsidP="001135DC">
      <w:pPr>
        <w:spacing w:line="360" w:lineRule="auto"/>
        <w:jc w:val="both"/>
      </w:pPr>
    </w:p>
    <w:p w14:paraId="3B6F731B" w14:textId="77777777" w:rsidR="00D31753" w:rsidRPr="001135DC" w:rsidRDefault="00D31753" w:rsidP="001135DC">
      <w:pPr>
        <w:spacing w:line="360" w:lineRule="auto"/>
        <w:jc w:val="both"/>
        <w:rPr>
          <w:sz w:val="24"/>
          <w:szCs w:val="24"/>
        </w:rPr>
      </w:pPr>
    </w:p>
    <w:p w14:paraId="3DC6A926" w14:textId="5C1BD29D" w:rsidR="00520F8A" w:rsidRPr="00752FB8" w:rsidRDefault="00000000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1 INTRODUÇÃO</w:t>
      </w:r>
    </w:p>
    <w:p w14:paraId="19500F2E" w14:textId="77777777" w:rsidR="00C36F7A" w:rsidRPr="00FB459F" w:rsidRDefault="001C6B25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FB459F">
        <w:rPr>
          <w:sz w:val="24"/>
          <w:szCs w:val="24"/>
        </w:rPr>
        <w:t xml:space="preserve">A prescrição medicamentosa em fêmeas gestantes e lactantes aparece como um dos contextos de maior complexidade na prática da Medicina Veterinária. Durante esses períodos, o organismo materno passa por transformações anatômicas e fisiológicas profundas como o aumento do débito cardíaco, a expansão do volume plasmático, variações na taxa de filtração glomerular e mudanças nas concentrações de proteínas </w:t>
      </w:r>
      <w:proofErr w:type="gramStart"/>
      <w:r w:rsidRPr="00FB459F">
        <w:rPr>
          <w:sz w:val="24"/>
          <w:szCs w:val="24"/>
        </w:rPr>
        <w:t>plasmáticas ,</w:t>
      </w:r>
      <w:proofErr w:type="gramEnd"/>
      <w:r w:rsidRPr="00FB459F">
        <w:rPr>
          <w:sz w:val="24"/>
          <w:szCs w:val="24"/>
        </w:rPr>
        <w:t xml:space="preserve"> alterações que afetam </w:t>
      </w:r>
    </w:p>
    <w:p w14:paraId="52BDED79" w14:textId="021FADAF" w:rsidR="00122F3E" w:rsidRPr="00FB459F" w:rsidRDefault="001C6B25" w:rsidP="00C36F7A">
      <w:pPr>
        <w:spacing w:line="360" w:lineRule="auto"/>
        <w:jc w:val="both"/>
        <w:rPr>
          <w:sz w:val="24"/>
          <w:szCs w:val="24"/>
        </w:rPr>
      </w:pPr>
      <w:r w:rsidRPr="00FB459F">
        <w:rPr>
          <w:sz w:val="24"/>
          <w:szCs w:val="24"/>
        </w:rPr>
        <w:t>diretamente a farmacocinética dos medicamentos (Biriba, 2025). Essas mudanças influenciam a absorção, a distribuição, o metabolismo e a eliminação dos princípios ativos, o que pode levar a falhas terapêuticas ou aumentar a toxicidade materna (</w:t>
      </w:r>
      <w:proofErr w:type="spellStart"/>
      <w:r w:rsidRPr="00FB459F">
        <w:rPr>
          <w:sz w:val="24"/>
          <w:szCs w:val="24"/>
        </w:rPr>
        <w:t>Plumb</w:t>
      </w:r>
      <w:proofErr w:type="spellEnd"/>
      <w:r w:rsidRPr="00FB459F">
        <w:rPr>
          <w:sz w:val="24"/>
          <w:szCs w:val="24"/>
        </w:rPr>
        <w:t>, 2018).</w:t>
      </w:r>
    </w:p>
    <w:p w14:paraId="0E12185B" w14:textId="0BCE1D31" w:rsidR="001C6B25" w:rsidRPr="00FB459F" w:rsidRDefault="001C6B25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FB459F">
        <w:rPr>
          <w:sz w:val="24"/>
          <w:szCs w:val="24"/>
        </w:rPr>
        <w:t>Além disso, administrar medicamentos durante esse período não afeta apenas a fêmea, mas também a prole em desenvolvimento. A barreira placentária não funciona como um filtro absoluto, o que permite a passagem de diversos fármacos por difusão simples ou transporte ativo, dependendo de fatores como lipossolubilidade, grau de ionização, massa molecular e afinidade por proteínas plasmáticas (</w:t>
      </w:r>
      <w:proofErr w:type="spellStart"/>
      <w:r w:rsidRPr="00FB459F">
        <w:rPr>
          <w:sz w:val="24"/>
          <w:szCs w:val="24"/>
        </w:rPr>
        <w:t>Papich</w:t>
      </w:r>
      <w:proofErr w:type="spellEnd"/>
      <w:r w:rsidRPr="00FB459F">
        <w:rPr>
          <w:sz w:val="24"/>
          <w:szCs w:val="24"/>
        </w:rPr>
        <w:t xml:space="preserve">, 2021). O risco de provocar </w:t>
      </w:r>
      <w:proofErr w:type="gramStart"/>
      <w:r w:rsidRPr="00FB459F">
        <w:rPr>
          <w:sz w:val="24"/>
          <w:szCs w:val="24"/>
        </w:rPr>
        <w:t>malformações congênitas</w:t>
      </w:r>
      <w:proofErr w:type="gramEnd"/>
      <w:r w:rsidRPr="00FB459F">
        <w:rPr>
          <w:sz w:val="24"/>
          <w:szCs w:val="24"/>
        </w:rPr>
        <w:t xml:space="preserve"> ou seja, a </w:t>
      </w:r>
      <w:proofErr w:type="gramStart"/>
      <w:r w:rsidRPr="00FB459F">
        <w:rPr>
          <w:sz w:val="24"/>
          <w:szCs w:val="24"/>
        </w:rPr>
        <w:t>teratogenicidade  é</w:t>
      </w:r>
      <w:proofErr w:type="gramEnd"/>
      <w:r w:rsidRPr="00FB459F">
        <w:rPr>
          <w:sz w:val="24"/>
          <w:szCs w:val="24"/>
        </w:rPr>
        <w:t xml:space="preserve"> particularmente </w:t>
      </w:r>
      <w:proofErr w:type="gramStart"/>
      <w:r w:rsidRPr="00FB459F">
        <w:rPr>
          <w:sz w:val="24"/>
          <w:szCs w:val="24"/>
        </w:rPr>
        <w:t>crítico</w:t>
      </w:r>
      <w:proofErr w:type="gramEnd"/>
      <w:r w:rsidRPr="00FB459F">
        <w:rPr>
          <w:sz w:val="24"/>
          <w:szCs w:val="24"/>
        </w:rPr>
        <w:t xml:space="preserve"> durante o primeiro terço da gestação, período em que ocorre a organogênese embrionária (</w:t>
      </w:r>
      <w:proofErr w:type="spellStart"/>
      <w:r w:rsidRPr="00FB459F">
        <w:rPr>
          <w:sz w:val="24"/>
          <w:szCs w:val="24"/>
        </w:rPr>
        <w:t>Spinosa</w:t>
      </w:r>
      <w:proofErr w:type="spellEnd"/>
      <w:r w:rsidRPr="00FB459F">
        <w:rPr>
          <w:sz w:val="24"/>
          <w:szCs w:val="24"/>
        </w:rPr>
        <w:t xml:space="preserve"> et al., 2017). Em estágios gestacionais mais tardios, o uso inadequado de determinados agentes pode ocasionar restrição do crescimento fetal, alterações vasculares ou depressão neonatal no momento do parto (Andrade, 2017).</w:t>
      </w:r>
    </w:p>
    <w:p w14:paraId="5AAD9E9B" w14:textId="2F39C05A" w:rsidR="001C6B25" w:rsidRPr="00FB459F" w:rsidRDefault="001C6B25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FB459F">
        <w:rPr>
          <w:sz w:val="24"/>
          <w:szCs w:val="24"/>
        </w:rPr>
        <w:t>Depois do parto, as preocupações se voltam para a fase da lactação, quando fármacos lipofílicos e de caráter básico tendem a se acumular no leite materno (</w:t>
      </w:r>
      <w:proofErr w:type="spellStart"/>
      <w:r w:rsidRPr="00FB459F">
        <w:rPr>
          <w:sz w:val="24"/>
          <w:szCs w:val="24"/>
        </w:rPr>
        <w:t>Papich</w:t>
      </w:r>
      <w:proofErr w:type="spellEnd"/>
      <w:r w:rsidRPr="00FB459F">
        <w:rPr>
          <w:sz w:val="24"/>
          <w:szCs w:val="24"/>
        </w:rPr>
        <w:t xml:space="preserve">, 2021). A administração desse leite aos recém-nascidos representa uma via involuntária de exposição a medicamentos, um fator que se agrava pela imaturidade hepática e renal dos neonatos para </w:t>
      </w:r>
      <w:proofErr w:type="spellStart"/>
      <w:r w:rsidRPr="00FB459F">
        <w:rPr>
          <w:sz w:val="24"/>
          <w:szCs w:val="24"/>
        </w:rPr>
        <w:t>biotransformar</w:t>
      </w:r>
      <w:proofErr w:type="spellEnd"/>
      <w:r w:rsidRPr="00FB459F">
        <w:rPr>
          <w:sz w:val="24"/>
          <w:szCs w:val="24"/>
        </w:rPr>
        <w:t xml:space="preserve"> e excretar compostos estranhos ao organismo (Torrentes</w:t>
      </w:r>
      <w:r w:rsidR="00DF5020" w:rsidRPr="00FB459F">
        <w:rPr>
          <w:sz w:val="24"/>
          <w:szCs w:val="24"/>
        </w:rPr>
        <w:t xml:space="preserve"> et al.</w:t>
      </w:r>
      <w:r w:rsidRPr="00FB459F">
        <w:rPr>
          <w:sz w:val="24"/>
          <w:szCs w:val="24"/>
        </w:rPr>
        <w:t>, 2025). Em animais criados para produção de alimentos, como bovinos e pequenos ruminantes, soma-se ainda a exigência de cumprir rigorosamente os períodos de carência, para evitar a presença de resíduos em produtos de origem animal e reduzir o incentivo ao desenvolvimento de resistência antimicrobiana (</w:t>
      </w:r>
      <w:proofErr w:type="spellStart"/>
      <w:r w:rsidRPr="00FB459F">
        <w:rPr>
          <w:sz w:val="24"/>
          <w:szCs w:val="24"/>
        </w:rPr>
        <w:t>Spinosa</w:t>
      </w:r>
      <w:proofErr w:type="spellEnd"/>
      <w:r w:rsidRPr="00FB459F">
        <w:rPr>
          <w:sz w:val="24"/>
          <w:szCs w:val="24"/>
        </w:rPr>
        <w:t xml:space="preserve"> et al., 2017).</w:t>
      </w:r>
    </w:p>
    <w:p w14:paraId="3EA5F85B" w14:textId="77777777" w:rsidR="005A1D00" w:rsidRDefault="001C6B25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FB459F">
        <w:rPr>
          <w:sz w:val="24"/>
          <w:szCs w:val="24"/>
        </w:rPr>
        <w:t xml:space="preserve">Diante do grande </w:t>
      </w:r>
      <w:proofErr w:type="gramStart"/>
      <w:r w:rsidRPr="00FB459F">
        <w:rPr>
          <w:sz w:val="24"/>
          <w:szCs w:val="24"/>
        </w:rPr>
        <w:t>número  fármacos</w:t>
      </w:r>
      <w:proofErr w:type="gramEnd"/>
      <w:r w:rsidRPr="00FB459F">
        <w:rPr>
          <w:sz w:val="24"/>
          <w:szCs w:val="24"/>
        </w:rPr>
        <w:t xml:space="preserve"> disponíveis na rotina clínica e das frequentes dúvidas sobre o uso seguro em fêmeas reprodutoras, torna-se importante compilar e analisar </w:t>
      </w:r>
    </w:p>
    <w:p w14:paraId="1CCBB050" w14:textId="77777777" w:rsidR="005A1D00" w:rsidRDefault="005A1D00" w:rsidP="005A1D00">
      <w:pPr>
        <w:spacing w:line="360" w:lineRule="auto"/>
        <w:jc w:val="both"/>
        <w:rPr>
          <w:sz w:val="24"/>
          <w:szCs w:val="24"/>
        </w:rPr>
      </w:pPr>
    </w:p>
    <w:p w14:paraId="6DB9F5E7" w14:textId="77777777" w:rsidR="005A1D00" w:rsidRDefault="005A1D00" w:rsidP="005A1D00">
      <w:pPr>
        <w:spacing w:line="360" w:lineRule="auto"/>
        <w:jc w:val="both"/>
        <w:rPr>
          <w:sz w:val="24"/>
          <w:szCs w:val="24"/>
        </w:rPr>
      </w:pPr>
    </w:p>
    <w:p w14:paraId="7523F186" w14:textId="298B4A59" w:rsidR="00520F8A" w:rsidRPr="00FB459F" w:rsidRDefault="001C6B25" w:rsidP="005A1D00">
      <w:pPr>
        <w:spacing w:line="360" w:lineRule="auto"/>
        <w:jc w:val="both"/>
        <w:rPr>
          <w:b/>
          <w:bCs/>
          <w:sz w:val="24"/>
          <w:szCs w:val="24"/>
        </w:rPr>
      </w:pPr>
      <w:r w:rsidRPr="00FB459F">
        <w:rPr>
          <w:sz w:val="24"/>
          <w:szCs w:val="24"/>
        </w:rPr>
        <w:t>as evidências científicas disponíveis. Assim, o objetivo deste trabalho é fazer uma revisão da literatura sobre a segurança e os possíveis efeitos teratogênicos e adversos dos principais grupos de fármacos usados na rotina veterinária durante as fases de gestação e lactação.</w:t>
      </w:r>
    </w:p>
    <w:p w14:paraId="7EF592E5" w14:textId="77777777" w:rsidR="00520F8A" w:rsidRPr="00752FB8" w:rsidRDefault="00000000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2 OBJETIVOS</w:t>
      </w:r>
    </w:p>
    <w:p w14:paraId="65F56097" w14:textId="10F4ADE7" w:rsidR="00122F3E" w:rsidRPr="00752FB8" w:rsidRDefault="00122F3E" w:rsidP="005A1D00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O presente trabalho tem como objetivo realizar uma revisão integrativa da literatura referente à segurança e ao potencial de teratogenicidade de fármacos amplamente empregados na rotina veterinária durante a gestação e a lactação. Busca-se caracterizar as modificações farmacocinéticas na fêmea, os mecanismos de transferência placentária e lactacional, bem como avaliar os riscos e a segurança clínica de classes como anti-inflamatórios, antimicrobianos, antiparasitários, anestésicos e sedativos sobre o desenvolvimento fetal e neonatal.</w:t>
      </w:r>
    </w:p>
    <w:p w14:paraId="74A30CE3" w14:textId="35DC5D85" w:rsidR="00122F3E" w:rsidRPr="00752FB8" w:rsidRDefault="00122F3E" w:rsidP="005A1D00">
      <w:pPr>
        <w:spacing w:line="360" w:lineRule="auto"/>
        <w:ind w:firstLine="720"/>
        <w:jc w:val="both"/>
        <w:rPr>
          <w:sz w:val="24"/>
          <w:szCs w:val="24"/>
        </w:rPr>
      </w:pPr>
    </w:p>
    <w:p w14:paraId="07C85AA2" w14:textId="2C49C0C9" w:rsidR="005A1D00" w:rsidRPr="00752FB8" w:rsidRDefault="00046786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3</w:t>
      </w:r>
      <w:r w:rsidR="00122F3E" w:rsidRPr="00752FB8">
        <w:rPr>
          <w:b/>
          <w:bCs/>
          <w:sz w:val="24"/>
          <w:szCs w:val="24"/>
        </w:rPr>
        <w:t>. REFERENCIAL TEÓRICO</w:t>
      </w:r>
    </w:p>
    <w:p w14:paraId="5A469963" w14:textId="38D1D4A9" w:rsidR="00122F3E" w:rsidRPr="00752FB8" w:rsidRDefault="00046786" w:rsidP="00C36F7A">
      <w:pPr>
        <w:spacing w:line="360" w:lineRule="auto"/>
        <w:jc w:val="both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3</w:t>
      </w:r>
      <w:r w:rsidR="00122F3E" w:rsidRPr="00752FB8">
        <w:rPr>
          <w:b/>
          <w:bCs/>
          <w:sz w:val="24"/>
          <w:szCs w:val="24"/>
        </w:rPr>
        <w:t>.1 Alterações Fisiológicas e Farmacocinéticas na Gestação e Lactação</w:t>
      </w:r>
    </w:p>
    <w:p w14:paraId="5C08D743" w14:textId="53AC96DE" w:rsidR="00046786" w:rsidRPr="00752FB8" w:rsidRDefault="001C6B25" w:rsidP="00C36F7A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Durante a gestação, a fêmea vivencia mudanças fisiológicas importantes que alteram o efeito dos fármacos no organismo. O aumento da volemia e do débito cardíaco eleva o volume de distribuição dos medicamentos hidrossolúveis, o que leva à redução da concentração plasmática de pico de alguns agentes (</w:t>
      </w:r>
      <w:proofErr w:type="spellStart"/>
      <w:r w:rsidRPr="00752FB8">
        <w:rPr>
          <w:sz w:val="24"/>
          <w:szCs w:val="24"/>
        </w:rPr>
        <w:t>Spinosa</w:t>
      </w:r>
      <w:proofErr w:type="spellEnd"/>
      <w:r w:rsidRPr="00752FB8">
        <w:rPr>
          <w:sz w:val="24"/>
          <w:szCs w:val="24"/>
        </w:rPr>
        <w:t xml:space="preserve"> et al., 2017). Ao mesmo tempo, observa-se uma queda nas concentrações de proteína plasmática principalmente a </w:t>
      </w:r>
      <w:proofErr w:type="gramStart"/>
      <w:r w:rsidRPr="00752FB8">
        <w:rPr>
          <w:sz w:val="24"/>
          <w:szCs w:val="24"/>
        </w:rPr>
        <w:t>albumina  o</w:t>
      </w:r>
      <w:proofErr w:type="gramEnd"/>
      <w:r w:rsidRPr="00752FB8">
        <w:rPr>
          <w:sz w:val="24"/>
          <w:szCs w:val="24"/>
        </w:rPr>
        <w:t xml:space="preserve"> que contribui para o aumento da fração livre de fármacos com alta ligação proteica. Esse aumento da fração livre pode potencializar o efeito terapêutico ou aumentar o risco de toxicidade (Andrade, 2017). Já na gestação tardia, o aumento da taxa de filtração glomerular acelera o </w:t>
      </w:r>
      <w:proofErr w:type="spellStart"/>
      <w:r w:rsidRPr="00752FB8">
        <w:rPr>
          <w:sz w:val="24"/>
          <w:szCs w:val="24"/>
        </w:rPr>
        <w:t>clearance</w:t>
      </w:r>
      <w:proofErr w:type="spellEnd"/>
      <w:r w:rsidRPr="00752FB8">
        <w:rPr>
          <w:sz w:val="24"/>
          <w:szCs w:val="24"/>
        </w:rPr>
        <w:t xml:space="preserve"> e a eliminação de substâncias eliminadas por via renal. Na fase de lactação, a alteração mais notável está relacionada ao pH do leite, que é ligeiramente mais ácido que o plasma. Fármacos básicos, como macrolídeos e </w:t>
      </w:r>
      <w:proofErr w:type="spellStart"/>
      <w:r w:rsidRPr="00752FB8">
        <w:rPr>
          <w:sz w:val="24"/>
          <w:szCs w:val="24"/>
        </w:rPr>
        <w:t>fluoroquinolonas</w:t>
      </w:r>
      <w:proofErr w:type="spellEnd"/>
      <w:r w:rsidRPr="00752FB8">
        <w:rPr>
          <w:sz w:val="24"/>
          <w:szCs w:val="24"/>
        </w:rPr>
        <w:t>, sofrem o fenômeno de aprisionamento iônico no leite, passando a se concentrar no fluido mamário e aumentando a exposição dos recém-nascidos durante a amamentação (</w:t>
      </w:r>
      <w:proofErr w:type="spellStart"/>
      <w:r w:rsidRPr="00752FB8">
        <w:rPr>
          <w:sz w:val="24"/>
          <w:szCs w:val="24"/>
        </w:rPr>
        <w:t>Papich</w:t>
      </w:r>
      <w:proofErr w:type="spellEnd"/>
      <w:r w:rsidRPr="00752FB8">
        <w:rPr>
          <w:sz w:val="24"/>
          <w:szCs w:val="24"/>
        </w:rPr>
        <w:t>, 2021).</w:t>
      </w:r>
    </w:p>
    <w:p w14:paraId="2F5B9BE0" w14:textId="77777777" w:rsidR="001C6B25" w:rsidRPr="00752FB8" w:rsidRDefault="001C6B25" w:rsidP="00122F3E">
      <w:pPr>
        <w:spacing w:line="360" w:lineRule="auto"/>
        <w:rPr>
          <w:sz w:val="24"/>
          <w:szCs w:val="24"/>
        </w:rPr>
      </w:pPr>
    </w:p>
    <w:p w14:paraId="0733FFA7" w14:textId="0A97DD02" w:rsidR="00122F3E" w:rsidRPr="00752FB8" w:rsidRDefault="00046786" w:rsidP="00122F3E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3</w:t>
      </w:r>
      <w:r w:rsidR="00122F3E" w:rsidRPr="00752FB8">
        <w:rPr>
          <w:b/>
          <w:bCs/>
          <w:sz w:val="24"/>
          <w:szCs w:val="24"/>
        </w:rPr>
        <w:t>.2 Transferência Placentária e Mecanismos de Teratogenicidade</w:t>
      </w:r>
    </w:p>
    <w:p w14:paraId="66F1E5DC" w14:textId="77777777" w:rsidR="005A1D00" w:rsidRDefault="001C6B25" w:rsidP="005A1D00">
      <w:pPr>
        <w:spacing w:line="360" w:lineRule="auto"/>
        <w:ind w:firstLine="720"/>
        <w:jc w:val="both"/>
      </w:pPr>
      <w:r w:rsidRPr="00752FB8">
        <w:t>A placenta em animais atua como uma barreira seletiva, embora deixe passar a maior parte das medicações por difusão simples. Já os medicamentos lipossolúveis, de baixo peso molecular (&lt; 500 Da</w:t>
      </w:r>
      <w:r w:rsidR="005A1D00">
        <w:t xml:space="preserve"> </w:t>
      </w:r>
    </w:p>
    <w:p w14:paraId="7982A310" w14:textId="77777777" w:rsidR="005A1D00" w:rsidRDefault="005A1D00" w:rsidP="005A1D00">
      <w:pPr>
        <w:spacing w:line="360" w:lineRule="auto"/>
        <w:jc w:val="both"/>
      </w:pPr>
    </w:p>
    <w:p w14:paraId="2F05FBF6" w14:textId="77777777" w:rsidR="005A1D00" w:rsidRDefault="005A1D00" w:rsidP="005A1D00">
      <w:pPr>
        <w:spacing w:line="360" w:lineRule="auto"/>
        <w:jc w:val="both"/>
      </w:pPr>
    </w:p>
    <w:p w14:paraId="592169C4" w14:textId="77777777" w:rsidR="00B64B82" w:rsidRDefault="00B64B82" w:rsidP="005A1D00">
      <w:pPr>
        <w:spacing w:line="360" w:lineRule="auto"/>
        <w:jc w:val="both"/>
      </w:pPr>
    </w:p>
    <w:p w14:paraId="7174DA7C" w14:textId="1F2492D3" w:rsidR="001C6B25" w:rsidRPr="00752FB8" w:rsidRDefault="001C6B25" w:rsidP="005A1D00">
      <w:pPr>
        <w:spacing w:line="360" w:lineRule="auto"/>
        <w:jc w:val="both"/>
      </w:pPr>
      <w:r w:rsidRPr="00752FB8">
        <w:t>e com menor ligação às proteínas plasmáticas atravessam a barreira placentária com mais facilidade (</w:t>
      </w:r>
      <w:proofErr w:type="spellStart"/>
      <w:r w:rsidRPr="00752FB8">
        <w:t>Plumb</w:t>
      </w:r>
      <w:proofErr w:type="spellEnd"/>
      <w:r w:rsidRPr="00752FB8">
        <w:t xml:space="preserve">, 2018). </w:t>
      </w:r>
      <w:proofErr w:type="spellStart"/>
      <w:r w:rsidRPr="00752FB8">
        <w:t>Teratogênese</w:t>
      </w:r>
      <w:proofErr w:type="spellEnd"/>
      <w:r w:rsidRPr="00752FB8">
        <w:t xml:space="preserve"> se refere à capacidade de um agente causar malformações anatômicas ou funcionais no embrião ou no feto. O efeito do medicamento depende da fase da gestação:</w:t>
      </w:r>
    </w:p>
    <w:p w14:paraId="2EA0180A" w14:textId="77777777" w:rsidR="00031738" w:rsidRPr="00752FB8" w:rsidRDefault="00122F3E" w:rsidP="00C36F7A">
      <w:pPr>
        <w:spacing w:line="360" w:lineRule="auto"/>
        <w:ind w:firstLine="720"/>
        <w:jc w:val="both"/>
      </w:pPr>
      <w:r w:rsidRPr="00752FB8">
        <w:rPr>
          <w:b/>
          <w:bCs/>
          <w:sz w:val="24"/>
          <w:szCs w:val="24"/>
        </w:rPr>
        <w:t>Fase Pré-implantação (Efeito "Tudo ou Nada"):</w:t>
      </w:r>
      <w:r w:rsidRPr="00752FB8">
        <w:rPr>
          <w:sz w:val="24"/>
          <w:szCs w:val="24"/>
        </w:rPr>
        <w:t xml:space="preserve"> </w:t>
      </w:r>
      <w:r w:rsidR="00031738" w:rsidRPr="00752FB8">
        <w:t>Nesse estágio, o contato com a substância tóxica provoca ou a morte embrionária precoce ou a recuperação integral do concepto, sem sequelas.</w:t>
      </w:r>
    </w:p>
    <w:p w14:paraId="1A43F962" w14:textId="77777777" w:rsidR="00031738" w:rsidRPr="00752FB8" w:rsidRDefault="00122F3E" w:rsidP="00C36F7A">
      <w:pPr>
        <w:spacing w:line="360" w:lineRule="auto"/>
        <w:ind w:firstLine="720"/>
        <w:jc w:val="both"/>
      </w:pPr>
      <w:r w:rsidRPr="00752FB8">
        <w:rPr>
          <w:b/>
          <w:bCs/>
          <w:sz w:val="24"/>
          <w:szCs w:val="24"/>
        </w:rPr>
        <w:t>Fase de Organogênese (Primeiro Terço):</w:t>
      </w:r>
      <w:r w:rsidRPr="00752FB8">
        <w:rPr>
          <w:sz w:val="24"/>
          <w:szCs w:val="24"/>
        </w:rPr>
        <w:t xml:space="preserve"> </w:t>
      </w:r>
      <w:r w:rsidR="00031738" w:rsidRPr="00752FB8">
        <w:t xml:space="preserve">Trata-se do intervalo de maior suscetibilidade teratogênica, durante o qual a exposição a medicamentos teratogênicos pode causar malformações anatômicas severas, incluindo as fendas palatinas. </w:t>
      </w:r>
    </w:p>
    <w:p w14:paraId="6CA97B38" w14:textId="77777777" w:rsidR="00031738" w:rsidRPr="00752FB8" w:rsidRDefault="00122F3E" w:rsidP="00C36F7A">
      <w:pPr>
        <w:spacing w:line="360" w:lineRule="auto"/>
        <w:ind w:firstLine="720"/>
        <w:jc w:val="both"/>
      </w:pPr>
      <w:r w:rsidRPr="00752FB8">
        <w:rPr>
          <w:b/>
          <w:bCs/>
          <w:sz w:val="24"/>
          <w:szCs w:val="24"/>
        </w:rPr>
        <w:t>Fase Fetal (Dois Terços Finais):</w:t>
      </w:r>
      <w:r w:rsidRPr="00752FB8">
        <w:rPr>
          <w:sz w:val="24"/>
          <w:szCs w:val="24"/>
        </w:rPr>
        <w:t xml:space="preserve"> </w:t>
      </w:r>
      <w:r w:rsidR="00031738" w:rsidRPr="00752FB8">
        <w:t>Caracteriza-se pelo crescimento e pela diferenciação funcional dos órgãos; nessa fase, a exposição pode resultar em restrição do crescimento intrauterino, toxicidade em órgãos específicos ou disfunções funcionais no recém-nascido (</w:t>
      </w:r>
      <w:proofErr w:type="spellStart"/>
      <w:r w:rsidR="00031738" w:rsidRPr="00752FB8">
        <w:t>Spinosa</w:t>
      </w:r>
      <w:proofErr w:type="spellEnd"/>
      <w:r w:rsidR="00031738" w:rsidRPr="00752FB8">
        <w:t xml:space="preserve"> et al., 2017).</w:t>
      </w:r>
    </w:p>
    <w:p w14:paraId="410F93DA" w14:textId="3CE8F5F3" w:rsidR="00122F3E" w:rsidRPr="00752FB8" w:rsidRDefault="00046786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3</w:t>
      </w:r>
      <w:r w:rsidR="00122F3E" w:rsidRPr="00752FB8">
        <w:rPr>
          <w:b/>
          <w:bCs/>
          <w:sz w:val="24"/>
          <w:szCs w:val="24"/>
        </w:rPr>
        <w:t>.3 Segurança dos Principais Grupos Farmacológicos na Rotina Veterinária</w:t>
      </w:r>
    </w:p>
    <w:p w14:paraId="0DA7F674" w14:textId="77777777" w:rsidR="00122F3E" w:rsidRPr="00752FB8" w:rsidRDefault="00122F3E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a) Antimicrobianos</w:t>
      </w:r>
    </w:p>
    <w:p w14:paraId="2B0761AB" w14:textId="77777777" w:rsidR="00031738" w:rsidRPr="00752FB8" w:rsidRDefault="00122F3E" w:rsidP="00031738">
      <w:pPr>
        <w:numPr>
          <w:ilvl w:val="0"/>
          <w:numId w:val="6"/>
        </w:numPr>
        <w:spacing w:line="360" w:lineRule="auto"/>
      </w:pPr>
      <w:r w:rsidRPr="00752FB8">
        <w:rPr>
          <w:b/>
          <w:bCs/>
          <w:sz w:val="24"/>
          <w:szCs w:val="24"/>
        </w:rPr>
        <w:t>Seguros:</w:t>
      </w:r>
      <w:r w:rsidRPr="00752FB8">
        <w:rPr>
          <w:sz w:val="24"/>
          <w:szCs w:val="24"/>
        </w:rPr>
        <w:t xml:space="preserve"> </w:t>
      </w:r>
      <w:r w:rsidR="00031738" w:rsidRPr="00752FB8">
        <w:t xml:space="preserve">Os agentes beta-lactâmicos, como penicilinas (ampicilina, amoxicilina) e cefalosporinas, têm ampla margem terapêutica e baixa toxicidade, sendo considerados as opções mais seguras ao longo da gestação e da lactação (Andrade, 2017). </w:t>
      </w:r>
    </w:p>
    <w:p w14:paraId="4D589156" w14:textId="37574F78" w:rsidR="00122F3E" w:rsidRPr="005A1D00" w:rsidRDefault="00122F3E" w:rsidP="005A1D00">
      <w:pPr>
        <w:numPr>
          <w:ilvl w:val="0"/>
          <w:numId w:val="6"/>
        </w:numPr>
        <w:spacing w:line="360" w:lineRule="auto"/>
      </w:pPr>
      <w:r w:rsidRPr="00752FB8">
        <w:rPr>
          <w:b/>
          <w:bCs/>
          <w:sz w:val="24"/>
          <w:szCs w:val="24"/>
        </w:rPr>
        <w:t>Uso Cauteloso:</w:t>
      </w:r>
      <w:r w:rsidRPr="00752FB8">
        <w:rPr>
          <w:sz w:val="24"/>
          <w:szCs w:val="24"/>
        </w:rPr>
        <w:t xml:space="preserve"> </w:t>
      </w:r>
      <w:r w:rsidR="00031738" w:rsidRPr="00752FB8">
        <w:t xml:space="preserve">Macrolídeos (por exemplo, eritromicina) e aminoglicosídeos (como a gentamicina) exigem acompanhamento clínico rigoroso, em virtude do potencial de </w:t>
      </w:r>
      <w:proofErr w:type="spellStart"/>
      <w:r w:rsidR="00031738" w:rsidRPr="00752FB8">
        <w:t>ototoxicidade</w:t>
      </w:r>
      <w:proofErr w:type="spellEnd"/>
      <w:r w:rsidR="00031738" w:rsidRPr="00752FB8">
        <w:t xml:space="preserve"> e </w:t>
      </w:r>
      <w:proofErr w:type="spellStart"/>
      <w:r w:rsidR="00031738" w:rsidRPr="00752FB8">
        <w:t>nefrotoxicidade</w:t>
      </w:r>
      <w:proofErr w:type="spellEnd"/>
      <w:r w:rsidR="00031738" w:rsidRPr="00752FB8">
        <w:t xml:space="preserve"> no feto quando usados por períodos prolongados (</w:t>
      </w:r>
      <w:proofErr w:type="spellStart"/>
      <w:r w:rsidR="00031738" w:rsidRPr="00752FB8">
        <w:t>Plumb</w:t>
      </w:r>
      <w:proofErr w:type="spellEnd"/>
      <w:r w:rsidR="00031738" w:rsidRPr="00752FB8">
        <w:t>, 2018).</w:t>
      </w:r>
    </w:p>
    <w:p w14:paraId="1044A3CF" w14:textId="015DCA00" w:rsidR="00046786" w:rsidRPr="005A1D00" w:rsidRDefault="00122F3E" w:rsidP="00122F3E">
      <w:pPr>
        <w:numPr>
          <w:ilvl w:val="0"/>
          <w:numId w:val="6"/>
        </w:numPr>
        <w:spacing w:line="360" w:lineRule="auto"/>
      </w:pPr>
      <w:r w:rsidRPr="00752FB8">
        <w:rPr>
          <w:b/>
          <w:bCs/>
          <w:sz w:val="24"/>
          <w:szCs w:val="24"/>
        </w:rPr>
        <w:t>Contraindicados:</w:t>
      </w:r>
      <w:r w:rsidRPr="00752FB8">
        <w:rPr>
          <w:sz w:val="24"/>
          <w:szCs w:val="24"/>
        </w:rPr>
        <w:t xml:space="preserve"> </w:t>
      </w:r>
      <w:r w:rsidR="00031738" w:rsidRPr="00752FB8">
        <w:t xml:space="preserve">As tetraciclinas (por exemplo, </w:t>
      </w:r>
      <w:proofErr w:type="spellStart"/>
      <w:r w:rsidR="00031738" w:rsidRPr="00752FB8">
        <w:t>doxiciclina</w:t>
      </w:r>
      <w:proofErr w:type="spellEnd"/>
      <w:r w:rsidR="00031738" w:rsidRPr="00752FB8">
        <w:t xml:space="preserve"> e </w:t>
      </w:r>
      <w:proofErr w:type="spellStart"/>
      <w:r w:rsidR="00031738" w:rsidRPr="00752FB8">
        <w:t>oxitetraciclina</w:t>
      </w:r>
      <w:proofErr w:type="spellEnd"/>
      <w:r w:rsidR="00031738" w:rsidRPr="00752FB8">
        <w:t xml:space="preserve">) se ligam ao cálcio e se acumulam nos dentes e nos ossos em desenvolvimento, o que pode causar hipoplasia do esmalte e comprometer o crescimento ósseo. As </w:t>
      </w:r>
      <w:proofErr w:type="spellStart"/>
      <w:r w:rsidR="00031738" w:rsidRPr="00752FB8">
        <w:t>fluoroquinolonas</w:t>
      </w:r>
      <w:proofErr w:type="spellEnd"/>
      <w:r w:rsidR="00031738" w:rsidRPr="00752FB8">
        <w:t xml:space="preserve"> (como </w:t>
      </w:r>
      <w:proofErr w:type="spellStart"/>
      <w:r w:rsidR="00031738" w:rsidRPr="00752FB8">
        <w:t>enrofloxacino</w:t>
      </w:r>
      <w:proofErr w:type="spellEnd"/>
      <w:r w:rsidR="00031738" w:rsidRPr="00752FB8">
        <w:t>) estão associadas à degeneração da cartilagem articular em indivíduos jovens em desenvolvimento (</w:t>
      </w:r>
      <w:proofErr w:type="spellStart"/>
      <w:r w:rsidR="00031738" w:rsidRPr="00752FB8">
        <w:t>Papich</w:t>
      </w:r>
      <w:proofErr w:type="spellEnd"/>
      <w:r w:rsidR="00031738" w:rsidRPr="00752FB8">
        <w:t>, 2021). Além disso, cloranfenicol e trimetoprim–</w:t>
      </w:r>
      <w:proofErr w:type="spellStart"/>
      <w:r w:rsidR="00031738" w:rsidRPr="00752FB8">
        <w:t>sulfametoxazol</w:t>
      </w:r>
      <w:proofErr w:type="spellEnd"/>
      <w:r w:rsidR="00031738" w:rsidRPr="00752FB8">
        <w:t xml:space="preserve"> apresentam risco de depressão da medula óssea e de malformações, como fenda palatina, quando administrados nas fases iniciais da gestação (</w:t>
      </w:r>
      <w:proofErr w:type="spellStart"/>
      <w:r w:rsidR="00031738" w:rsidRPr="00752FB8">
        <w:t>Spinosa</w:t>
      </w:r>
      <w:proofErr w:type="spellEnd"/>
      <w:r w:rsidR="00031738" w:rsidRPr="00752FB8">
        <w:t xml:space="preserve"> et al., 2017).</w:t>
      </w:r>
    </w:p>
    <w:p w14:paraId="01903576" w14:textId="26E091C3" w:rsidR="00122F3E" w:rsidRPr="00752FB8" w:rsidRDefault="00122F3E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b) Anti-inflamatórios e Analgésicos</w:t>
      </w:r>
    </w:p>
    <w:p w14:paraId="5ACF3933" w14:textId="77777777" w:rsidR="005A1D00" w:rsidRDefault="00122F3E" w:rsidP="00C36F7A">
      <w:pPr>
        <w:numPr>
          <w:ilvl w:val="0"/>
          <w:numId w:val="7"/>
        </w:numPr>
        <w:spacing w:line="360" w:lineRule="auto"/>
      </w:pPr>
      <w:proofErr w:type="spellStart"/>
      <w:r w:rsidRPr="00752FB8">
        <w:rPr>
          <w:b/>
          <w:bCs/>
          <w:sz w:val="24"/>
          <w:szCs w:val="24"/>
        </w:rPr>
        <w:t>AINEs</w:t>
      </w:r>
      <w:proofErr w:type="spellEnd"/>
      <w:r w:rsidRPr="00752FB8">
        <w:rPr>
          <w:b/>
          <w:bCs/>
          <w:sz w:val="24"/>
          <w:szCs w:val="24"/>
        </w:rPr>
        <w:t xml:space="preserve"> (Anti-inflamatórios Não Esteroidais):</w:t>
      </w:r>
      <w:r w:rsidRPr="00752FB8">
        <w:rPr>
          <w:sz w:val="24"/>
          <w:szCs w:val="24"/>
        </w:rPr>
        <w:t xml:space="preserve"> </w:t>
      </w:r>
      <w:r w:rsidR="00DD0C77" w:rsidRPr="00752FB8">
        <w:t xml:space="preserve">Medicamentos como </w:t>
      </w:r>
      <w:proofErr w:type="spellStart"/>
      <w:r w:rsidR="00DD0C77" w:rsidRPr="00752FB8">
        <w:t>meloxicam</w:t>
      </w:r>
      <w:proofErr w:type="spellEnd"/>
      <w:r w:rsidR="00DD0C77" w:rsidRPr="00752FB8">
        <w:t xml:space="preserve">, </w:t>
      </w:r>
      <w:proofErr w:type="spellStart"/>
      <w:r w:rsidR="00DD0C77" w:rsidRPr="00752FB8">
        <w:t>flunixin</w:t>
      </w:r>
      <w:proofErr w:type="spellEnd"/>
      <w:r w:rsidR="00DD0C77" w:rsidRPr="00752FB8">
        <w:t xml:space="preserve"> </w:t>
      </w:r>
      <w:proofErr w:type="spellStart"/>
      <w:r w:rsidR="00DD0C77" w:rsidRPr="00752FB8">
        <w:t>meglumine</w:t>
      </w:r>
      <w:proofErr w:type="spellEnd"/>
      <w:r w:rsidR="00DD0C77" w:rsidRPr="00752FB8">
        <w:t xml:space="preserve"> e </w:t>
      </w:r>
      <w:proofErr w:type="spellStart"/>
      <w:r w:rsidR="00DD0C77" w:rsidRPr="00752FB8">
        <w:t>carprofeno</w:t>
      </w:r>
      <w:proofErr w:type="spellEnd"/>
      <w:r w:rsidR="00DD0C77" w:rsidRPr="00752FB8">
        <w:t xml:space="preserve"> devem ser evitados, especialmente no terço final da gestação. Ao inibir a síntese de prostaglandinas, ocorre fechamento prematuro do ducto arterioso fetal, há </w:t>
      </w:r>
    </w:p>
    <w:p w14:paraId="4EBE5B2A" w14:textId="77777777" w:rsidR="005A1D00" w:rsidRDefault="005A1D00" w:rsidP="005A1D00">
      <w:pPr>
        <w:spacing w:line="360" w:lineRule="auto"/>
        <w:ind w:left="720"/>
      </w:pPr>
    </w:p>
    <w:p w14:paraId="08334B43" w14:textId="77777777" w:rsidR="005A1D00" w:rsidRDefault="005A1D00" w:rsidP="005A1D00">
      <w:pPr>
        <w:spacing w:line="360" w:lineRule="auto"/>
        <w:ind w:left="720"/>
      </w:pPr>
    </w:p>
    <w:p w14:paraId="144A44CF" w14:textId="77777777" w:rsidR="005A1D00" w:rsidRDefault="005A1D00" w:rsidP="005A1D00">
      <w:pPr>
        <w:spacing w:line="360" w:lineRule="auto"/>
        <w:ind w:left="720"/>
      </w:pPr>
    </w:p>
    <w:p w14:paraId="31BCF328" w14:textId="32DAF087" w:rsidR="00122F3E" w:rsidRPr="00C36F7A" w:rsidRDefault="00DD0C77" w:rsidP="005A1D00">
      <w:pPr>
        <w:spacing w:line="360" w:lineRule="auto"/>
      </w:pPr>
      <w:r w:rsidRPr="00752FB8">
        <w:t xml:space="preserve">prejuízo na hemodinâmica renal e o trabalho de parto se prolonga, por redução da contratilidade uterina (Andrade, 2017; </w:t>
      </w:r>
      <w:proofErr w:type="spellStart"/>
      <w:r w:rsidRPr="00752FB8">
        <w:t>Plumb</w:t>
      </w:r>
      <w:proofErr w:type="spellEnd"/>
      <w:r w:rsidRPr="00752FB8">
        <w:t>, 2018)</w:t>
      </w:r>
      <w:r w:rsidR="00122F3E" w:rsidRPr="00C36F7A">
        <w:rPr>
          <w:sz w:val="24"/>
          <w:szCs w:val="24"/>
        </w:rPr>
        <w:t>.</w:t>
      </w:r>
    </w:p>
    <w:p w14:paraId="1FD7396C" w14:textId="6FB2F05D" w:rsidR="00DD0C77" w:rsidRPr="00752FB8" w:rsidRDefault="00122F3E" w:rsidP="005A1D00">
      <w:pPr>
        <w:numPr>
          <w:ilvl w:val="0"/>
          <w:numId w:val="7"/>
        </w:numPr>
        <w:spacing w:line="360" w:lineRule="auto"/>
        <w:ind w:left="357" w:firstLine="357"/>
        <w:jc w:val="both"/>
      </w:pPr>
      <w:r w:rsidRPr="00752FB8">
        <w:rPr>
          <w:b/>
          <w:bCs/>
          <w:sz w:val="24"/>
          <w:szCs w:val="24"/>
        </w:rPr>
        <w:t>Corticoides:</w:t>
      </w:r>
      <w:r w:rsidRPr="00752FB8">
        <w:rPr>
          <w:sz w:val="24"/>
          <w:szCs w:val="24"/>
        </w:rPr>
        <w:t xml:space="preserve"> </w:t>
      </w:r>
      <w:r w:rsidR="00DD0C77" w:rsidRPr="00752FB8">
        <w:t xml:space="preserve">O uso de dexametasona, </w:t>
      </w:r>
      <w:proofErr w:type="spellStart"/>
      <w:r w:rsidR="00DD0C77" w:rsidRPr="00752FB8">
        <w:t>isoflupredona</w:t>
      </w:r>
      <w:proofErr w:type="spellEnd"/>
      <w:r w:rsidR="00DD0C77" w:rsidRPr="00752FB8">
        <w:t xml:space="preserve"> ou </w:t>
      </w:r>
      <w:proofErr w:type="spellStart"/>
      <w:r w:rsidR="00DD0C77" w:rsidRPr="00752FB8">
        <w:t>triamcinolona</w:t>
      </w:r>
      <w:proofErr w:type="spellEnd"/>
      <w:r w:rsidR="00DD0C77" w:rsidRPr="00752FB8">
        <w:t xml:space="preserve"> na fase avançada da gestação de ruminantes e cadelas é desaconselhado, porque reproduz o pico fisiológico de cortisol fetal e pode aumentar o risco de aborto ou parto prematuro (</w:t>
      </w:r>
      <w:proofErr w:type="spellStart"/>
      <w:r w:rsidR="00DD0C77" w:rsidRPr="00752FB8">
        <w:t>Spinosa</w:t>
      </w:r>
      <w:proofErr w:type="spellEnd"/>
      <w:r w:rsidR="00DD0C77" w:rsidRPr="00752FB8">
        <w:t xml:space="preserve"> et al., 2017).</w:t>
      </w:r>
    </w:p>
    <w:p w14:paraId="2E6E1ED4" w14:textId="0FF2CCE6" w:rsidR="00C36F7A" w:rsidRPr="005A1D00" w:rsidRDefault="00122F3E" w:rsidP="005A1D00">
      <w:pPr>
        <w:numPr>
          <w:ilvl w:val="0"/>
          <w:numId w:val="7"/>
        </w:numPr>
        <w:spacing w:line="360" w:lineRule="auto"/>
        <w:ind w:left="357" w:firstLine="357"/>
        <w:jc w:val="both"/>
      </w:pPr>
      <w:r w:rsidRPr="00752FB8">
        <w:rPr>
          <w:b/>
          <w:bCs/>
          <w:sz w:val="24"/>
          <w:szCs w:val="24"/>
        </w:rPr>
        <w:t>Opioides:</w:t>
      </w:r>
      <w:r w:rsidRPr="00752FB8">
        <w:rPr>
          <w:sz w:val="24"/>
          <w:szCs w:val="24"/>
        </w:rPr>
        <w:t xml:space="preserve"> </w:t>
      </w:r>
      <w:r w:rsidR="00DD0C77" w:rsidRPr="00752FB8">
        <w:t xml:space="preserve">A analgesia com tramadol, morfina e </w:t>
      </w:r>
      <w:proofErr w:type="spellStart"/>
      <w:r w:rsidR="00DD0C77" w:rsidRPr="00752FB8">
        <w:t>butorfanol</w:t>
      </w:r>
      <w:proofErr w:type="spellEnd"/>
      <w:r w:rsidR="00DD0C77" w:rsidRPr="00752FB8">
        <w:t xml:space="preserve"> atravessa a placenta. Quando usados perto do parto, podem causar depressão respiratória no recém-nascido; por outro lado, quando há uma titulação correta, são opções aceitáveis para o controle da dor aguda na fêmea (</w:t>
      </w:r>
      <w:proofErr w:type="spellStart"/>
      <w:r w:rsidR="00DD0C77" w:rsidRPr="00752FB8">
        <w:t>Papich</w:t>
      </w:r>
      <w:proofErr w:type="spellEnd"/>
      <w:r w:rsidR="00DD0C77" w:rsidRPr="00752FB8">
        <w:t>, 2021).</w:t>
      </w:r>
    </w:p>
    <w:p w14:paraId="7B8FF442" w14:textId="61FC7DAC" w:rsidR="00122F3E" w:rsidRPr="00752FB8" w:rsidRDefault="00122F3E" w:rsidP="00C36F7A">
      <w:pPr>
        <w:spacing w:line="360" w:lineRule="auto"/>
        <w:ind w:left="720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c) Antiparasitários</w:t>
      </w:r>
    </w:p>
    <w:p w14:paraId="01098732" w14:textId="77777777" w:rsidR="007055B4" w:rsidRPr="00752FB8" w:rsidRDefault="00122F3E" w:rsidP="007055B4">
      <w:pPr>
        <w:numPr>
          <w:ilvl w:val="0"/>
          <w:numId w:val="8"/>
        </w:numPr>
        <w:spacing w:line="360" w:lineRule="auto"/>
      </w:pPr>
      <w:r w:rsidRPr="00752FB8">
        <w:rPr>
          <w:b/>
          <w:bCs/>
          <w:sz w:val="24"/>
          <w:szCs w:val="24"/>
        </w:rPr>
        <w:t>Seguros:</w:t>
      </w:r>
      <w:r w:rsidRPr="00752FB8">
        <w:rPr>
          <w:sz w:val="24"/>
          <w:szCs w:val="24"/>
        </w:rPr>
        <w:t xml:space="preserve"> </w:t>
      </w:r>
      <w:r w:rsidR="007055B4" w:rsidRPr="00752FB8">
        <w:t xml:space="preserve">As </w:t>
      </w:r>
      <w:proofErr w:type="spellStart"/>
      <w:r w:rsidR="007055B4" w:rsidRPr="00752FB8">
        <w:t>lactonas</w:t>
      </w:r>
      <w:proofErr w:type="spellEnd"/>
      <w:r w:rsidR="007055B4" w:rsidRPr="00752FB8">
        <w:t xml:space="preserve"> </w:t>
      </w:r>
      <w:proofErr w:type="spellStart"/>
      <w:r w:rsidR="007055B4" w:rsidRPr="00752FB8">
        <w:t>macrocíclicas</w:t>
      </w:r>
      <w:proofErr w:type="spellEnd"/>
      <w:r w:rsidR="007055B4" w:rsidRPr="00752FB8">
        <w:t xml:space="preserve"> — ivermectina e </w:t>
      </w:r>
      <w:proofErr w:type="spellStart"/>
      <w:r w:rsidR="007055B4" w:rsidRPr="00752FB8">
        <w:t>doramectina</w:t>
      </w:r>
      <w:proofErr w:type="spellEnd"/>
      <w:r w:rsidR="007055B4" w:rsidRPr="00752FB8">
        <w:t xml:space="preserve"> —, quando usadas nas doses terapêuticas comuns, e os </w:t>
      </w:r>
      <w:proofErr w:type="spellStart"/>
      <w:r w:rsidR="007055B4" w:rsidRPr="00752FB8">
        <w:t>benzimidazóis</w:t>
      </w:r>
      <w:proofErr w:type="spellEnd"/>
      <w:r w:rsidR="007055B4" w:rsidRPr="00752FB8">
        <w:t xml:space="preserve">, como o </w:t>
      </w:r>
      <w:proofErr w:type="spellStart"/>
      <w:r w:rsidR="007055B4" w:rsidRPr="00752FB8">
        <w:t>fenbendazol</w:t>
      </w:r>
      <w:proofErr w:type="spellEnd"/>
      <w:r w:rsidR="007055B4" w:rsidRPr="00752FB8">
        <w:t>, são considerados seguros na gestação tanto no médio quanto no avançado termo (</w:t>
      </w:r>
      <w:proofErr w:type="spellStart"/>
      <w:r w:rsidR="007055B4" w:rsidRPr="00752FB8">
        <w:t>Plumb</w:t>
      </w:r>
      <w:proofErr w:type="spellEnd"/>
      <w:r w:rsidR="007055B4" w:rsidRPr="00752FB8">
        <w:t xml:space="preserve">, 2018). </w:t>
      </w:r>
    </w:p>
    <w:p w14:paraId="47A3819B" w14:textId="77777777" w:rsidR="007055B4" w:rsidRPr="00752FB8" w:rsidRDefault="00122F3E" w:rsidP="007055B4">
      <w:pPr>
        <w:numPr>
          <w:ilvl w:val="0"/>
          <w:numId w:val="8"/>
        </w:numPr>
        <w:spacing w:line="360" w:lineRule="auto"/>
      </w:pPr>
      <w:r w:rsidRPr="00752FB8">
        <w:rPr>
          <w:b/>
          <w:bCs/>
          <w:sz w:val="24"/>
          <w:szCs w:val="24"/>
        </w:rPr>
        <w:t>Contraindicados:</w:t>
      </w:r>
      <w:r w:rsidRPr="00752FB8">
        <w:rPr>
          <w:sz w:val="24"/>
          <w:szCs w:val="24"/>
        </w:rPr>
        <w:t xml:space="preserve"> </w:t>
      </w:r>
      <w:proofErr w:type="spellStart"/>
      <w:r w:rsidR="007055B4" w:rsidRPr="00752FB8">
        <w:t>albendazol</w:t>
      </w:r>
      <w:proofErr w:type="spellEnd"/>
      <w:r w:rsidR="007055B4" w:rsidRPr="00752FB8">
        <w:t xml:space="preserve"> apresenta efeito teratogênico e </w:t>
      </w:r>
      <w:proofErr w:type="spellStart"/>
      <w:r w:rsidR="007055B4" w:rsidRPr="00752FB8">
        <w:t>embriotóxico</w:t>
      </w:r>
      <w:proofErr w:type="spellEnd"/>
      <w:r w:rsidR="007055B4" w:rsidRPr="00752FB8">
        <w:t xml:space="preserve"> comprovado quando usado no primeiro terço da gestação, na fase de organogênese, podendo provocar malformações de membros e vísceras nos conceptos (</w:t>
      </w:r>
      <w:proofErr w:type="spellStart"/>
      <w:r w:rsidR="007055B4" w:rsidRPr="00752FB8">
        <w:t>Spinosa</w:t>
      </w:r>
      <w:proofErr w:type="spellEnd"/>
      <w:r w:rsidR="007055B4" w:rsidRPr="00752FB8">
        <w:t xml:space="preserve"> et al., 2017).</w:t>
      </w:r>
    </w:p>
    <w:p w14:paraId="7F195AAA" w14:textId="66AFF9D6" w:rsidR="00122F3E" w:rsidRPr="00752FB8" w:rsidRDefault="00122F3E" w:rsidP="00122F3E">
      <w:pPr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d) Anestésicos e Sedativos</w:t>
      </w:r>
    </w:p>
    <w:p w14:paraId="286FCA73" w14:textId="7753F87C" w:rsidR="00046786" w:rsidRPr="00C36F7A" w:rsidRDefault="007055B4" w:rsidP="00C36F7A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t xml:space="preserve">Todos os anestésicos gerais (por exemplo, </w:t>
      </w:r>
      <w:proofErr w:type="spellStart"/>
      <w:r w:rsidRPr="00752FB8">
        <w:t>propofol</w:t>
      </w:r>
      <w:proofErr w:type="spellEnd"/>
      <w:r w:rsidRPr="00752FB8">
        <w:t xml:space="preserve">, isoflurano e sevoflurano) e sedativos (tais como xilazina, acepromazina e </w:t>
      </w:r>
      <w:proofErr w:type="spellStart"/>
      <w:r w:rsidRPr="00752FB8">
        <w:t>diazepam</w:t>
      </w:r>
      <w:proofErr w:type="spellEnd"/>
      <w:r w:rsidRPr="00752FB8">
        <w:t xml:space="preserve">) atravessam a barreira placentária de forma rápida. Os agonistas alfa-2 adrenérgicos (por exemplo, xilazina) diminuem a perfusão uteroplacentária e induzem contrações do miométrio em ruminantes, incrementando o risco de abortamento em fases avançadas da gestação </w:t>
      </w:r>
      <w:r w:rsidR="006B55EC" w:rsidRPr="006B55EC">
        <w:t>(Andrade, 2017)</w:t>
      </w:r>
      <w:r w:rsidRPr="00752FB8">
        <w:t xml:space="preserve">. Durante cesarianas, optar por protocolos de curta duração e garantir atendimento neonatal imediato mostra-se essencial para reverter a depressão do sistema nervoso central causada pelos anestésicos </w:t>
      </w:r>
      <w:r w:rsidR="006B55EC" w:rsidRPr="006B55EC">
        <w:t>(</w:t>
      </w:r>
      <w:proofErr w:type="spellStart"/>
      <w:r w:rsidR="006B55EC" w:rsidRPr="006B55EC">
        <w:t>Plumb</w:t>
      </w:r>
      <w:proofErr w:type="spellEnd"/>
      <w:r w:rsidR="006B55EC" w:rsidRPr="006B55EC">
        <w:t>, 2018)</w:t>
      </w:r>
      <w:r w:rsidR="006B55EC">
        <w:t>.</w:t>
      </w:r>
    </w:p>
    <w:p w14:paraId="53B823FD" w14:textId="085F7D52" w:rsidR="00122F3E" w:rsidRPr="00752FB8" w:rsidRDefault="00046786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3</w:t>
      </w:r>
      <w:r w:rsidR="00122F3E" w:rsidRPr="00752FB8">
        <w:rPr>
          <w:b/>
          <w:bCs/>
          <w:sz w:val="24"/>
          <w:szCs w:val="24"/>
        </w:rPr>
        <w:t>.4 Período de Carência e Implicações na Lactação de Animais de Produção</w:t>
      </w:r>
    </w:p>
    <w:p w14:paraId="768027B0" w14:textId="77777777" w:rsidR="005A1D00" w:rsidRDefault="007055B4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Em fêmeas leiteiras (como vacas e cabras), a eliminação de resíduos farmacológicos no leite traz duas preocupações principais: a saúde do recém-nascido e a segurança do consumidor humano. A administração de leite com resíduos de antibióticos a bezerros e cordeiros altera a microbiota intestinal e promove a seleção de cepas bacterianas resistentes (Andrade, 2017). No campo da saúde pública, o descumprimento do período de carência (</w:t>
      </w:r>
      <w:proofErr w:type="spellStart"/>
      <w:r w:rsidRPr="00752FB8">
        <w:rPr>
          <w:sz w:val="24"/>
          <w:szCs w:val="24"/>
        </w:rPr>
        <w:t>withdrawal</w:t>
      </w:r>
      <w:proofErr w:type="spellEnd"/>
      <w:r w:rsidRPr="00752FB8">
        <w:rPr>
          <w:sz w:val="24"/>
          <w:szCs w:val="24"/>
        </w:rPr>
        <w:t xml:space="preserve"> </w:t>
      </w:r>
      <w:proofErr w:type="spellStart"/>
      <w:r w:rsidRPr="00752FB8">
        <w:rPr>
          <w:sz w:val="24"/>
          <w:szCs w:val="24"/>
        </w:rPr>
        <w:t>period</w:t>
      </w:r>
      <w:proofErr w:type="spellEnd"/>
      <w:r w:rsidRPr="00752FB8">
        <w:rPr>
          <w:sz w:val="24"/>
          <w:szCs w:val="24"/>
        </w:rPr>
        <w:t xml:space="preserve">) favorece o consumo humano de alimentos contaminados, podendo causar reações alérgicas </w:t>
      </w:r>
    </w:p>
    <w:p w14:paraId="70ABC7A5" w14:textId="77777777" w:rsidR="005A1D00" w:rsidRDefault="005A1D00" w:rsidP="005A1D00">
      <w:pPr>
        <w:spacing w:line="360" w:lineRule="auto"/>
        <w:jc w:val="both"/>
        <w:rPr>
          <w:sz w:val="24"/>
          <w:szCs w:val="24"/>
        </w:rPr>
      </w:pPr>
    </w:p>
    <w:p w14:paraId="50CBC99B" w14:textId="77777777" w:rsidR="005A1D00" w:rsidRDefault="005A1D00" w:rsidP="005A1D00">
      <w:pPr>
        <w:spacing w:line="360" w:lineRule="auto"/>
        <w:jc w:val="both"/>
        <w:rPr>
          <w:sz w:val="24"/>
          <w:szCs w:val="24"/>
        </w:rPr>
      </w:pPr>
    </w:p>
    <w:p w14:paraId="432D0A31" w14:textId="350216FA" w:rsidR="00122F3E" w:rsidRPr="00752FB8" w:rsidRDefault="007055B4" w:rsidP="005A1D00">
      <w:pPr>
        <w:spacing w:line="360" w:lineRule="auto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graves e contribuindo para a disseminação global da resistência antimicrobiana (</w:t>
      </w:r>
      <w:proofErr w:type="spellStart"/>
      <w:r w:rsidRPr="00752FB8">
        <w:rPr>
          <w:sz w:val="24"/>
          <w:szCs w:val="24"/>
        </w:rPr>
        <w:t>Spinosa</w:t>
      </w:r>
      <w:proofErr w:type="spellEnd"/>
      <w:r w:rsidRPr="00752FB8">
        <w:rPr>
          <w:sz w:val="24"/>
          <w:szCs w:val="24"/>
        </w:rPr>
        <w:t xml:space="preserve"> et al., 2017).</w:t>
      </w:r>
    </w:p>
    <w:p w14:paraId="31ECDE22" w14:textId="7F1D634F" w:rsidR="00122F3E" w:rsidRPr="00752FB8" w:rsidRDefault="00046786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4</w:t>
      </w:r>
      <w:r w:rsidR="00122F3E" w:rsidRPr="00752FB8">
        <w:rPr>
          <w:b/>
          <w:bCs/>
          <w:sz w:val="24"/>
          <w:szCs w:val="24"/>
        </w:rPr>
        <w:t>. MÉTODO</w:t>
      </w:r>
    </w:p>
    <w:p w14:paraId="581BC35C" w14:textId="2C383C3A" w:rsidR="00C36F7A" w:rsidRDefault="00122F3E" w:rsidP="005A1D00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O presente estudo constitui-se de uma pesquisa de caráter teórico e fundamental, com abordagem qualitativa e delineamento descritivo. Para o desenvolvimento do trabalho, adotou-se o procedimento metodológico da Revisão Integrativa da Literatura (RI), método que permite sintetizar, avaliar e integrar achados científicos disponíveis sobre a segurança, toxicidade e teratogenicidade de fármacos no período gestacional e de lactação em fêmeas domésticas.</w:t>
      </w:r>
    </w:p>
    <w:p w14:paraId="258A5377" w14:textId="77777777" w:rsidR="005A1D00" w:rsidRPr="00752FB8" w:rsidRDefault="005A1D00" w:rsidP="005A1D00">
      <w:pPr>
        <w:spacing w:line="360" w:lineRule="auto"/>
        <w:ind w:firstLine="720"/>
        <w:jc w:val="both"/>
        <w:rPr>
          <w:sz w:val="24"/>
          <w:szCs w:val="24"/>
        </w:rPr>
      </w:pPr>
    </w:p>
    <w:p w14:paraId="430D5A31" w14:textId="00EEFF90" w:rsidR="00122F3E" w:rsidRPr="00752FB8" w:rsidRDefault="00046786" w:rsidP="00122F3E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4</w:t>
      </w:r>
      <w:r w:rsidR="00122F3E" w:rsidRPr="00752FB8">
        <w:rPr>
          <w:b/>
          <w:bCs/>
          <w:sz w:val="24"/>
          <w:szCs w:val="24"/>
        </w:rPr>
        <w:t>.1 Estratégia de Busca e Descritores</w:t>
      </w:r>
    </w:p>
    <w:p w14:paraId="166CEABD" w14:textId="33678FE6" w:rsidR="00122F3E" w:rsidRPr="00752FB8" w:rsidRDefault="00122F3E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A levantamento bibliográfico foi realizado mediante consulta a artigos científicos, livros-texto e teses disponíveis em bases de dados eletrônicas consolidadas na área da saúde e ciências agrárias, incluindo:</w:t>
      </w:r>
    </w:p>
    <w:p w14:paraId="2A4576D6" w14:textId="0C46C6F0" w:rsidR="00122F3E" w:rsidRPr="00752FB8" w:rsidRDefault="00122F3E" w:rsidP="00122F3E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proofErr w:type="spellStart"/>
      <w:r w:rsidRPr="00752FB8">
        <w:rPr>
          <w:i/>
          <w:iCs/>
          <w:sz w:val="24"/>
          <w:szCs w:val="24"/>
        </w:rPr>
        <w:t>PubMed</w:t>
      </w:r>
      <w:proofErr w:type="spellEnd"/>
      <w:r w:rsidRPr="00752FB8">
        <w:rPr>
          <w:sz w:val="24"/>
          <w:szCs w:val="24"/>
        </w:rPr>
        <w:t xml:space="preserve"> (</w:t>
      </w:r>
      <w:proofErr w:type="spellStart"/>
      <w:r w:rsidRPr="00752FB8">
        <w:rPr>
          <w:sz w:val="24"/>
          <w:szCs w:val="24"/>
        </w:rPr>
        <w:t>National</w:t>
      </w:r>
      <w:proofErr w:type="spellEnd"/>
      <w:r w:rsidRPr="00752FB8">
        <w:rPr>
          <w:sz w:val="24"/>
          <w:szCs w:val="24"/>
        </w:rPr>
        <w:t xml:space="preserve"> Library </w:t>
      </w:r>
      <w:proofErr w:type="spellStart"/>
      <w:r w:rsidRPr="00752FB8">
        <w:rPr>
          <w:sz w:val="24"/>
          <w:szCs w:val="24"/>
        </w:rPr>
        <w:t>of</w:t>
      </w:r>
      <w:proofErr w:type="spellEnd"/>
      <w:r w:rsidRPr="00752FB8">
        <w:rPr>
          <w:sz w:val="24"/>
          <w:szCs w:val="24"/>
        </w:rPr>
        <w:t xml:space="preserve"> Medicine)</w:t>
      </w:r>
    </w:p>
    <w:p w14:paraId="26493E76" w14:textId="11B58B65" w:rsidR="00122F3E" w:rsidRPr="00752FB8" w:rsidRDefault="00122F3E" w:rsidP="00122F3E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752FB8">
        <w:rPr>
          <w:i/>
          <w:iCs/>
          <w:sz w:val="24"/>
          <w:szCs w:val="24"/>
        </w:rPr>
        <w:t>SciELO</w:t>
      </w:r>
      <w:r w:rsidRPr="00752FB8">
        <w:rPr>
          <w:sz w:val="24"/>
          <w:szCs w:val="24"/>
        </w:rPr>
        <w:t xml:space="preserve"> (</w:t>
      </w:r>
      <w:proofErr w:type="spellStart"/>
      <w:r w:rsidRPr="00752FB8">
        <w:rPr>
          <w:sz w:val="24"/>
          <w:szCs w:val="24"/>
        </w:rPr>
        <w:t>Scientific</w:t>
      </w:r>
      <w:proofErr w:type="spellEnd"/>
      <w:r w:rsidRPr="00752FB8">
        <w:rPr>
          <w:sz w:val="24"/>
          <w:szCs w:val="24"/>
        </w:rPr>
        <w:t xml:space="preserve"> </w:t>
      </w:r>
      <w:proofErr w:type="spellStart"/>
      <w:r w:rsidRPr="00752FB8">
        <w:rPr>
          <w:sz w:val="24"/>
          <w:szCs w:val="24"/>
        </w:rPr>
        <w:t>Electronic</w:t>
      </w:r>
      <w:proofErr w:type="spellEnd"/>
      <w:r w:rsidRPr="00752FB8">
        <w:rPr>
          <w:sz w:val="24"/>
          <w:szCs w:val="24"/>
        </w:rPr>
        <w:t xml:space="preserve"> Library Online)</w:t>
      </w:r>
    </w:p>
    <w:p w14:paraId="5DC8F4B0" w14:textId="34E77090" w:rsidR="00122F3E" w:rsidRPr="00752FB8" w:rsidRDefault="00122F3E" w:rsidP="00122F3E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752FB8">
        <w:rPr>
          <w:i/>
          <w:iCs/>
          <w:sz w:val="24"/>
          <w:szCs w:val="24"/>
        </w:rPr>
        <w:t>Google Acadêmico</w:t>
      </w:r>
    </w:p>
    <w:p w14:paraId="592A462A" w14:textId="4B457C0D" w:rsidR="00122F3E" w:rsidRPr="00752FB8" w:rsidRDefault="00122F3E" w:rsidP="00122F3E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752FB8">
        <w:rPr>
          <w:i/>
          <w:iCs/>
          <w:sz w:val="24"/>
          <w:szCs w:val="24"/>
        </w:rPr>
        <w:t>Biblioteca Virtual em Saúde</w:t>
      </w:r>
      <w:r w:rsidRPr="00752FB8">
        <w:rPr>
          <w:sz w:val="24"/>
          <w:szCs w:val="24"/>
        </w:rPr>
        <w:t xml:space="preserve"> (BVS / </w:t>
      </w:r>
      <w:proofErr w:type="spellStart"/>
      <w:r w:rsidRPr="00752FB8">
        <w:rPr>
          <w:sz w:val="24"/>
          <w:szCs w:val="24"/>
        </w:rPr>
        <w:t>VetIndex</w:t>
      </w:r>
      <w:proofErr w:type="spellEnd"/>
      <w:r w:rsidRPr="00752FB8">
        <w:rPr>
          <w:sz w:val="24"/>
          <w:szCs w:val="24"/>
        </w:rPr>
        <w:t>)</w:t>
      </w:r>
    </w:p>
    <w:p w14:paraId="45D2B052" w14:textId="77777777" w:rsidR="00122F3E" w:rsidRPr="00752FB8" w:rsidRDefault="00122F3E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Para a seleção do material, foram combinados Descritores em Ciências da Saúde (</w:t>
      </w:r>
      <w:proofErr w:type="spellStart"/>
      <w:r w:rsidRPr="00752FB8">
        <w:rPr>
          <w:sz w:val="24"/>
          <w:szCs w:val="24"/>
        </w:rPr>
        <w:t>DeCS</w:t>
      </w:r>
      <w:proofErr w:type="spellEnd"/>
      <w:r w:rsidRPr="00752FB8">
        <w:rPr>
          <w:sz w:val="24"/>
          <w:szCs w:val="24"/>
        </w:rPr>
        <w:t xml:space="preserve">) e </w:t>
      </w:r>
      <w:r w:rsidRPr="00752FB8">
        <w:rPr>
          <w:i/>
          <w:iCs/>
          <w:sz w:val="24"/>
          <w:szCs w:val="24"/>
        </w:rPr>
        <w:t xml:space="preserve">Medical </w:t>
      </w:r>
      <w:proofErr w:type="spellStart"/>
      <w:r w:rsidRPr="00752FB8">
        <w:rPr>
          <w:i/>
          <w:iCs/>
          <w:sz w:val="24"/>
          <w:szCs w:val="24"/>
        </w:rPr>
        <w:t>Subject</w:t>
      </w:r>
      <w:proofErr w:type="spellEnd"/>
      <w:r w:rsidRPr="00752FB8">
        <w:rPr>
          <w:i/>
          <w:iCs/>
          <w:sz w:val="24"/>
          <w:szCs w:val="24"/>
        </w:rPr>
        <w:t xml:space="preserve"> </w:t>
      </w:r>
      <w:proofErr w:type="spellStart"/>
      <w:r w:rsidRPr="00752FB8">
        <w:rPr>
          <w:i/>
          <w:iCs/>
          <w:sz w:val="24"/>
          <w:szCs w:val="24"/>
        </w:rPr>
        <w:t>Headings</w:t>
      </w:r>
      <w:proofErr w:type="spellEnd"/>
      <w:r w:rsidRPr="00752FB8">
        <w:rPr>
          <w:sz w:val="24"/>
          <w:szCs w:val="24"/>
        </w:rPr>
        <w:t xml:space="preserve"> (</w:t>
      </w:r>
      <w:proofErr w:type="spellStart"/>
      <w:r w:rsidRPr="00752FB8">
        <w:rPr>
          <w:sz w:val="24"/>
          <w:szCs w:val="24"/>
        </w:rPr>
        <w:t>MeSH</w:t>
      </w:r>
      <w:proofErr w:type="spellEnd"/>
      <w:r w:rsidRPr="00752FB8">
        <w:rPr>
          <w:sz w:val="24"/>
          <w:szCs w:val="24"/>
        </w:rPr>
        <w:t xml:space="preserve">) utilizando o operador booleano </w:t>
      </w:r>
      <w:r w:rsidRPr="00752FB8">
        <w:rPr>
          <w:i/>
          <w:iCs/>
          <w:sz w:val="24"/>
          <w:szCs w:val="24"/>
        </w:rPr>
        <w:t>AND</w:t>
      </w:r>
      <w:r w:rsidRPr="00752FB8">
        <w:rPr>
          <w:sz w:val="24"/>
          <w:szCs w:val="24"/>
        </w:rPr>
        <w:t>, conforme disposto no Quadro 01.</w:t>
      </w:r>
    </w:p>
    <w:p w14:paraId="3EC310C8" w14:textId="77777777" w:rsidR="00122F3E" w:rsidRPr="00752FB8" w:rsidRDefault="00122F3E" w:rsidP="00122F3E">
      <w:pPr>
        <w:spacing w:line="360" w:lineRule="auto"/>
        <w:rPr>
          <w:sz w:val="24"/>
          <w:szCs w:val="24"/>
        </w:rPr>
      </w:pPr>
    </w:p>
    <w:p w14:paraId="0E281B71" w14:textId="46B0BB05" w:rsidR="00122F3E" w:rsidRPr="00752FB8" w:rsidRDefault="00122F3E" w:rsidP="00122F3E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Quadro 01.</w:t>
      </w:r>
      <w:r w:rsidRPr="00752FB8">
        <w:rPr>
          <w:sz w:val="24"/>
          <w:szCs w:val="24"/>
        </w:rPr>
        <w:t xml:space="preserve"> Descritores utilizados na estratégia de busca segundo o idioma.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7580"/>
      </w:tblGrid>
      <w:tr w:rsidR="00122F3E" w:rsidRPr="00752FB8" w14:paraId="339F6E9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17E0A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b/>
                <w:bCs/>
                <w:sz w:val="24"/>
                <w:szCs w:val="24"/>
              </w:rPr>
              <w:t>Idioma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D241E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b/>
                <w:bCs/>
                <w:sz w:val="24"/>
                <w:szCs w:val="24"/>
              </w:rPr>
              <w:t>Descritores (</w:t>
            </w:r>
            <w:proofErr w:type="spellStart"/>
            <w:r w:rsidRPr="00752FB8">
              <w:rPr>
                <w:b/>
                <w:bCs/>
                <w:sz w:val="24"/>
                <w:szCs w:val="24"/>
              </w:rPr>
              <w:t>DeCS</w:t>
            </w:r>
            <w:proofErr w:type="spellEnd"/>
            <w:r w:rsidRPr="00752FB8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752FB8">
              <w:rPr>
                <w:b/>
                <w:bCs/>
                <w:sz w:val="24"/>
                <w:szCs w:val="24"/>
              </w:rPr>
              <w:t>MeSH</w:t>
            </w:r>
            <w:proofErr w:type="spellEnd"/>
            <w:r w:rsidRPr="00752FB8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122F3E" w:rsidRPr="00752FB8" w14:paraId="3378D8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33D1A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b/>
                <w:bCs/>
                <w:sz w:val="24"/>
                <w:szCs w:val="24"/>
              </w:rPr>
              <w:t>Português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BCD89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 xml:space="preserve">Farmacologia veterinária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Gestação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Lactação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Teratogenicidade</w:t>
            </w:r>
          </w:p>
        </w:tc>
      </w:tr>
      <w:tr w:rsidR="00122F3E" w:rsidRPr="00752FB8" w14:paraId="5DF5FA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12839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b/>
                <w:bCs/>
                <w:sz w:val="24"/>
                <w:szCs w:val="24"/>
              </w:rPr>
              <w:t>Inglês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0F4A4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752FB8">
              <w:rPr>
                <w:sz w:val="24"/>
                <w:szCs w:val="24"/>
              </w:rPr>
              <w:t>Veterinary</w:t>
            </w:r>
            <w:proofErr w:type="spellEnd"/>
            <w:r w:rsidRPr="00752FB8">
              <w:rPr>
                <w:sz w:val="24"/>
                <w:szCs w:val="24"/>
              </w:rPr>
              <w:t xml:space="preserve"> </w:t>
            </w:r>
            <w:proofErr w:type="spellStart"/>
            <w:r w:rsidRPr="00752FB8">
              <w:rPr>
                <w:sz w:val="24"/>
                <w:szCs w:val="24"/>
              </w:rPr>
              <w:t>pharmacology</w:t>
            </w:r>
            <w:proofErr w:type="spellEnd"/>
            <w:r w:rsidRPr="00752FB8">
              <w:rPr>
                <w:sz w:val="24"/>
                <w:szCs w:val="24"/>
              </w:rPr>
              <w:t xml:space="preserve">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</w:t>
            </w:r>
            <w:proofErr w:type="spellStart"/>
            <w:r w:rsidRPr="00752FB8">
              <w:rPr>
                <w:sz w:val="24"/>
                <w:szCs w:val="24"/>
              </w:rPr>
              <w:t>Pregnancy</w:t>
            </w:r>
            <w:proofErr w:type="spellEnd"/>
            <w:r w:rsidRPr="00752FB8">
              <w:rPr>
                <w:sz w:val="24"/>
                <w:szCs w:val="24"/>
              </w:rPr>
              <w:t xml:space="preserve">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</w:t>
            </w:r>
            <w:proofErr w:type="spellStart"/>
            <w:r w:rsidRPr="00752FB8">
              <w:rPr>
                <w:sz w:val="24"/>
                <w:szCs w:val="24"/>
              </w:rPr>
              <w:t>Lactation</w:t>
            </w:r>
            <w:proofErr w:type="spellEnd"/>
            <w:r w:rsidRPr="00752FB8">
              <w:rPr>
                <w:sz w:val="24"/>
                <w:szCs w:val="24"/>
              </w:rPr>
              <w:t xml:space="preserve"> </w:t>
            </w:r>
            <w:r w:rsidRPr="00752FB8">
              <w:rPr>
                <w:i/>
                <w:iCs/>
                <w:sz w:val="24"/>
                <w:szCs w:val="24"/>
              </w:rPr>
              <w:t>AND</w:t>
            </w:r>
            <w:r w:rsidRPr="00752FB8">
              <w:rPr>
                <w:sz w:val="24"/>
                <w:szCs w:val="24"/>
              </w:rPr>
              <w:t xml:space="preserve"> </w:t>
            </w:r>
            <w:proofErr w:type="spellStart"/>
            <w:r w:rsidRPr="00752FB8">
              <w:rPr>
                <w:sz w:val="24"/>
                <w:szCs w:val="24"/>
              </w:rPr>
              <w:t>Teratogenicity</w:t>
            </w:r>
            <w:proofErr w:type="spellEnd"/>
          </w:p>
        </w:tc>
      </w:tr>
    </w:tbl>
    <w:p w14:paraId="06561B09" w14:textId="77777777" w:rsidR="005A1D00" w:rsidRDefault="005A1D00" w:rsidP="00122F3E">
      <w:pPr>
        <w:spacing w:line="360" w:lineRule="auto"/>
        <w:rPr>
          <w:b/>
          <w:bCs/>
          <w:sz w:val="24"/>
          <w:szCs w:val="24"/>
        </w:rPr>
      </w:pPr>
    </w:p>
    <w:p w14:paraId="358D6073" w14:textId="77777777" w:rsidR="005A1D00" w:rsidRDefault="005A1D00" w:rsidP="00122F3E">
      <w:pPr>
        <w:spacing w:line="360" w:lineRule="auto"/>
        <w:rPr>
          <w:b/>
          <w:bCs/>
          <w:sz w:val="24"/>
          <w:szCs w:val="24"/>
        </w:rPr>
      </w:pPr>
    </w:p>
    <w:p w14:paraId="7419CDB8" w14:textId="77777777" w:rsidR="005A1D00" w:rsidRDefault="005A1D00" w:rsidP="00122F3E">
      <w:pPr>
        <w:spacing w:line="360" w:lineRule="auto"/>
        <w:rPr>
          <w:b/>
          <w:bCs/>
          <w:sz w:val="24"/>
          <w:szCs w:val="24"/>
        </w:rPr>
      </w:pPr>
    </w:p>
    <w:p w14:paraId="25B1E01D" w14:textId="77777777" w:rsidR="005A1D00" w:rsidRDefault="005A1D00" w:rsidP="00122F3E">
      <w:pPr>
        <w:spacing w:line="360" w:lineRule="auto"/>
        <w:rPr>
          <w:b/>
          <w:bCs/>
          <w:sz w:val="24"/>
          <w:szCs w:val="24"/>
        </w:rPr>
      </w:pPr>
    </w:p>
    <w:p w14:paraId="03461E4F" w14:textId="77777777" w:rsidR="005A1D00" w:rsidRDefault="005A1D00" w:rsidP="00122F3E">
      <w:pPr>
        <w:spacing w:line="360" w:lineRule="auto"/>
        <w:rPr>
          <w:b/>
          <w:bCs/>
          <w:sz w:val="24"/>
          <w:szCs w:val="24"/>
        </w:rPr>
      </w:pPr>
    </w:p>
    <w:p w14:paraId="7AD5103B" w14:textId="33EF6D70" w:rsidR="00122F3E" w:rsidRPr="00752FB8" w:rsidRDefault="00046786" w:rsidP="00122F3E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4</w:t>
      </w:r>
      <w:r w:rsidR="00122F3E" w:rsidRPr="00752FB8">
        <w:rPr>
          <w:b/>
          <w:bCs/>
          <w:sz w:val="24"/>
          <w:szCs w:val="24"/>
        </w:rPr>
        <w:t>.2 Critérios de Seleção</w:t>
      </w:r>
    </w:p>
    <w:p w14:paraId="30CE7005" w14:textId="37BE9B74" w:rsidR="007055B4" w:rsidRPr="005A1D00" w:rsidRDefault="00122F3E" w:rsidP="00693796">
      <w:pPr>
        <w:numPr>
          <w:ilvl w:val="0"/>
          <w:numId w:val="10"/>
        </w:numPr>
        <w:spacing w:line="360" w:lineRule="auto"/>
        <w:ind w:left="357" w:firstLine="357"/>
        <w:jc w:val="both"/>
        <w:rPr>
          <w:sz w:val="24"/>
          <w:szCs w:val="24"/>
        </w:rPr>
      </w:pPr>
      <w:r w:rsidRPr="005A1D00">
        <w:rPr>
          <w:b/>
          <w:bCs/>
          <w:sz w:val="24"/>
          <w:szCs w:val="24"/>
        </w:rPr>
        <w:t>Critérios de Inclusão:</w:t>
      </w:r>
      <w:r w:rsidRPr="005A1D00">
        <w:rPr>
          <w:sz w:val="24"/>
          <w:szCs w:val="24"/>
        </w:rPr>
        <w:t xml:space="preserve"> </w:t>
      </w:r>
      <w:r w:rsidR="007055B4" w:rsidRPr="005A1D00">
        <w:rPr>
          <w:sz w:val="24"/>
          <w:szCs w:val="24"/>
        </w:rPr>
        <w:t>Foram selecionados artigos publicados em português e inglês, que abordassem especificamente os aspectos farmacocinéticos em fêmeas gestantes e lactantes, a segurança clínica de fármacos de uso rotineiro na prática veterinária ou os efeitos teratogênicos e neonatais associados a diferentes classes farmacológicas.</w:t>
      </w:r>
    </w:p>
    <w:p w14:paraId="148D8D6D" w14:textId="317B005F" w:rsidR="00C36F7A" w:rsidRPr="005A1D00" w:rsidRDefault="00122F3E" w:rsidP="00693796">
      <w:pPr>
        <w:numPr>
          <w:ilvl w:val="0"/>
          <w:numId w:val="10"/>
        </w:numPr>
        <w:spacing w:line="360" w:lineRule="auto"/>
        <w:ind w:left="357" w:firstLine="357"/>
        <w:jc w:val="both"/>
      </w:pPr>
      <w:r w:rsidRPr="00752FB8">
        <w:rPr>
          <w:b/>
          <w:bCs/>
          <w:sz w:val="24"/>
          <w:szCs w:val="24"/>
        </w:rPr>
        <w:t>Critérios de Exclusão:</w:t>
      </w:r>
      <w:r w:rsidRPr="00752FB8">
        <w:rPr>
          <w:sz w:val="24"/>
          <w:szCs w:val="24"/>
        </w:rPr>
        <w:t xml:space="preserve"> </w:t>
      </w:r>
      <w:r w:rsidR="007055B4" w:rsidRPr="00752FB8">
        <w:t>Foram eliminados os resumos publicados em anais de eventos que traziam apenas uma descrição breve e não apresentavam fundamentação teórica suficientemente ampla; também foram removidos os trabalhos restritos à medicina humana, sem aplicabilidade na prática veterinária, além de registros duplicados nas bases de dados, e estudos em que os procedimentos metodológicos não estavam completos.</w:t>
      </w:r>
    </w:p>
    <w:p w14:paraId="6C9EEAD6" w14:textId="45D900FC" w:rsidR="00122F3E" w:rsidRPr="00752FB8" w:rsidRDefault="00046786" w:rsidP="00122F3E">
      <w:pPr>
        <w:spacing w:line="360" w:lineRule="auto"/>
        <w:rPr>
          <w:sz w:val="24"/>
          <w:szCs w:val="24"/>
        </w:rPr>
      </w:pPr>
      <w:r w:rsidRPr="00752FB8">
        <w:rPr>
          <w:b/>
          <w:bCs/>
          <w:sz w:val="24"/>
          <w:szCs w:val="24"/>
        </w:rPr>
        <w:t>4</w:t>
      </w:r>
      <w:r w:rsidR="00122F3E" w:rsidRPr="00752FB8">
        <w:rPr>
          <w:b/>
          <w:bCs/>
          <w:sz w:val="24"/>
          <w:szCs w:val="24"/>
        </w:rPr>
        <w:t>.3 Triagem e Organização das Informações</w:t>
      </w:r>
    </w:p>
    <w:p w14:paraId="146D9A8D" w14:textId="076A829E" w:rsidR="00122F3E" w:rsidRPr="00752FB8" w:rsidRDefault="007055B4" w:rsidP="00C36F7A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O material selecionado passou por uma leitura exploratória e analítica para coletar os dados mais relevantes. Depois disso, as informações foram sintetizadas e agrupadas por classes farmacológicas (antimicrobianos, anti-inflamatórios, antiparasitários, anestésicos e sedativos), o que permitiu organizar de forma crítica o referencial teórico e desenvolver as discussões clínicas sobre o tema.</w:t>
      </w:r>
    </w:p>
    <w:p w14:paraId="2DBB0986" w14:textId="0CCBC987" w:rsidR="00122F3E" w:rsidRPr="00752FB8" w:rsidRDefault="00046786" w:rsidP="00122F3E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5 RESULTADOS E DISCUSSÃO</w:t>
      </w:r>
    </w:p>
    <w:p w14:paraId="27365470" w14:textId="5CB36DC2" w:rsidR="00122F3E" w:rsidRDefault="007055B4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A revisão da literatura científica mostra que o uso de fármacos em fêmeas gestantes e lactantes exige uma avaliação criteriosa do benefício terapêutico materno quando comparado com os potenciais riscos para a prole. As mudanças hemodinâmicas, como o aumento do volume plasmático e a redução das proteínas circulantes, podem causar variações relevantes na concentração plasmática e na fração de ligação dos medicamentos (</w:t>
      </w:r>
      <w:proofErr w:type="spellStart"/>
      <w:r w:rsidRPr="00752FB8">
        <w:rPr>
          <w:sz w:val="24"/>
          <w:szCs w:val="24"/>
        </w:rPr>
        <w:t>Spinosa</w:t>
      </w:r>
      <w:proofErr w:type="spellEnd"/>
      <w:r w:rsidRPr="00752FB8">
        <w:rPr>
          <w:sz w:val="24"/>
          <w:szCs w:val="24"/>
        </w:rPr>
        <w:t xml:space="preserve"> et al., 2017; Andrade, 2017). Essas alterações ajudam a explicar a ocorrência de falhas terapêuticas quando se empregam posologias convencionais, além do aparecimento de efeitos tóxicos em casos de </w:t>
      </w:r>
      <w:proofErr w:type="spellStart"/>
      <w:r w:rsidRPr="00752FB8">
        <w:rPr>
          <w:sz w:val="24"/>
          <w:szCs w:val="24"/>
        </w:rPr>
        <w:t>hipoalbuminemia</w:t>
      </w:r>
      <w:proofErr w:type="spellEnd"/>
      <w:r w:rsidRPr="00752FB8">
        <w:rPr>
          <w:sz w:val="24"/>
          <w:szCs w:val="24"/>
        </w:rPr>
        <w:t>. Em relação à segurança das classes farmacológicas avaliadas, os dados reunidos revelam padrões bem definidos de restrição e de indicação clínica na prática veterinária:</w:t>
      </w:r>
    </w:p>
    <w:p w14:paraId="45E2A9D4" w14:textId="77777777" w:rsidR="005A1D00" w:rsidRDefault="005A1D00" w:rsidP="00046786">
      <w:pPr>
        <w:spacing w:line="360" w:lineRule="auto"/>
        <w:ind w:firstLine="720"/>
        <w:jc w:val="both"/>
        <w:rPr>
          <w:sz w:val="24"/>
          <w:szCs w:val="24"/>
        </w:rPr>
      </w:pPr>
    </w:p>
    <w:p w14:paraId="667E9B22" w14:textId="77777777" w:rsidR="005A1D00" w:rsidRDefault="005A1D00" w:rsidP="00046786">
      <w:pPr>
        <w:spacing w:line="360" w:lineRule="auto"/>
        <w:ind w:firstLine="720"/>
        <w:jc w:val="both"/>
        <w:rPr>
          <w:sz w:val="24"/>
          <w:szCs w:val="24"/>
        </w:rPr>
      </w:pPr>
    </w:p>
    <w:p w14:paraId="359D3576" w14:textId="77777777" w:rsidR="005A1D00" w:rsidRPr="00752FB8" w:rsidRDefault="005A1D00" w:rsidP="00046786">
      <w:pPr>
        <w:spacing w:line="360" w:lineRule="auto"/>
        <w:ind w:firstLine="720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63"/>
        <w:gridCol w:w="2238"/>
        <w:gridCol w:w="2347"/>
        <w:gridCol w:w="2113"/>
      </w:tblGrid>
      <w:tr w:rsidR="00122F3E" w:rsidRPr="00752FB8" w14:paraId="6377FE8F" w14:textId="77777777" w:rsidTr="00DF5020">
        <w:tc>
          <w:tcPr>
            <w:tcW w:w="0" w:type="auto"/>
            <w:shd w:val="clear" w:color="auto" w:fill="95B3D7" w:themeFill="accent1" w:themeFillTint="99"/>
            <w:hideMark/>
          </w:tcPr>
          <w:p w14:paraId="6A521152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lastRenderedPageBreak/>
              <w:t>Classe Farmacológica</w:t>
            </w:r>
          </w:p>
        </w:tc>
        <w:tc>
          <w:tcPr>
            <w:tcW w:w="0" w:type="auto"/>
            <w:shd w:val="clear" w:color="auto" w:fill="95B3D7" w:themeFill="accent1" w:themeFillTint="99"/>
            <w:hideMark/>
          </w:tcPr>
          <w:p w14:paraId="696F5F50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Uso Seguro na Gestação/Lactação</w:t>
            </w:r>
          </w:p>
        </w:tc>
        <w:tc>
          <w:tcPr>
            <w:tcW w:w="0" w:type="auto"/>
            <w:shd w:val="clear" w:color="auto" w:fill="95B3D7" w:themeFill="accent1" w:themeFillTint="99"/>
            <w:hideMark/>
          </w:tcPr>
          <w:p w14:paraId="70A868CF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Uso Contraindicado / Alto Risco</w:t>
            </w:r>
          </w:p>
        </w:tc>
        <w:tc>
          <w:tcPr>
            <w:tcW w:w="0" w:type="auto"/>
            <w:shd w:val="clear" w:color="auto" w:fill="95B3D7" w:themeFill="accent1" w:themeFillTint="99"/>
            <w:hideMark/>
          </w:tcPr>
          <w:p w14:paraId="07C9CADC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Principais Riscos Fetais / Neonatais</w:t>
            </w:r>
          </w:p>
        </w:tc>
      </w:tr>
      <w:tr w:rsidR="00122F3E" w:rsidRPr="00752FB8" w14:paraId="1F9384F6" w14:textId="77777777" w:rsidTr="00C36F7A">
        <w:trPr>
          <w:trHeight w:val="1346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0D6DAD56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Antimicrobianos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39F799C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Beta-lactâmicos (Penicilinas, Cefalosporinas)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58092672" w14:textId="3AD6D4DD" w:rsidR="00122F3E" w:rsidRPr="00752FB8" w:rsidRDefault="006B55EC" w:rsidP="00122F3E">
            <w:pPr>
              <w:spacing w:line="360" w:lineRule="auto"/>
              <w:rPr>
                <w:sz w:val="24"/>
                <w:szCs w:val="24"/>
              </w:rPr>
            </w:pPr>
            <w:r w:rsidRPr="006B55EC">
              <w:rPr>
                <w:sz w:val="24"/>
                <w:szCs w:val="24"/>
              </w:rPr>
              <w:t xml:space="preserve">Tetraciclinas, </w:t>
            </w:r>
            <w:proofErr w:type="spellStart"/>
            <w:r w:rsidRPr="006B55EC">
              <w:rPr>
                <w:sz w:val="24"/>
                <w:szCs w:val="24"/>
              </w:rPr>
              <w:t>Fluoroquinolonas</w:t>
            </w:r>
            <w:proofErr w:type="spellEnd"/>
            <w:r w:rsidRPr="006B55EC">
              <w:rPr>
                <w:sz w:val="24"/>
                <w:szCs w:val="24"/>
              </w:rPr>
              <w:t>, Cloranfenicol, Trimetoprim-sulfa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214B5E8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Aplasia óssea/dentária, lesão articular, fenda palatina</w:t>
            </w:r>
          </w:p>
        </w:tc>
      </w:tr>
      <w:tr w:rsidR="00122F3E" w:rsidRPr="00752FB8" w14:paraId="06FE9864" w14:textId="77777777" w:rsidTr="00DF5020">
        <w:tc>
          <w:tcPr>
            <w:tcW w:w="0" w:type="auto"/>
            <w:shd w:val="clear" w:color="auto" w:fill="DBE5F1" w:themeFill="accent1" w:themeFillTint="33"/>
            <w:hideMark/>
          </w:tcPr>
          <w:p w14:paraId="7960989F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Anti-inflamatórios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09CC0201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Analgésicos opioides (com monitoramento)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27585C0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752FB8">
              <w:rPr>
                <w:sz w:val="24"/>
                <w:szCs w:val="24"/>
              </w:rPr>
              <w:t>AINEs</w:t>
            </w:r>
            <w:proofErr w:type="spellEnd"/>
            <w:r w:rsidRPr="00752FB8">
              <w:rPr>
                <w:sz w:val="24"/>
                <w:szCs w:val="24"/>
              </w:rPr>
              <w:t xml:space="preserve"> (3º terço), Corticoides de ação longa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1990918" w14:textId="4FCD6BE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Fechamento prematuro do ducto arterioso,</w:t>
            </w:r>
            <w:r w:rsidR="00FB459F" w:rsidRPr="00FB459F">
              <w:t xml:space="preserve"> </w:t>
            </w:r>
            <w:r w:rsidR="00FB459F" w:rsidRPr="00FB459F">
              <w:rPr>
                <w:sz w:val="24"/>
                <w:szCs w:val="24"/>
              </w:rPr>
              <w:t>atonia uterina, indução de aborto</w:t>
            </w:r>
            <w:r w:rsidRPr="00752FB8">
              <w:rPr>
                <w:sz w:val="24"/>
                <w:szCs w:val="24"/>
              </w:rPr>
              <w:t xml:space="preserve"> </w:t>
            </w:r>
          </w:p>
        </w:tc>
      </w:tr>
      <w:tr w:rsidR="00122F3E" w:rsidRPr="00752FB8" w14:paraId="40477913" w14:textId="77777777" w:rsidTr="00DF5020">
        <w:tc>
          <w:tcPr>
            <w:tcW w:w="0" w:type="auto"/>
            <w:shd w:val="clear" w:color="auto" w:fill="DBE5F1" w:themeFill="accent1" w:themeFillTint="33"/>
            <w:hideMark/>
          </w:tcPr>
          <w:p w14:paraId="7028F06B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Antiparasitários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6D9C2CA2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 xml:space="preserve">Ivermectina, </w:t>
            </w:r>
            <w:proofErr w:type="spellStart"/>
            <w:r w:rsidRPr="00752FB8">
              <w:rPr>
                <w:sz w:val="24"/>
                <w:szCs w:val="24"/>
              </w:rPr>
              <w:t>Fenbendazol</w:t>
            </w:r>
            <w:proofErr w:type="spellEnd"/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1B69351F" w14:textId="48D044AF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752FB8">
              <w:rPr>
                <w:sz w:val="24"/>
                <w:szCs w:val="24"/>
              </w:rPr>
              <w:t>Albendazol</w:t>
            </w:r>
            <w:proofErr w:type="spellEnd"/>
            <w:r w:rsidRPr="00752FB8">
              <w:rPr>
                <w:sz w:val="24"/>
                <w:szCs w:val="24"/>
              </w:rPr>
              <w:t xml:space="preserve"> </w:t>
            </w:r>
            <w:r w:rsidR="006B55EC" w:rsidRPr="00752FB8">
              <w:rPr>
                <w:sz w:val="24"/>
                <w:szCs w:val="24"/>
              </w:rPr>
              <w:t xml:space="preserve">(1º terço) </w:t>
            </w:r>
            <w:r w:rsidRPr="00752FB8">
              <w:rPr>
                <w:sz w:val="24"/>
                <w:szCs w:val="24"/>
              </w:rPr>
              <w:t>(Organogênese)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E2799E4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Malformações viscerais e esqueléticas</w:t>
            </w:r>
          </w:p>
        </w:tc>
      </w:tr>
      <w:tr w:rsidR="00122F3E" w:rsidRPr="00752FB8" w14:paraId="4BF51C03" w14:textId="77777777" w:rsidTr="00DF5020">
        <w:tc>
          <w:tcPr>
            <w:tcW w:w="0" w:type="auto"/>
            <w:shd w:val="clear" w:color="auto" w:fill="DBE5F1" w:themeFill="accent1" w:themeFillTint="33"/>
            <w:hideMark/>
          </w:tcPr>
          <w:p w14:paraId="10FC9F0E" w14:textId="77777777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Anestésicos/Sedativos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66E84B2" w14:textId="6780A143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752FB8">
              <w:rPr>
                <w:sz w:val="24"/>
                <w:szCs w:val="24"/>
              </w:rPr>
              <w:t>Propofol</w:t>
            </w:r>
            <w:proofErr w:type="spellEnd"/>
            <w:r w:rsidRPr="00752FB8">
              <w:rPr>
                <w:sz w:val="24"/>
                <w:szCs w:val="24"/>
              </w:rPr>
              <w:t>, Isoflurano (curta duração)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18E58BBD" w14:textId="304A1FD5" w:rsidR="00122F3E" w:rsidRPr="00752FB8" w:rsidRDefault="00C36F7A" w:rsidP="00122F3E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33209" wp14:editId="3D901696">
                      <wp:simplePos x="0" y="0"/>
                      <wp:positionH relativeFrom="column">
                        <wp:posOffset>-2896235</wp:posOffset>
                      </wp:positionH>
                      <wp:positionV relativeFrom="paragraph">
                        <wp:posOffset>494665</wp:posOffset>
                      </wp:positionV>
                      <wp:extent cx="1828800" cy="1828800"/>
                      <wp:effectExtent l="0" t="0" r="0" b="0"/>
                      <wp:wrapNone/>
                      <wp:docPr id="415297064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7493FFC" w14:textId="77777777" w:rsidR="006B55EC" w:rsidRPr="006B55EC" w:rsidRDefault="006B55EC" w:rsidP="006B55EC">
                                  <w:pPr>
                                    <w:pStyle w:val="Ttulo1"/>
                                    <w:jc w:val="center"/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  <w:r w:rsidRPr="005A1D00">
                                    <w:rPr>
                                      <w:sz w:val="24"/>
                                      <w:szCs w:val="24"/>
                                    </w:rPr>
                                    <w:t>Fonte:</w:t>
                                  </w:r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Adaptado de Andrade (2017), </w:t>
                                  </w:r>
                                  <w:proofErr w:type="spellStart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Papich</w:t>
                                  </w:r>
                                  <w:proofErr w:type="spellEnd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(2021), </w:t>
                                  </w:r>
                                  <w:proofErr w:type="spellStart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Plumb</w:t>
                                  </w:r>
                                  <w:proofErr w:type="spellEnd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(2018) e </w:t>
                                  </w:r>
                                  <w:proofErr w:type="spellStart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>Spinosa</w:t>
                                  </w:r>
                                  <w:proofErr w:type="spellEnd"/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B55EC">
                                    <w:rPr>
                                      <w:b w:val="0"/>
                                      <w:bCs w:val="0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et al.</w:t>
                                  </w:r>
                                  <w:r w:rsidRPr="006B55EC"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  <w:t xml:space="preserve"> (2017). </w:t>
                                  </w:r>
                                </w:p>
                                <w:p w14:paraId="2D25FDFD" w14:textId="4F5126C5" w:rsidR="00C36F7A" w:rsidRPr="006B55EC" w:rsidRDefault="00C36F7A" w:rsidP="00C36F7A">
                                  <w:pPr>
                                    <w:pStyle w:val="Ttulo1"/>
                                    <w:jc w:val="center"/>
                                    <w:rPr>
                                      <w:b w:val="0"/>
                                      <w:bCs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33209" id="Caixa de Texto 1" o:spid="_x0000_s1027" type="#_x0000_t202" style="position:absolute;margin-left:-228.05pt;margin-top:38.95pt;width:2in;height:2in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C1&#10;F6Zs4AAAAAwBAAAPAAAAZHJzL2Rvd25yZXYueG1sTI/BUoMwEIbvzvgOmXXGGw3UQoESOk7Vs7X6&#10;AClJCUI2DElb9OldT3rc3W/+/f5qO9uBXfTkO4cCkkUMTGPjVIetgI/3lygH5oNEJQeHWsCX9rCt&#10;b28qWSp3xTd9OYSWUQj6UgowIYwl574x2kq/cKNGup3cZGWgcWq5muSVwu3Al3GccSs7pA9Gjnpn&#10;dNMfzlZAHtvXvi+We29X30lqdk/uefwU4v5uftwAC3oOfzD86pM61OR0dGdUng0ColWaJcQKWK8L&#10;YERESZbT5ijgIUsL4HXF/5eofwAAAP//AwBQSwECLQAUAAYACAAAACEAtoM4kv4AAADhAQAAEwAA&#10;AAAAAAAAAAAAAAAAAAAAW0NvbnRlbnRfVHlwZXNdLnhtbFBLAQItABQABgAIAAAAIQA4/SH/1gAA&#10;AJQBAAALAAAAAAAAAAAAAAAAAC8BAABfcmVscy8ucmVsc1BLAQItABQABgAIAAAAIQCujdT3CwIA&#10;ACkEAAAOAAAAAAAAAAAAAAAAAC4CAABkcnMvZTJvRG9jLnhtbFBLAQItABQABgAIAAAAIQC1F6Zs&#10;4AAAAAwBAAAPAAAAAAAAAAAAAAAAAGUEAABkcnMvZG93bnJldi54bWxQSwUGAAAAAAQABADzAAAA&#10;cgUAAAAA&#10;" filled="f" stroked="f">
                      <v:textbox style="mso-fit-shape-to-text:t">
                        <w:txbxContent>
                          <w:p w14:paraId="77493FFC" w14:textId="77777777" w:rsidR="006B55EC" w:rsidRPr="006B55EC" w:rsidRDefault="006B55EC" w:rsidP="006B55EC">
                            <w:pPr>
                              <w:pStyle w:val="Ttulo1"/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5A1D00">
                              <w:rPr>
                                <w:sz w:val="24"/>
                                <w:szCs w:val="24"/>
                              </w:rPr>
                              <w:t>Fonte:</w:t>
                            </w:r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Adaptado de Andrade (2017), </w:t>
                            </w:r>
                            <w:proofErr w:type="spellStart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Papich</w:t>
                            </w:r>
                            <w:proofErr w:type="spellEnd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(2021), </w:t>
                            </w:r>
                            <w:proofErr w:type="spellStart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Plumb</w:t>
                            </w:r>
                            <w:proofErr w:type="spellEnd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(2018) e </w:t>
                            </w:r>
                            <w:proofErr w:type="spellStart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Spinosa</w:t>
                            </w:r>
                            <w:proofErr w:type="spellEnd"/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55EC">
                              <w:rPr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>et al.</w:t>
                            </w:r>
                            <w:r w:rsidRPr="006B55EC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(2017). </w:t>
                            </w:r>
                          </w:p>
                          <w:p w14:paraId="2D25FDFD" w14:textId="4F5126C5" w:rsidR="00C36F7A" w:rsidRPr="006B55EC" w:rsidRDefault="00C36F7A" w:rsidP="00C36F7A">
                            <w:pPr>
                              <w:pStyle w:val="Ttulo1"/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2F3E" w:rsidRPr="00752FB8">
              <w:rPr>
                <w:sz w:val="24"/>
                <w:szCs w:val="24"/>
              </w:rPr>
              <w:t>Agonistas alfa-2 (</w:t>
            </w:r>
            <w:proofErr w:type="spellStart"/>
            <w:r w:rsidR="00122F3E" w:rsidRPr="00752FB8">
              <w:rPr>
                <w:sz w:val="24"/>
                <w:szCs w:val="24"/>
              </w:rPr>
              <w:t>ex</w:t>
            </w:r>
            <w:proofErr w:type="spellEnd"/>
            <w:r w:rsidR="00122F3E" w:rsidRPr="00752FB8">
              <w:rPr>
                <w:sz w:val="24"/>
                <w:szCs w:val="24"/>
              </w:rPr>
              <w:t>: Xilazina em ruminantes)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92E9ACA" w14:textId="281E5FB3" w:rsidR="00122F3E" w:rsidRPr="00752FB8" w:rsidRDefault="00122F3E" w:rsidP="00122F3E">
            <w:pPr>
              <w:spacing w:line="360" w:lineRule="auto"/>
              <w:rPr>
                <w:sz w:val="24"/>
                <w:szCs w:val="24"/>
              </w:rPr>
            </w:pPr>
            <w:r w:rsidRPr="00752FB8">
              <w:rPr>
                <w:sz w:val="24"/>
                <w:szCs w:val="24"/>
              </w:rPr>
              <w:t>Hipóxia fetal, atonia uterina, abortamento</w:t>
            </w:r>
          </w:p>
        </w:tc>
      </w:tr>
    </w:tbl>
    <w:p w14:paraId="12778E73" w14:textId="012642F4" w:rsidR="00C36F7A" w:rsidRDefault="00C36F7A" w:rsidP="00046786">
      <w:pPr>
        <w:spacing w:line="360" w:lineRule="auto"/>
        <w:ind w:firstLine="720"/>
        <w:jc w:val="both"/>
        <w:rPr>
          <w:sz w:val="24"/>
          <w:szCs w:val="24"/>
        </w:rPr>
      </w:pPr>
    </w:p>
    <w:p w14:paraId="20101327" w14:textId="77777777" w:rsidR="00C36F7A" w:rsidRDefault="00C36F7A" w:rsidP="00046786">
      <w:pPr>
        <w:spacing w:line="360" w:lineRule="auto"/>
        <w:ind w:firstLine="720"/>
        <w:jc w:val="both"/>
        <w:rPr>
          <w:sz w:val="24"/>
          <w:szCs w:val="24"/>
        </w:rPr>
      </w:pPr>
    </w:p>
    <w:p w14:paraId="154076C2" w14:textId="37015C3C" w:rsidR="00122F3E" w:rsidRPr="00752FB8" w:rsidRDefault="00122F3E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Os achados reforçam que o período de organogênese (primeiro terço da gestação) é a fase crítica para a ocorrência de </w:t>
      </w:r>
      <w:proofErr w:type="spellStart"/>
      <w:r w:rsidRPr="00752FB8">
        <w:rPr>
          <w:sz w:val="24"/>
          <w:szCs w:val="24"/>
        </w:rPr>
        <w:t>teratogênese</w:t>
      </w:r>
      <w:proofErr w:type="spellEnd"/>
      <w:r w:rsidRPr="00752FB8">
        <w:rPr>
          <w:sz w:val="24"/>
          <w:szCs w:val="24"/>
        </w:rPr>
        <w:t>.</w:t>
      </w:r>
      <w:r w:rsidR="00752FB8" w:rsidRPr="00752FB8">
        <w:rPr>
          <w:sz w:val="24"/>
          <w:szCs w:val="24"/>
        </w:rPr>
        <w:t xml:space="preserve"> A </w:t>
      </w:r>
      <w:r w:rsidRPr="00752FB8">
        <w:rPr>
          <w:sz w:val="24"/>
          <w:szCs w:val="24"/>
        </w:rPr>
        <w:t xml:space="preserve">administração de princípios ativos como o </w:t>
      </w:r>
      <w:proofErr w:type="spellStart"/>
      <w:r w:rsidRPr="00752FB8">
        <w:rPr>
          <w:sz w:val="24"/>
          <w:szCs w:val="24"/>
        </w:rPr>
        <w:t>albendazol</w:t>
      </w:r>
      <w:proofErr w:type="spellEnd"/>
      <w:r w:rsidRPr="00752FB8">
        <w:rPr>
          <w:sz w:val="24"/>
          <w:szCs w:val="24"/>
        </w:rPr>
        <w:t xml:space="preserve"> nessa etapa resulta em expressiva incidência de malformações embrionárias, devendo ser terminantemente evitada na rotina do manejo reprodutivo</w:t>
      </w:r>
      <w:r w:rsidR="00752FB8" w:rsidRPr="00752FB8">
        <w:rPr>
          <w:sz w:val="24"/>
          <w:szCs w:val="24"/>
        </w:rPr>
        <w:t xml:space="preserve"> (Papich</w:t>
      </w:r>
      <w:r w:rsidR="00796867">
        <w:rPr>
          <w:sz w:val="24"/>
          <w:szCs w:val="24"/>
        </w:rPr>
        <w:t>,</w:t>
      </w:r>
      <w:r w:rsidR="00752FB8" w:rsidRPr="00752FB8">
        <w:rPr>
          <w:sz w:val="24"/>
          <w:szCs w:val="24"/>
        </w:rPr>
        <w:t>2021)</w:t>
      </w:r>
      <w:r w:rsidRPr="00752FB8">
        <w:rPr>
          <w:sz w:val="24"/>
          <w:szCs w:val="24"/>
        </w:rPr>
        <w:t>.</w:t>
      </w:r>
    </w:p>
    <w:p w14:paraId="6518B7E2" w14:textId="77777777" w:rsidR="00122F3E" w:rsidRPr="00752FB8" w:rsidRDefault="00122F3E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Por outro lado, no terço final da gestação, os riscos migram para complicações fisiológicas do parto e viabilidade neonatal. A contraindicação de </w:t>
      </w:r>
      <w:proofErr w:type="spellStart"/>
      <w:r w:rsidRPr="00752FB8">
        <w:rPr>
          <w:sz w:val="24"/>
          <w:szCs w:val="24"/>
        </w:rPr>
        <w:t>AINEs</w:t>
      </w:r>
      <w:proofErr w:type="spellEnd"/>
      <w:r w:rsidRPr="00752FB8">
        <w:rPr>
          <w:sz w:val="24"/>
          <w:szCs w:val="24"/>
        </w:rPr>
        <w:t xml:space="preserve"> no final da gestação decorre do bloqueio das prostaglandinas, promovendo o fechamento precoce do ducto arterioso fetal e a atonia uterina materna (Andrade, 2017). Da mesma forma, o uso de corticosteroides no período pré-parto atua como gatilho hormonal para a indução do parto prematuro ou abortamento em ruminantes, fato amplamente documentado na literatura clínica (</w:t>
      </w:r>
      <w:proofErr w:type="spellStart"/>
      <w:r w:rsidRPr="00752FB8">
        <w:rPr>
          <w:sz w:val="24"/>
          <w:szCs w:val="24"/>
        </w:rPr>
        <w:t>Spinosa</w:t>
      </w:r>
      <w:proofErr w:type="spellEnd"/>
      <w:r w:rsidRPr="00752FB8">
        <w:rPr>
          <w:sz w:val="24"/>
          <w:szCs w:val="24"/>
        </w:rPr>
        <w:t xml:space="preserve"> et al., 2017).</w:t>
      </w:r>
    </w:p>
    <w:p w14:paraId="39B887E3" w14:textId="77777777" w:rsidR="00B64B82" w:rsidRDefault="00122F3E" w:rsidP="00046786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Quanto ao período de lactação e à exposição neonatal, a literatura confirma o fenômeno do aprisionamento iônico no leite para fármacos de caráter básico, como macrolídeos e </w:t>
      </w:r>
      <w:proofErr w:type="spellStart"/>
      <w:r w:rsidRPr="00752FB8">
        <w:rPr>
          <w:sz w:val="24"/>
          <w:szCs w:val="24"/>
        </w:rPr>
        <w:t>fluoroquinolonas</w:t>
      </w:r>
      <w:proofErr w:type="spellEnd"/>
      <w:r w:rsidRPr="00752FB8">
        <w:rPr>
          <w:sz w:val="24"/>
          <w:szCs w:val="24"/>
        </w:rPr>
        <w:t xml:space="preserve">, levando a uma concentração desses agentes no fluido mamário superior à </w:t>
      </w:r>
    </w:p>
    <w:p w14:paraId="0EB583E7" w14:textId="77777777" w:rsidR="00B64B82" w:rsidRDefault="00B64B82" w:rsidP="00B64B82">
      <w:pPr>
        <w:spacing w:line="360" w:lineRule="auto"/>
        <w:jc w:val="both"/>
        <w:rPr>
          <w:sz w:val="24"/>
          <w:szCs w:val="24"/>
        </w:rPr>
      </w:pPr>
    </w:p>
    <w:p w14:paraId="005336EA" w14:textId="51F0673E" w:rsidR="00122F3E" w:rsidRPr="00752FB8" w:rsidRDefault="00122F3E" w:rsidP="00B64B82">
      <w:pPr>
        <w:spacing w:line="360" w:lineRule="auto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plasmática (</w:t>
      </w:r>
      <w:proofErr w:type="spellStart"/>
      <w:r w:rsidRPr="00752FB8">
        <w:rPr>
          <w:sz w:val="24"/>
          <w:szCs w:val="24"/>
        </w:rPr>
        <w:t>Papich</w:t>
      </w:r>
      <w:proofErr w:type="spellEnd"/>
      <w:r w:rsidRPr="00752FB8">
        <w:rPr>
          <w:sz w:val="24"/>
          <w:szCs w:val="24"/>
        </w:rPr>
        <w:t xml:space="preserve">, 2021). O consumo do leite por recém-nascidos expõe o sistema renal e hepático imaturo desses animais a doses </w:t>
      </w:r>
      <w:proofErr w:type="spellStart"/>
      <w:r w:rsidRPr="00752FB8">
        <w:rPr>
          <w:sz w:val="24"/>
          <w:szCs w:val="24"/>
        </w:rPr>
        <w:t>subterapêuticas</w:t>
      </w:r>
      <w:proofErr w:type="spellEnd"/>
      <w:r w:rsidRPr="00752FB8">
        <w:rPr>
          <w:sz w:val="24"/>
          <w:szCs w:val="24"/>
        </w:rPr>
        <w:t xml:space="preserve"> ou tóxicas de antimicrobianos, podendo resultar em disbiose intestinal ou </w:t>
      </w:r>
      <w:proofErr w:type="spellStart"/>
      <w:proofErr w:type="gramStart"/>
      <w:r w:rsidRPr="00752FB8">
        <w:rPr>
          <w:sz w:val="24"/>
          <w:szCs w:val="24"/>
        </w:rPr>
        <w:t>nefrotoxicidade</w:t>
      </w:r>
      <w:proofErr w:type="spellEnd"/>
      <w:r w:rsidR="00B64B82">
        <w:rPr>
          <w:sz w:val="24"/>
          <w:szCs w:val="24"/>
        </w:rPr>
        <w:t>(</w:t>
      </w:r>
      <w:proofErr w:type="gramEnd"/>
      <w:r w:rsidR="00B64B82">
        <w:rPr>
          <w:sz w:val="24"/>
          <w:szCs w:val="24"/>
        </w:rPr>
        <w:t>Ferreira,2024)</w:t>
      </w:r>
      <w:r w:rsidRPr="00752FB8">
        <w:rPr>
          <w:sz w:val="24"/>
          <w:szCs w:val="24"/>
        </w:rPr>
        <w:t>.</w:t>
      </w:r>
    </w:p>
    <w:p w14:paraId="6AD1FD91" w14:textId="2CD48668" w:rsidR="00FB459F" w:rsidRPr="00752FB8" w:rsidRDefault="00122F3E" w:rsidP="005A1D00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>Em animais de produção, essa questão assume dimensão de saúde pública. O descumprimento dos períodos de carência (</w:t>
      </w:r>
      <w:proofErr w:type="spellStart"/>
      <w:r w:rsidRPr="00752FB8">
        <w:rPr>
          <w:i/>
          <w:iCs/>
          <w:sz w:val="24"/>
          <w:szCs w:val="24"/>
        </w:rPr>
        <w:t>withdrawal</w:t>
      </w:r>
      <w:proofErr w:type="spellEnd"/>
      <w:r w:rsidRPr="00752FB8">
        <w:rPr>
          <w:i/>
          <w:iCs/>
          <w:sz w:val="24"/>
          <w:szCs w:val="24"/>
        </w:rPr>
        <w:t xml:space="preserve"> </w:t>
      </w:r>
      <w:proofErr w:type="spellStart"/>
      <w:r w:rsidRPr="00752FB8">
        <w:rPr>
          <w:i/>
          <w:iCs/>
          <w:sz w:val="24"/>
          <w:szCs w:val="24"/>
        </w:rPr>
        <w:t>periods</w:t>
      </w:r>
      <w:proofErr w:type="spellEnd"/>
      <w:r w:rsidRPr="00752FB8">
        <w:rPr>
          <w:sz w:val="24"/>
          <w:szCs w:val="24"/>
        </w:rPr>
        <w:t>) não apenas afeta a saúde do neonato como contamina produtos destinados ao consumo humano, contribuindo para a seleção e disseminação de bactérias multirresistentes (</w:t>
      </w:r>
      <w:proofErr w:type="spellStart"/>
      <w:r w:rsidRPr="00752FB8">
        <w:rPr>
          <w:sz w:val="24"/>
          <w:szCs w:val="24"/>
        </w:rPr>
        <w:t>Spinosa</w:t>
      </w:r>
      <w:proofErr w:type="spellEnd"/>
      <w:r w:rsidRPr="00752FB8">
        <w:rPr>
          <w:sz w:val="24"/>
          <w:szCs w:val="24"/>
        </w:rPr>
        <w:t xml:space="preserve"> et al., 2017; Andrade, 2017</w:t>
      </w:r>
      <w:proofErr w:type="gramStart"/>
      <w:r w:rsidRPr="00752FB8">
        <w:rPr>
          <w:sz w:val="24"/>
          <w:szCs w:val="24"/>
        </w:rPr>
        <w:t>).Portanto</w:t>
      </w:r>
      <w:proofErr w:type="gramEnd"/>
      <w:r w:rsidRPr="00752FB8">
        <w:rPr>
          <w:sz w:val="24"/>
          <w:szCs w:val="24"/>
        </w:rPr>
        <w:t>, a discussão aponta que não existe princípio ativo isento de riscos na gestação e lactação. A conduta terapêutica deve fundamentar-se na avaliação individualizada do paciente, na idade gestacional exata e na escolha de fármacos com dados consolidados de segurança.</w:t>
      </w:r>
    </w:p>
    <w:p w14:paraId="56B81F5C" w14:textId="77777777" w:rsidR="00046786" w:rsidRPr="00752FB8" w:rsidRDefault="00046786" w:rsidP="00046786">
      <w:pPr>
        <w:spacing w:line="360" w:lineRule="auto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6. CONSIDERAÇÕES FINAIS</w:t>
      </w:r>
    </w:p>
    <w:p w14:paraId="2279A881" w14:textId="0F4D0D5E" w:rsidR="00752FB8" w:rsidRPr="00752FB8" w:rsidRDefault="00752FB8" w:rsidP="00B64B82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A administração de medicamentos para fêmeas gestantes e lactantes é um desafio na rotina da medicina veterinária, exigindo a compreensão das alterações fisiológicas maternas e dos parâmetros farmacocinéticos dos compostos utilizados. A literatura científica mostra que as mudanças no organismo materno como as variações no volume plasmático e na afinidade por </w:t>
      </w:r>
      <w:proofErr w:type="gramStart"/>
      <w:r w:rsidRPr="00752FB8">
        <w:rPr>
          <w:sz w:val="24"/>
          <w:szCs w:val="24"/>
        </w:rPr>
        <w:t>proteínas ,</w:t>
      </w:r>
      <w:proofErr w:type="gramEnd"/>
      <w:r w:rsidRPr="00752FB8">
        <w:rPr>
          <w:sz w:val="24"/>
          <w:szCs w:val="24"/>
        </w:rPr>
        <w:t xml:space="preserve"> junto com a permeabilidade da barreira placentária e a eliminação pelas secreções lácteas, tornam essencial a cautela na escolha dos protocolos terapêuticos</w:t>
      </w:r>
      <w:r w:rsidR="006B55EC">
        <w:rPr>
          <w:sz w:val="24"/>
          <w:szCs w:val="24"/>
        </w:rPr>
        <w:t xml:space="preserve">. </w:t>
      </w:r>
      <w:r w:rsidRPr="00752FB8">
        <w:rPr>
          <w:sz w:val="24"/>
          <w:szCs w:val="24"/>
        </w:rPr>
        <w:t>Observa-se que, enquanto alguns grupos como os antimicrobianos beta-lactâmicos costumam ter um alto nível de segurança, outros princípios ativos exigem restrição bem rigorosa ou até contraindicação</w:t>
      </w:r>
      <w:r w:rsidR="006B55EC">
        <w:rPr>
          <w:sz w:val="24"/>
          <w:szCs w:val="24"/>
        </w:rPr>
        <w:t>. O</w:t>
      </w:r>
      <w:r w:rsidRPr="00752FB8">
        <w:rPr>
          <w:sz w:val="24"/>
          <w:szCs w:val="24"/>
        </w:rPr>
        <w:t xml:space="preserve"> uso do </w:t>
      </w:r>
      <w:proofErr w:type="spellStart"/>
      <w:r w:rsidRPr="00752FB8">
        <w:rPr>
          <w:sz w:val="24"/>
          <w:szCs w:val="24"/>
        </w:rPr>
        <w:t>albendazol</w:t>
      </w:r>
      <w:proofErr w:type="spellEnd"/>
      <w:r w:rsidRPr="00752FB8">
        <w:rPr>
          <w:sz w:val="24"/>
          <w:szCs w:val="24"/>
        </w:rPr>
        <w:t xml:space="preserve"> na fase de organogênese e a administração de anti-inflamatórios não esteroidais (</w:t>
      </w:r>
      <w:proofErr w:type="spellStart"/>
      <w:r w:rsidRPr="00752FB8">
        <w:rPr>
          <w:sz w:val="24"/>
          <w:szCs w:val="24"/>
        </w:rPr>
        <w:t>AINEs</w:t>
      </w:r>
      <w:proofErr w:type="spellEnd"/>
      <w:r w:rsidRPr="00752FB8">
        <w:rPr>
          <w:sz w:val="24"/>
          <w:szCs w:val="24"/>
        </w:rPr>
        <w:t>) e corticosteroides na gestação tardia estão associados a graves riscos de teratogenicidade, atonia uterina, abortamento e complicações neonatais. Durante a lactação, a passagem de substâncias pelo leite e a necessidade de observar os períodos de carência ganham destaque como fatores que determinam a saúde do recém-nascido e a segurança do consumidor humano.</w:t>
      </w:r>
    </w:p>
    <w:p w14:paraId="67C103D3" w14:textId="63E13CDA" w:rsidR="00752FB8" w:rsidRPr="00DF5020" w:rsidRDefault="00752FB8" w:rsidP="00C36F7A">
      <w:pPr>
        <w:spacing w:line="360" w:lineRule="auto"/>
        <w:ind w:firstLine="720"/>
        <w:jc w:val="both"/>
        <w:rPr>
          <w:sz w:val="24"/>
          <w:szCs w:val="24"/>
        </w:rPr>
      </w:pPr>
      <w:r w:rsidRPr="00752FB8">
        <w:rPr>
          <w:sz w:val="24"/>
          <w:szCs w:val="24"/>
        </w:rPr>
        <w:t xml:space="preserve">Conclui-se que não há protocolos universais totalmente isentos de risco para pacientes gestantes e lactantes. A conduta terapêutica racional deve se basear na avaliação individualizada do paciente, no reconhecimento mais preciso da idade gestacional e na avaliação criteriosa do binômio risco-benefício </w:t>
      </w:r>
      <w:r w:rsidR="00DF5020" w:rsidRPr="00DF5020">
        <w:rPr>
          <w:sz w:val="24"/>
          <w:szCs w:val="24"/>
        </w:rPr>
        <w:t>.</w:t>
      </w:r>
    </w:p>
    <w:p w14:paraId="49F5E29F" w14:textId="77777777" w:rsidR="00752FB8" w:rsidRDefault="00752FB8" w:rsidP="00C36F7A">
      <w:pPr>
        <w:spacing w:line="360" w:lineRule="auto"/>
        <w:ind w:firstLine="720"/>
        <w:jc w:val="both"/>
        <w:rPr>
          <w:sz w:val="24"/>
          <w:szCs w:val="24"/>
        </w:rPr>
      </w:pPr>
    </w:p>
    <w:p w14:paraId="3FD838C8" w14:textId="77777777" w:rsidR="005A1D00" w:rsidRDefault="005A1D00" w:rsidP="00C36F7A">
      <w:pPr>
        <w:spacing w:line="360" w:lineRule="auto"/>
        <w:ind w:firstLine="720"/>
        <w:jc w:val="both"/>
        <w:rPr>
          <w:sz w:val="24"/>
          <w:szCs w:val="24"/>
        </w:rPr>
      </w:pPr>
    </w:p>
    <w:p w14:paraId="5C94B739" w14:textId="77777777" w:rsidR="005A1D00" w:rsidRPr="00DF5020" w:rsidRDefault="005A1D00" w:rsidP="00C36F7A">
      <w:pPr>
        <w:spacing w:line="360" w:lineRule="auto"/>
        <w:ind w:firstLine="720"/>
        <w:jc w:val="both"/>
        <w:rPr>
          <w:sz w:val="24"/>
          <w:szCs w:val="24"/>
        </w:rPr>
      </w:pPr>
    </w:p>
    <w:p w14:paraId="6EE9C9AE" w14:textId="77777777" w:rsidR="00752FB8" w:rsidRPr="00752FB8" w:rsidRDefault="00752FB8">
      <w:pPr>
        <w:spacing w:line="360" w:lineRule="auto"/>
        <w:jc w:val="center"/>
        <w:rPr>
          <w:b/>
          <w:bCs/>
          <w:sz w:val="24"/>
          <w:szCs w:val="24"/>
        </w:rPr>
      </w:pPr>
    </w:p>
    <w:p w14:paraId="6060A195" w14:textId="77777777" w:rsidR="00B64B82" w:rsidRDefault="00B64B82" w:rsidP="00693796">
      <w:pPr>
        <w:spacing w:line="360" w:lineRule="auto"/>
        <w:rPr>
          <w:b/>
          <w:bCs/>
          <w:sz w:val="24"/>
          <w:szCs w:val="24"/>
        </w:rPr>
      </w:pPr>
    </w:p>
    <w:p w14:paraId="1C6CFB5A" w14:textId="3D68D838" w:rsidR="00B64B82" w:rsidRPr="00B64B82" w:rsidRDefault="00000000" w:rsidP="00B64B82">
      <w:pPr>
        <w:spacing w:line="360" w:lineRule="auto"/>
        <w:jc w:val="center"/>
        <w:rPr>
          <w:b/>
          <w:bCs/>
          <w:sz w:val="24"/>
          <w:szCs w:val="24"/>
        </w:rPr>
      </w:pPr>
      <w:r w:rsidRPr="00752FB8">
        <w:rPr>
          <w:b/>
          <w:bCs/>
          <w:sz w:val="24"/>
          <w:szCs w:val="24"/>
        </w:rPr>
        <w:t>REFERÊNCIAS</w:t>
      </w:r>
    </w:p>
    <w:p w14:paraId="1BF35F40" w14:textId="77777777" w:rsidR="00B64B82" w:rsidRDefault="00B64B82" w:rsidP="00B64B82">
      <w:pPr>
        <w:rPr>
          <w:sz w:val="24"/>
          <w:szCs w:val="24"/>
        </w:rPr>
      </w:pPr>
      <w:r w:rsidRPr="006B55EC">
        <w:rPr>
          <w:sz w:val="24"/>
          <w:szCs w:val="24"/>
        </w:rPr>
        <w:t>ANDRADE, S. F. Manual de Terapêutica Veterinária: Farmacologia Aplicada. 4. ed. Rio de Janeiro: Roca, 2017.</w:t>
      </w:r>
    </w:p>
    <w:p w14:paraId="5E84295C" w14:textId="77777777" w:rsidR="00B64B82" w:rsidRDefault="00B64B82" w:rsidP="00B64B82">
      <w:pPr>
        <w:rPr>
          <w:sz w:val="24"/>
          <w:szCs w:val="24"/>
        </w:rPr>
      </w:pPr>
    </w:p>
    <w:p w14:paraId="6299E387" w14:textId="77777777" w:rsidR="00B64B82" w:rsidRDefault="00B64B82" w:rsidP="00B64B82">
      <w:pPr>
        <w:rPr>
          <w:sz w:val="24"/>
          <w:szCs w:val="24"/>
        </w:rPr>
      </w:pPr>
      <w:r w:rsidRPr="006B55EC">
        <w:rPr>
          <w:sz w:val="24"/>
          <w:szCs w:val="24"/>
        </w:rPr>
        <w:t xml:space="preserve">BIRIBA, Luan </w:t>
      </w:r>
      <w:proofErr w:type="spellStart"/>
      <w:r w:rsidRPr="006B55EC">
        <w:rPr>
          <w:sz w:val="24"/>
          <w:szCs w:val="24"/>
        </w:rPr>
        <w:t>Fillipe</w:t>
      </w:r>
      <w:proofErr w:type="spellEnd"/>
      <w:r w:rsidRPr="006B55EC">
        <w:rPr>
          <w:sz w:val="24"/>
          <w:szCs w:val="24"/>
        </w:rPr>
        <w:t xml:space="preserve"> de Jesus. Importância do acompanhamento clínico pré-natal em cadelas: revisão de literatura. 2025.</w:t>
      </w:r>
    </w:p>
    <w:p w14:paraId="47BCFB7A" w14:textId="77777777" w:rsidR="00B64B82" w:rsidRDefault="00B64B82" w:rsidP="00B64B82">
      <w:pPr>
        <w:rPr>
          <w:sz w:val="24"/>
          <w:szCs w:val="24"/>
        </w:rPr>
      </w:pPr>
    </w:p>
    <w:p w14:paraId="44BAA49C" w14:textId="77777777" w:rsidR="00B64B82" w:rsidRPr="006B55EC" w:rsidRDefault="00B64B82" w:rsidP="00B64B82">
      <w:pPr>
        <w:spacing w:after="240"/>
        <w:rPr>
          <w:sz w:val="24"/>
          <w:szCs w:val="24"/>
        </w:rPr>
      </w:pPr>
      <w:r w:rsidRPr="00B64B82">
        <w:rPr>
          <w:sz w:val="24"/>
          <w:szCs w:val="24"/>
        </w:rPr>
        <w:t>FERREIRA, Camila Silva et al. Resíduos de antibióticos em carne e leite de origem bovina no Brasil e seu impacto para a saúde única. 2024.</w:t>
      </w:r>
    </w:p>
    <w:p w14:paraId="4749C419" w14:textId="77777777" w:rsidR="00B64B82" w:rsidRDefault="00B64B82" w:rsidP="00B64B82">
      <w:pPr>
        <w:rPr>
          <w:sz w:val="24"/>
          <w:szCs w:val="24"/>
        </w:rPr>
      </w:pPr>
      <w:r w:rsidRPr="006B55EC">
        <w:rPr>
          <w:sz w:val="24"/>
          <w:szCs w:val="24"/>
        </w:rPr>
        <w:t xml:space="preserve">PAPICH, M. G. Saunders Handbook </w:t>
      </w:r>
      <w:proofErr w:type="spellStart"/>
      <w:r w:rsidRPr="006B55EC">
        <w:rPr>
          <w:sz w:val="24"/>
          <w:szCs w:val="24"/>
        </w:rPr>
        <w:t>of</w:t>
      </w:r>
      <w:proofErr w:type="spellEnd"/>
      <w:r w:rsidRPr="006B55EC">
        <w:rPr>
          <w:sz w:val="24"/>
          <w:szCs w:val="24"/>
        </w:rPr>
        <w:t xml:space="preserve"> </w:t>
      </w:r>
      <w:proofErr w:type="spellStart"/>
      <w:r w:rsidRPr="006B55EC">
        <w:rPr>
          <w:sz w:val="24"/>
          <w:szCs w:val="24"/>
        </w:rPr>
        <w:t>Veterinary</w:t>
      </w:r>
      <w:proofErr w:type="spellEnd"/>
      <w:r w:rsidRPr="006B55EC">
        <w:rPr>
          <w:sz w:val="24"/>
          <w:szCs w:val="24"/>
        </w:rPr>
        <w:t xml:space="preserve"> </w:t>
      </w:r>
      <w:proofErr w:type="spellStart"/>
      <w:r w:rsidRPr="006B55EC">
        <w:rPr>
          <w:sz w:val="24"/>
          <w:szCs w:val="24"/>
        </w:rPr>
        <w:t>Drugs</w:t>
      </w:r>
      <w:proofErr w:type="spellEnd"/>
      <w:r w:rsidRPr="006B55EC">
        <w:rPr>
          <w:sz w:val="24"/>
          <w:szCs w:val="24"/>
        </w:rPr>
        <w:t xml:space="preserve">: </w:t>
      </w:r>
      <w:proofErr w:type="spellStart"/>
      <w:r w:rsidRPr="006B55EC">
        <w:rPr>
          <w:sz w:val="24"/>
          <w:szCs w:val="24"/>
        </w:rPr>
        <w:t>Small</w:t>
      </w:r>
      <w:proofErr w:type="spellEnd"/>
      <w:r w:rsidRPr="006B55EC">
        <w:rPr>
          <w:sz w:val="24"/>
          <w:szCs w:val="24"/>
        </w:rPr>
        <w:t xml:space="preserve"> </w:t>
      </w:r>
      <w:proofErr w:type="spellStart"/>
      <w:r w:rsidRPr="006B55EC">
        <w:rPr>
          <w:sz w:val="24"/>
          <w:szCs w:val="24"/>
        </w:rPr>
        <w:t>and</w:t>
      </w:r>
      <w:proofErr w:type="spellEnd"/>
      <w:r w:rsidRPr="006B55EC">
        <w:rPr>
          <w:sz w:val="24"/>
          <w:szCs w:val="24"/>
        </w:rPr>
        <w:t xml:space="preserve"> Large Animal. 5th ed. St. Louis: Elsevier, 2021.</w:t>
      </w:r>
    </w:p>
    <w:p w14:paraId="3188EA4B" w14:textId="77777777" w:rsidR="00B64B82" w:rsidRDefault="00B64B82" w:rsidP="00B64B82">
      <w:pPr>
        <w:rPr>
          <w:sz w:val="24"/>
          <w:szCs w:val="24"/>
        </w:rPr>
      </w:pPr>
    </w:p>
    <w:p w14:paraId="73F4BB3C" w14:textId="77777777" w:rsidR="00B64B82" w:rsidRDefault="00B64B82" w:rsidP="00B64B82">
      <w:pPr>
        <w:rPr>
          <w:sz w:val="24"/>
          <w:szCs w:val="24"/>
        </w:rPr>
      </w:pPr>
      <w:r w:rsidRPr="006B55EC">
        <w:rPr>
          <w:sz w:val="24"/>
          <w:szCs w:val="24"/>
        </w:rPr>
        <w:t xml:space="preserve">PLUMB, D. C. </w:t>
      </w:r>
      <w:proofErr w:type="spellStart"/>
      <w:r w:rsidRPr="006B55EC">
        <w:rPr>
          <w:sz w:val="24"/>
          <w:szCs w:val="24"/>
        </w:rPr>
        <w:t>Plumb's</w:t>
      </w:r>
      <w:proofErr w:type="spellEnd"/>
      <w:r w:rsidRPr="006B55EC">
        <w:rPr>
          <w:sz w:val="24"/>
          <w:szCs w:val="24"/>
        </w:rPr>
        <w:t xml:space="preserve"> </w:t>
      </w:r>
      <w:proofErr w:type="spellStart"/>
      <w:r w:rsidRPr="006B55EC">
        <w:rPr>
          <w:sz w:val="24"/>
          <w:szCs w:val="24"/>
        </w:rPr>
        <w:t>Veterinary</w:t>
      </w:r>
      <w:proofErr w:type="spellEnd"/>
      <w:r w:rsidRPr="006B55EC">
        <w:rPr>
          <w:sz w:val="24"/>
          <w:szCs w:val="24"/>
        </w:rPr>
        <w:t xml:space="preserve"> </w:t>
      </w:r>
      <w:proofErr w:type="spellStart"/>
      <w:r w:rsidRPr="006B55EC">
        <w:rPr>
          <w:sz w:val="24"/>
          <w:szCs w:val="24"/>
        </w:rPr>
        <w:t>Drug</w:t>
      </w:r>
      <w:proofErr w:type="spellEnd"/>
      <w:r w:rsidRPr="006B55EC">
        <w:rPr>
          <w:sz w:val="24"/>
          <w:szCs w:val="24"/>
        </w:rPr>
        <w:t xml:space="preserve"> Handbook. 9th ed. Ames: Wiley-Blackwell, 2018.</w:t>
      </w:r>
    </w:p>
    <w:p w14:paraId="0EBFE9EE" w14:textId="77777777" w:rsidR="00B64B82" w:rsidRDefault="00B64B82" w:rsidP="00B64B82">
      <w:pPr>
        <w:rPr>
          <w:sz w:val="24"/>
          <w:szCs w:val="24"/>
        </w:rPr>
      </w:pPr>
      <w:r w:rsidRPr="006B55EC">
        <w:rPr>
          <w:sz w:val="24"/>
          <w:szCs w:val="24"/>
        </w:rPr>
        <w:t>SPINOSA, H. S.; GÓRNIAK, S. L.; BERNARDI, M. M. Farmacologia Aplicada à Medicina Veterinária. 6. ed. Rio de Janeiro: Guanabara Koogan, 2017.</w:t>
      </w:r>
    </w:p>
    <w:p w14:paraId="13098EDC" w14:textId="77777777" w:rsidR="00B64B82" w:rsidRDefault="00B64B82" w:rsidP="00B64B82">
      <w:pPr>
        <w:rPr>
          <w:sz w:val="24"/>
          <w:szCs w:val="24"/>
        </w:rPr>
      </w:pPr>
    </w:p>
    <w:p w14:paraId="737E101F" w14:textId="77777777" w:rsidR="00B64B82" w:rsidRDefault="00B64B82" w:rsidP="00B64B82">
      <w:pPr>
        <w:spacing w:after="240"/>
        <w:rPr>
          <w:sz w:val="24"/>
          <w:szCs w:val="24"/>
        </w:rPr>
      </w:pPr>
      <w:r w:rsidRPr="006B55EC">
        <w:rPr>
          <w:sz w:val="24"/>
          <w:szCs w:val="24"/>
        </w:rPr>
        <w:t xml:space="preserve">TORRENS, Marina </w:t>
      </w:r>
      <w:proofErr w:type="spellStart"/>
      <w:r w:rsidRPr="006B55EC">
        <w:rPr>
          <w:sz w:val="24"/>
          <w:szCs w:val="24"/>
        </w:rPr>
        <w:t>Febrer</w:t>
      </w:r>
      <w:proofErr w:type="spellEnd"/>
      <w:r w:rsidRPr="006B55EC">
        <w:rPr>
          <w:sz w:val="24"/>
          <w:szCs w:val="24"/>
        </w:rPr>
        <w:t xml:space="preserve"> et al. FARMACOLOGIA E AMAMENTAÇÃO. Revista Ibero-Americana de Saúde e Envelhecimento, v. 11, n. 2, p. 64-77, 2025.</w:t>
      </w:r>
    </w:p>
    <w:sectPr w:rsidR="00B64B82">
      <w:headerReference w:type="default" r:id="rId7"/>
      <w:footerReference w:type="default" r:id="rId8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88DA" w14:textId="77777777" w:rsidR="00901C1E" w:rsidRDefault="00901C1E">
      <w:r>
        <w:separator/>
      </w:r>
    </w:p>
  </w:endnote>
  <w:endnote w:type="continuationSeparator" w:id="0">
    <w:p w14:paraId="78DD728D" w14:textId="77777777" w:rsidR="00901C1E" w:rsidRDefault="0090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D9351D8-490A-4021-8FA4-E1B7552FD6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1CFE08E-E757-4D66-8974-1A529ED3776D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3" w:fontKey="{8B9A1E2B-9880-4392-9861-B35BF5B418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FBAC" w14:textId="77777777" w:rsidR="00520F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6CB08F" wp14:editId="3EBE139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24CC08" w14:textId="77777777" w:rsidR="00520F8A" w:rsidRDefault="00520F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6B3FA83" w14:textId="77777777" w:rsidR="00520F8A" w:rsidRDefault="00520F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EFE1" w14:textId="77777777" w:rsidR="00901C1E" w:rsidRDefault="00901C1E">
      <w:r>
        <w:separator/>
      </w:r>
    </w:p>
  </w:footnote>
  <w:footnote w:type="continuationSeparator" w:id="0">
    <w:p w14:paraId="12A7C691" w14:textId="77777777" w:rsidR="00901C1E" w:rsidRDefault="00901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C4B1" w14:textId="77777777" w:rsidR="00520F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E06F239" wp14:editId="4B8758F6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78A3"/>
    <w:multiLevelType w:val="multilevel"/>
    <w:tmpl w:val="890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B4601"/>
    <w:multiLevelType w:val="multilevel"/>
    <w:tmpl w:val="9E92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5294E"/>
    <w:multiLevelType w:val="multilevel"/>
    <w:tmpl w:val="8D38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95F5C"/>
    <w:multiLevelType w:val="multilevel"/>
    <w:tmpl w:val="2004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D0D57"/>
    <w:multiLevelType w:val="multilevel"/>
    <w:tmpl w:val="F49C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E3FEC"/>
    <w:multiLevelType w:val="multilevel"/>
    <w:tmpl w:val="F79E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F2C75"/>
    <w:multiLevelType w:val="multilevel"/>
    <w:tmpl w:val="61FA0F3A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A20CD"/>
    <w:multiLevelType w:val="multilevel"/>
    <w:tmpl w:val="0B60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B6D6F"/>
    <w:multiLevelType w:val="multilevel"/>
    <w:tmpl w:val="282A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9388B"/>
    <w:multiLevelType w:val="multilevel"/>
    <w:tmpl w:val="BD98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458617">
    <w:abstractNumId w:val="5"/>
  </w:num>
  <w:num w:numId="2" w16cid:durableId="1950507701">
    <w:abstractNumId w:val="2"/>
  </w:num>
  <w:num w:numId="3" w16cid:durableId="707418458">
    <w:abstractNumId w:val="0"/>
  </w:num>
  <w:num w:numId="4" w16cid:durableId="989209675">
    <w:abstractNumId w:val="1"/>
  </w:num>
  <w:num w:numId="5" w16cid:durableId="1758283040">
    <w:abstractNumId w:val="8"/>
  </w:num>
  <w:num w:numId="6" w16cid:durableId="1401563892">
    <w:abstractNumId w:val="3"/>
  </w:num>
  <w:num w:numId="7" w16cid:durableId="822355982">
    <w:abstractNumId w:val="9"/>
  </w:num>
  <w:num w:numId="8" w16cid:durableId="1186865507">
    <w:abstractNumId w:val="7"/>
  </w:num>
  <w:num w:numId="9" w16cid:durableId="270748402">
    <w:abstractNumId w:val="4"/>
  </w:num>
  <w:num w:numId="10" w16cid:durableId="10180412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8A"/>
    <w:rsid w:val="00031738"/>
    <w:rsid w:val="00046786"/>
    <w:rsid w:val="00086863"/>
    <w:rsid w:val="000E4D59"/>
    <w:rsid w:val="001135DC"/>
    <w:rsid w:val="00122F3E"/>
    <w:rsid w:val="001C6B25"/>
    <w:rsid w:val="002251EE"/>
    <w:rsid w:val="00283049"/>
    <w:rsid w:val="00342160"/>
    <w:rsid w:val="003D6681"/>
    <w:rsid w:val="00520F8A"/>
    <w:rsid w:val="005A1D00"/>
    <w:rsid w:val="00693796"/>
    <w:rsid w:val="006B55EC"/>
    <w:rsid w:val="007055B4"/>
    <w:rsid w:val="00752FB8"/>
    <w:rsid w:val="00796867"/>
    <w:rsid w:val="008760A0"/>
    <w:rsid w:val="008D407E"/>
    <w:rsid w:val="00901C1E"/>
    <w:rsid w:val="009C4A40"/>
    <w:rsid w:val="00B64B82"/>
    <w:rsid w:val="00BA45BE"/>
    <w:rsid w:val="00C36F7A"/>
    <w:rsid w:val="00D31753"/>
    <w:rsid w:val="00DD0C77"/>
    <w:rsid w:val="00DF5020"/>
    <w:rsid w:val="00FB459F"/>
    <w:rsid w:val="00FB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BC963"/>
  <w15:docId w15:val="{046579C2-33C7-491A-B769-C1C2E627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C6B25"/>
    <w:rPr>
      <w:sz w:val="24"/>
      <w:szCs w:val="24"/>
    </w:rPr>
  </w:style>
  <w:style w:type="table" w:styleId="Tabelacomgrade">
    <w:name w:val="Table Grid"/>
    <w:basedOn w:val="Tabelanormal"/>
    <w:uiPriority w:val="39"/>
    <w:rsid w:val="00DF5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135DC"/>
    <w:rPr>
      <w:rFonts w:eastAsiaTheme="minorEastAsi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135DC"/>
    <w:rPr>
      <w:rFonts w:eastAsiaTheme="minorEastAsia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135DC"/>
    <w:rPr>
      <w:vertAlign w:val="superscript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D31753"/>
    <w:pPr>
      <w:widowControl w:val="0"/>
      <w:autoSpaceDE w:val="0"/>
      <w:autoSpaceDN w:val="0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31753"/>
    <w:rPr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5A1D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1D00"/>
  </w:style>
  <w:style w:type="paragraph" w:styleId="Rodap">
    <w:name w:val="footer"/>
    <w:basedOn w:val="Normal"/>
    <w:link w:val="RodapChar"/>
    <w:uiPriority w:val="99"/>
    <w:unhideWhenUsed/>
    <w:rsid w:val="005A1D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A1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3139</Words>
  <Characters>16956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José francisco</cp:lastModifiedBy>
  <cp:revision>2</cp:revision>
  <cp:lastPrinted>2026-08-30T23:23:00Z</cp:lastPrinted>
  <dcterms:created xsi:type="dcterms:W3CDTF">2026-09-06T23:00:00Z</dcterms:created>
  <dcterms:modified xsi:type="dcterms:W3CDTF">2026-09-06T23:00:00Z</dcterms:modified>
</cp:coreProperties>
</file>