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4FD1E" w14:textId="4E74E7C7" w:rsidR="002B7D1C" w:rsidRDefault="00512FB1" w:rsidP="0005712F">
      <w:pPr>
        <w:jc w:val="center"/>
        <w:rPr>
          <w:rFonts w:ascii="Times New Roman" w:hAnsi="Times New Roman" w:cs="Times New Roman"/>
          <w:b/>
          <w:bCs/>
          <w:sz w:val="24"/>
          <w:szCs w:val="24"/>
        </w:rPr>
      </w:pPr>
      <w:r>
        <w:rPr>
          <w:rFonts w:ascii="Times New Roman" w:hAnsi="Times New Roman" w:cs="Times New Roman"/>
          <w:b/>
          <w:bCs/>
          <w:sz w:val="24"/>
          <w:szCs w:val="24"/>
        </w:rPr>
        <w:t xml:space="preserve">ANÁLISE </w:t>
      </w:r>
      <w:r w:rsidR="00962223">
        <w:rPr>
          <w:rFonts w:ascii="Times New Roman" w:hAnsi="Times New Roman" w:cs="Times New Roman"/>
          <w:b/>
          <w:bCs/>
          <w:sz w:val="24"/>
          <w:szCs w:val="24"/>
        </w:rPr>
        <w:t>ESPACIAL DA QUALIDADE DA EDUCAÇÃO PÚBLICA NO BRASIL EM 2011 E 2021</w:t>
      </w:r>
    </w:p>
    <w:p w14:paraId="5ABF72BC" w14:textId="611DE37B" w:rsidR="00932C3E" w:rsidRDefault="00932C3E" w:rsidP="0005712F">
      <w:pPr>
        <w:spacing w:after="0" w:line="240" w:lineRule="auto"/>
        <w:jc w:val="right"/>
        <w:rPr>
          <w:rFonts w:ascii="Times New Roman" w:hAnsi="Times New Roman" w:cs="Times New Roman"/>
          <w:sz w:val="24"/>
          <w:szCs w:val="24"/>
        </w:rPr>
      </w:pPr>
      <w:r w:rsidRPr="00932C3E">
        <w:rPr>
          <w:rFonts w:ascii="Times New Roman" w:hAnsi="Times New Roman" w:cs="Times New Roman"/>
          <w:sz w:val="24"/>
          <w:szCs w:val="24"/>
        </w:rPr>
        <w:t>Jéssica Antunes de Oliveira</w:t>
      </w:r>
      <w:r w:rsidR="0005712F">
        <w:rPr>
          <w:rFonts w:ascii="Times New Roman" w:hAnsi="Times New Roman" w:cs="Times New Roman"/>
          <w:sz w:val="24"/>
          <w:szCs w:val="24"/>
        </w:rPr>
        <w:t xml:space="preserve">; UFSM; </w:t>
      </w:r>
      <w:hyperlink r:id="rId7" w:history="1">
        <w:r w:rsidR="0005712F" w:rsidRPr="00AA2048">
          <w:rPr>
            <w:rStyle w:val="Hyperlink"/>
            <w:rFonts w:ascii="Times New Roman" w:hAnsi="Times New Roman" w:cs="Times New Roman"/>
            <w:sz w:val="24"/>
            <w:szCs w:val="24"/>
          </w:rPr>
          <w:t>jssicantunes@gmail.com</w:t>
        </w:r>
      </w:hyperlink>
      <w:r w:rsidR="0005712F">
        <w:rPr>
          <w:rFonts w:ascii="Times New Roman" w:hAnsi="Times New Roman" w:cs="Times New Roman"/>
          <w:sz w:val="24"/>
          <w:szCs w:val="24"/>
        </w:rPr>
        <w:t xml:space="preserve"> </w:t>
      </w:r>
    </w:p>
    <w:p w14:paraId="6F6EE974" w14:textId="47DC14FC" w:rsidR="00692753" w:rsidRDefault="00692753" w:rsidP="0005712F">
      <w:pPr>
        <w:spacing w:after="0" w:line="240" w:lineRule="auto"/>
        <w:jc w:val="right"/>
        <w:rPr>
          <w:rFonts w:ascii="Times New Roman" w:hAnsi="Times New Roman" w:cs="Times New Roman"/>
          <w:sz w:val="24"/>
          <w:szCs w:val="24"/>
        </w:rPr>
      </w:pPr>
      <w:r w:rsidRPr="00692753">
        <w:rPr>
          <w:rFonts w:ascii="Times New Roman" w:hAnsi="Times New Roman" w:cs="Times New Roman"/>
          <w:sz w:val="24"/>
          <w:szCs w:val="24"/>
        </w:rPr>
        <w:t>Rômulo César Reisdorfer da Silva</w:t>
      </w:r>
      <w:r w:rsidR="0005712F">
        <w:rPr>
          <w:rFonts w:ascii="Times New Roman" w:hAnsi="Times New Roman" w:cs="Times New Roman"/>
          <w:sz w:val="24"/>
          <w:szCs w:val="24"/>
        </w:rPr>
        <w:t xml:space="preserve">; UFSM; </w:t>
      </w:r>
      <w:r w:rsidR="0005712F" w:rsidRPr="00692753">
        <w:rPr>
          <w:rStyle w:val="Hyperlink"/>
        </w:rPr>
        <w:t>rcreisdorfer@gmail.com</w:t>
      </w:r>
      <w:r w:rsidR="0005712F">
        <w:rPr>
          <w:rStyle w:val="Refdenotaderodap"/>
          <w:rFonts w:ascii="Times New Roman" w:hAnsi="Times New Roman" w:cs="Times New Roman"/>
          <w:sz w:val="24"/>
          <w:szCs w:val="24"/>
        </w:rPr>
        <w:t xml:space="preserve"> </w:t>
      </w:r>
    </w:p>
    <w:p w14:paraId="5282717F" w14:textId="294279FD" w:rsidR="002B7D1C" w:rsidRDefault="002B7D1C" w:rsidP="0005712F">
      <w:pPr>
        <w:spacing w:after="0" w:line="240" w:lineRule="auto"/>
        <w:jc w:val="right"/>
        <w:rPr>
          <w:rStyle w:val="Hyperlink"/>
        </w:rPr>
      </w:pPr>
      <w:r>
        <w:rPr>
          <w:rFonts w:ascii="Times New Roman" w:hAnsi="Times New Roman" w:cs="Times New Roman"/>
          <w:sz w:val="24"/>
          <w:szCs w:val="24"/>
        </w:rPr>
        <w:t>Kalinca Léia Becker</w:t>
      </w:r>
      <w:r w:rsidR="0005712F">
        <w:rPr>
          <w:rFonts w:ascii="Times New Roman" w:hAnsi="Times New Roman" w:cs="Times New Roman"/>
          <w:sz w:val="24"/>
          <w:szCs w:val="24"/>
        </w:rPr>
        <w:t xml:space="preserve">; UFSM; </w:t>
      </w:r>
      <w:hyperlink r:id="rId8" w:history="1">
        <w:r w:rsidR="00B24300" w:rsidRPr="007D05AE">
          <w:rPr>
            <w:rStyle w:val="Hyperlink"/>
          </w:rPr>
          <w:t>kalincabecker@gmail.com</w:t>
        </w:r>
      </w:hyperlink>
    </w:p>
    <w:p w14:paraId="7729D342" w14:textId="1A9A75D4" w:rsidR="0005712F" w:rsidRDefault="0005712F" w:rsidP="0005712F">
      <w:pPr>
        <w:spacing w:after="0" w:line="240" w:lineRule="auto"/>
        <w:jc w:val="center"/>
        <w:rPr>
          <w:rStyle w:val="Hyperlink"/>
        </w:rPr>
      </w:pPr>
    </w:p>
    <w:p w14:paraId="78C84D7E" w14:textId="5C749F50" w:rsidR="0005712F" w:rsidRDefault="0005712F" w:rsidP="000571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Área Temática 6: </w:t>
      </w:r>
      <w:r w:rsidRPr="0005712F">
        <w:rPr>
          <w:rFonts w:ascii="Times New Roman" w:hAnsi="Times New Roman" w:cs="Times New Roman"/>
          <w:sz w:val="24"/>
          <w:szCs w:val="24"/>
        </w:rPr>
        <w:t>Desenvolvimento Social, Economia Solidária e Políticas Públicas</w:t>
      </w:r>
    </w:p>
    <w:p w14:paraId="6AB98B45" w14:textId="77777777" w:rsidR="0005712F" w:rsidRDefault="0005712F" w:rsidP="0005712F">
      <w:pPr>
        <w:spacing w:after="0" w:line="240" w:lineRule="auto"/>
        <w:jc w:val="center"/>
        <w:rPr>
          <w:rFonts w:ascii="Times New Roman" w:hAnsi="Times New Roman" w:cs="Times New Roman"/>
          <w:sz w:val="24"/>
          <w:szCs w:val="24"/>
        </w:rPr>
      </w:pPr>
    </w:p>
    <w:p w14:paraId="63678227" w14:textId="77777777" w:rsidR="0005712F" w:rsidRDefault="0005712F" w:rsidP="0005712F">
      <w:pPr>
        <w:spacing w:after="0" w:line="240" w:lineRule="auto"/>
        <w:jc w:val="center"/>
        <w:rPr>
          <w:rFonts w:ascii="Times New Roman" w:hAnsi="Times New Roman" w:cs="Times New Roman"/>
          <w:sz w:val="24"/>
          <w:szCs w:val="24"/>
        </w:rPr>
      </w:pPr>
    </w:p>
    <w:p w14:paraId="22DAE00F" w14:textId="14F90962" w:rsidR="0005712F" w:rsidRDefault="0005712F" w:rsidP="0005712F">
      <w:pPr>
        <w:spacing w:after="0" w:line="240" w:lineRule="auto"/>
        <w:jc w:val="center"/>
        <w:rPr>
          <w:rFonts w:ascii="Times New Roman" w:hAnsi="Times New Roman" w:cs="Times New Roman"/>
          <w:b/>
          <w:bCs/>
          <w:sz w:val="24"/>
          <w:szCs w:val="24"/>
        </w:rPr>
      </w:pPr>
      <w:r w:rsidRPr="0005712F">
        <w:rPr>
          <w:rFonts w:ascii="Times New Roman" w:hAnsi="Times New Roman" w:cs="Times New Roman"/>
          <w:b/>
          <w:bCs/>
          <w:sz w:val="24"/>
          <w:szCs w:val="24"/>
        </w:rPr>
        <w:t>RESUMO</w:t>
      </w:r>
    </w:p>
    <w:p w14:paraId="2630F16E" w14:textId="77777777" w:rsidR="0005712F" w:rsidRDefault="0005712F" w:rsidP="002B7D1C">
      <w:pPr>
        <w:spacing w:line="240" w:lineRule="auto"/>
        <w:jc w:val="both"/>
        <w:rPr>
          <w:rFonts w:ascii="Times New Roman" w:hAnsi="Times New Roman" w:cs="Times New Roman"/>
          <w:b/>
          <w:bCs/>
          <w:sz w:val="24"/>
          <w:szCs w:val="24"/>
        </w:rPr>
      </w:pPr>
    </w:p>
    <w:p w14:paraId="2D5B428F" w14:textId="2C6A5F8A" w:rsidR="002B7D1C" w:rsidRPr="006B4A82" w:rsidRDefault="00E97FD5" w:rsidP="002B7D1C">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w:t>
      </w:r>
      <w:r w:rsidR="00D87F1D">
        <w:rPr>
          <w:rFonts w:ascii="Times New Roman" w:eastAsia="Times New Roman" w:hAnsi="Times New Roman" w:cs="Times New Roman"/>
          <w:sz w:val="24"/>
          <w:szCs w:val="24"/>
        </w:rPr>
        <w:t xml:space="preserve"> Brasil é conhecido por ser um país de proporções continentais e, em seu território existem enormes desigualdades regionais</w:t>
      </w:r>
      <w:r w:rsidR="0005712F">
        <w:rPr>
          <w:rFonts w:ascii="Times New Roman" w:eastAsia="Times New Roman" w:hAnsi="Times New Roman" w:cs="Times New Roman"/>
          <w:sz w:val="24"/>
          <w:szCs w:val="24"/>
        </w:rPr>
        <w:t xml:space="preserve"> e locais</w:t>
      </w:r>
      <w:r w:rsidR="00D87F1D">
        <w:rPr>
          <w:rFonts w:ascii="Times New Roman" w:eastAsia="Times New Roman" w:hAnsi="Times New Roman" w:cs="Times New Roman"/>
          <w:sz w:val="24"/>
          <w:szCs w:val="24"/>
        </w:rPr>
        <w:t>, principalmente na educação, que é essencial para alcançarmos um desenvolvimento com igualdade de oportunidades. Tendo isso em vista, o objetivo deste estudo é analisar a evolução do Ideb – Índice d</w:t>
      </w:r>
      <w:r w:rsidR="00973938">
        <w:rPr>
          <w:rFonts w:ascii="Times New Roman" w:eastAsia="Times New Roman" w:hAnsi="Times New Roman" w:cs="Times New Roman"/>
          <w:sz w:val="24"/>
          <w:szCs w:val="24"/>
        </w:rPr>
        <w:t>e Desenvolvimento da</w:t>
      </w:r>
      <w:r w:rsidR="00D87F1D">
        <w:rPr>
          <w:rFonts w:ascii="Times New Roman" w:eastAsia="Times New Roman" w:hAnsi="Times New Roman" w:cs="Times New Roman"/>
          <w:sz w:val="24"/>
          <w:szCs w:val="24"/>
        </w:rPr>
        <w:t xml:space="preserve"> Educação Básica – </w:t>
      </w:r>
      <w:r w:rsidR="00973938">
        <w:rPr>
          <w:rFonts w:ascii="Times New Roman" w:eastAsia="Times New Roman" w:hAnsi="Times New Roman" w:cs="Times New Roman"/>
          <w:sz w:val="24"/>
          <w:szCs w:val="24"/>
        </w:rPr>
        <w:t xml:space="preserve">para os anos finais e iniciais do ensino fundamental, </w:t>
      </w:r>
      <w:r w:rsidR="00D87F1D">
        <w:rPr>
          <w:rFonts w:ascii="Times New Roman" w:eastAsia="Times New Roman" w:hAnsi="Times New Roman" w:cs="Times New Roman"/>
          <w:sz w:val="24"/>
          <w:szCs w:val="24"/>
        </w:rPr>
        <w:t xml:space="preserve">desde a sua implementação e, avaliar como se dá a distribuição espacial deste índice em uma comparação de 10 anos (2011-2021), a fim de identificar padrões espaciais </w:t>
      </w:r>
      <w:r w:rsidR="00973938">
        <w:rPr>
          <w:rFonts w:ascii="Times New Roman" w:eastAsia="Times New Roman" w:hAnsi="Times New Roman" w:cs="Times New Roman"/>
          <w:sz w:val="24"/>
          <w:szCs w:val="24"/>
        </w:rPr>
        <w:t xml:space="preserve">no território brasileiro, </w:t>
      </w:r>
      <w:r w:rsidR="00D87F1D">
        <w:rPr>
          <w:rFonts w:ascii="Times New Roman" w:eastAsia="Times New Roman" w:hAnsi="Times New Roman" w:cs="Times New Roman"/>
          <w:sz w:val="24"/>
          <w:szCs w:val="24"/>
        </w:rPr>
        <w:t xml:space="preserve">por meio da </w:t>
      </w:r>
      <w:r w:rsidR="00973938">
        <w:rPr>
          <w:rFonts w:ascii="Times New Roman" w:eastAsia="Times New Roman" w:hAnsi="Times New Roman" w:cs="Times New Roman"/>
          <w:sz w:val="24"/>
          <w:szCs w:val="24"/>
        </w:rPr>
        <w:t xml:space="preserve">metodologia de </w:t>
      </w:r>
      <w:r w:rsidR="00D87F1D">
        <w:rPr>
          <w:rFonts w:ascii="Times New Roman" w:eastAsia="Times New Roman" w:hAnsi="Times New Roman" w:cs="Times New Roman"/>
          <w:sz w:val="24"/>
          <w:szCs w:val="24"/>
        </w:rPr>
        <w:t xml:space="preserve">Análise Exploratória de Dados Espaciais (AEDE). </w:t>
      </w:r>
      <w:r w:rsidR="00973938" w:rsidRPr="00973938">
        <w:rPr>
          <w:rFonts w:ascii="Times New Roman" w:eastAsia="Times New Roman" w:hAnsi="Times New Roman" w:cs="Times New Roman"/>
          <w:sz w:val="24"/>
          <w:szCs w:val="24"/>
        </w:rPr>
        <w:t>Os valores calculados do Índice de Moran para ambos os anos foram positivos, revelando que</w:t>
      </w:r>
      <w:r w:rsidR="005D396B">
        <w:rPr>
          <w:rFonts w:ascii="Times New Roman" w:eastAsia="Times New Roman" w:hAnsi="Times New Roman" w:cs="Times New Roman"/>
          <w:sz w:val="24"/>
          <w:szCs w:val="24"/>
        </w:rPr>
        <w:t xml:space="preserve"> </w:t>
      </w:r>
      <w:r w:rsidR="00973938" w:rsidRPr="00973938">
        <w:rPr>
          <w:rFonts w:ascii="Times New Roman" w:eastAsia="Times New Roman" w:hAnsi="Times New Roman" w:cs="Times New Roman"/>
          <w:sz w:val="24"/>
          <w:szCs w:val="24"/>
        </w:rPr>
        <w:t>o Ideb está autocorrelacionado positivamente no espaço, ou seja, está ocorrendo uma concentração da qualidade da educação no território brasileiro, de forma que locais com alto (ou baixo) Ideb estão cercados por regiões com comportamento semelhante, formando áreas homogêneas</w:t>
      </w:r>
      <w:r w:rsidR="00973938">
        <w:rPr>
          <w:rFonts w:ascii="Times New Roman" w:eastAsia="Times New Roman" w:hAnsi="Times New Roman" w:cs="Times New Roman"/>
          <w:sz w:val="24"/>
          <w:szCs w:val="24"/>
        </w:rPr>
        <w:t xml:space="preserve">. </w:t>
      </w:r>
      <w:r w:rsidR="00D87F1D" w:rsidRPr="006B4A82">
        <w:rPr>
          <w:rFonts w:ascii="Times New Roman" w:eastAsia="Times New Roman" w:hAnsi="Times New Roman" w:cs="Times New Roman"/>
          <w:sz w:val="24"/>
          <w:szCs w:val="24"/>
        </w:rPr>
        <w:t xml:space="preserve">Os resultados </w:t>
      </w:r>
      <w:r w:rsidR="006B4A82" w:rsidRPr="006B4A82">
        <w:rPr>
          <w:rFonts w:ascii="Times New Roman" w:eastAsia="Times New Roman" w:hAnsi="Times New Roman" w:cs="Times New Roman"/>
          <w:sz w:val="24"/>
          <w:szCs w:val="24"/>
        </w:rPr>
        <w:t>demonstram q</w:t>
      </w:r>
      <w:r w:rsidR="006B4A82">
        <w:rPr>
          <w:rFonts w:ascii="Times New Roman" w:eastAsia="Times New Roman" w:hAnsi="Times New Roman" w:cs="Times New Roman"/>
          <w:sz w:val="24"/>
          <w:szCs w:val="24"/>
        </w:rPr>
        <w:t>ue</w:t>
      </w:r>
      <w:r w:rsidR="00973938">
        <w:rPr>
          <w:rFonts w:ascii="Times New Roman" w:eastAsia="Times New Roman" w:hAnsi="Times New Roman" w:cs="Times New Roman"/>
          <w:sz w:val="24"/>
          <w:szCs w:val="24"/>
        </w:rPr>
        <w:t xml:space="preserve"> </w:t>
      </w:r>
      <w:r w:rsidR="006B4A82">
        <w:rPr>
          <w:rFonts w:ascii="Times New Roman" w:eastAsia="Times New Roman" w:hAnsi="Times New Roman" w:cs="Times New Roman"/>
          <w:sz w:val="24"/>
          <w:szCs w:val="24"/>
        </w:rPr>
        <w:t>a educação no Brasil se deteriorou neste período, observado na redução</w:t>
      </w:r>
      <w:r w:rsidR="00BF68FD">
        <w:rPr>
          <w:rFonts w:ascii="Times New Roman" w:eastAsia="Times New Roman" w:hAnsi="Times New Roman" w:cs="Times New Roman"/>
          <w:sz w:val="24"/>
          <w:szCs w:val="24"/>
        </w:rPr>
        <w:t xml:space="preserve"> e dispersão</w:t>
      </w:r>
      <w:r w:rsidR="006B4A82">
        <w:rPr>
          <w:rFonts w:ascii="Times New Roman" w:eastAsia="Times New Roman" w:hAnsi="Times New Roman" w:cs="Times New Roman"/>
          <w:sz w:val="24"/>
          <w:szCs w:val="24"/>
        </w:rPr>
        <w:t xml:space="preserve"> dos clusters alto-alto de educação tanto para os</w:t>
      </w:r>
      <w:r w:rsidR="00AE5B41">
        <w:rPr>
          <w:rFonts w:ascii="Times New Roman" w:eastAsia="Times New Roman" w:hAnsi="Times New Roman" w:cs="Times New Roman"/>
          <w:sz w:val="24"/>
          <w:szCs w:val="24"/>
        </w:rPr>
        <w:t xml:space="preserve"> anos</w:t>
      </w:r>
      <w:r w:rsidR="006B4A82">
        <w:rPr>
          <w:rFonts w:ascii="Times New Roman" w:eastAsia="Times New Roman" w:hAnsi="Times New Roman" w:cs="Times New Roman"/>
          <w:sz w:val="24"/>
          <w:szCs w:val="24"/>
        </w:rPr>
        <w:t xml:space="preserve"> iniciais </w:t>
      </w:r>
      <w:r w:rsidR="00AE5B41">
        <w:rPr>
          <w:rFonts w:ascii="Times New Roman" w:eastAsia="Times New Roman" w:hAnsi="Times New Roman" w:cs="Times New Roman"/>
          <w:sz w:val="24"/>
          <w:szCs w:val="24"/>
        </w:rPr>
        <w:t xml:space="preserve">de educação </w:t>
      </w:r>
      <w:r w:rsidR="006B4A82">
        <w:rPr>
          <w:rFonts w:ascii="Times New Roman" w:eastAsia="Times New Roman" w:hAnsi="Times New Roman" w:cs="Times New Roman"/>
          <w:sz w:val="24"/>
          <w:szCs w:val="24"/>
        </w:rPr>
        <w:t>quanto para os anos finais.</w:t>
      </w:r>
      <w:r w:rsidR="00AE5B41">
        <w:rPr>
          <w:rFonts w:ascii="Times New Roman" w:eastAsia="Times New Roman" w:hAnsi="Times New Roman" w:cs="Times New Roman"/>
          <w:sz w:val="24"/>
          <w:szCs w:val="24"/>
        </w:rPr>
        <w:t xml:space="preserve"> A exceção é o estado do Ceará, que </w:t>
      </w:r>
      <w:r w:rsidR="00B738A8">
        <w:rPr>
          <w:rFonts w:ascii="Times New Roman" w:eastAsia="Times New Roman" w:hAnsi="Times New Roman" w:cs="Times New Roman"/>
          <w:sz w:val="24"/>
          <w:szCs w:val="24"/>
        </w:rPr>
        <w:t>apresentou um</w:t>
      </w:r>
      <w:r w:rsidR="00AE5B41">
        <w:rPr>
          <w:rFonts w:ascii="Times New Roman" w:eastAsia="Times New Roman" w:hAnsi="Times New Roman" w:cs="Times New Roman"/>
          <w:sz w:val="24"/>
          <w:szCs w:val="24"/>
        </w:rPr>
        <w:t xml:space="preserve"> novo cluster alto-alto na região</w:t>
      </w:r>
      <w:r w:rsidR="00B738A8">
        <w:rPr>
          <w:rFonts w:ascii="Times New Roman" w:eastAsia="Times New Roman" w:hAnsi="Times New Roman" w:cs="Times New Roman"/>
          <w:sz w:val="24"/>
          <w:szCs w:val="24"/>
        </w:rPr>
        <w:t xml:space="preserve"> nordeste</w:t>
      </w:r>
      <w:r w:rsidR="00E31340">
        <w:rPr>
          <w:rFonts w:ascii="Times New Roman" w:eastAsia="Times New Roman" w:hAnsi="Times New Roman" w:cs="Times New Roman"/>
          <w:sz w:val="24"/>
          <w:szCs w:val="24"/>
        </w:rPr>
        <w:t xml:space="preserve"> em 2021</w:t>
      </w:r>
      <w:r w:rsidR="00AE5B41">
        <w:rPr>
          <w:rFonts w:ascii="Times New Roman" w:eastAsia="Times New Roman" w:hAnsi="Times New Roman" w:cs="Times New Roman"/>
          <w:sz w:val="24"/>
          <w:szCs w:val="24"/>
        </w:rPr>
        <w:t xml:space="preserve">. Dessa forma, faz-se necessário rever </w:t>
      </w:r>
      <w:r w:rsidR="00B738A8">
        <w:rPr>
          <w:rFonts w:ascii="Times New Roman" w:eastAsia="Times New Roman" w:hAnsi="Times New Roman" w:cs="Times New Roman"/>
          <w:sz w:val="24"/>
          <w:szCs w:val="24"/>
        </w:rPr>
        <w:t>o sistema de ensino brasileiro a fim de evitar que este continue se deteriorando e, com base n</w:t>
      </w:r>
      <w:r w:rsidR="00E31340">
        <w:rPr>
          <w:rFonts w:ascii="Times New Roman" w:eastAsia="Times New Roman" w:hAnsi="Times New Roman" w:cs="Times New Roman"/>
          <w:sz w:val="24"/>
          <w:szCs w:val="24"/>
        </w:rPr>
        <w:t>os resultados</w:t>
      </w:r>
      <w:r w:rsidR="00B738A8">
        <w:rPr>
          <w:rFonts w:ascii="Times New Roman" w:eastAsia="Times New Roman" w:hAnsi="Times New Roman" w:cs="Times New Roman"/>
          <w:sz w:val="24"/>
          <w:szCs w:val="24"/>
        </w:rPr>
        <w:t xml:space="preserve"> do estado do Ceará, que se utilizem os aspectos do sucesso educacional dessa região em demais regiões do país.</w:t>
      </w:r>
      <w:r w:rsidR="006B4A82">
        <w:rPr>
          <w:rFonts w:ascii="Times New Roman" w:eastAsia="Times New Roman" w:hAnsi="Times New Roman" w:cs="Times New Roman"/>
          <w:sz w:val="24"/>
          <w:szCs w:val="24"/>
        </w:rPr>
        <w:t xml:space="preserve"> </w:t>
      </w:r>
    </w:p>
    <w:p w14:paraId="20D34214" w14:textId="77777777" w:rsidR="00692753" w:rsidRPr="006B4A82" w:rsidRDefault="00692753" w:rsidP="002B7D1C">
      <w:pPr>
        <w:spacing w:line="240" w:lineRule="auto"/>
        <w:jc w:val="both"/>
        <w:rPr>
          <w:rFonts w:ascii="Times New Roman" w:eastAsia="Times New Roman" w:hAnsi="Times New Roman" w:cs="Times New Roman"/>
          <w:sz w:val="24"/>
          <w:szCs w:val="24"/>
        </w:rPr>
      </w:pPr>
    </w:p>
    <w:p w14:paraId="6343947B" w14:textId="2C9D068F" w:rsidR="009531BA" w:rsidRPr="006B4A82" w:rsidRDefault="002B7D1C" w:rsidP="00692753">
      <w:pPr>
        <w:spacing w:line="240" w:lineRule="auto"/>
        <w:jc w:val="both"/>
        <w:rPr>
          <w:rFonts w:ascii="Times New Roman" w:hAnsi="Times New Roman" w:cs="Times New Roman"/>
          <w:sz w:val="24"/>
          <w:szCs w:val="24"/>
        </w:rPr>
      </w:pPr>
      <w:r w:rsidRPr="006B4A82">
        <w:rPr>
          <w:rFonts w:ascii="Times New Roman" w:hAnsi="Times New Roman" w:cs="Times New Roman"/>
          <w:b/>
          <w:bCs/>
          <w:sz w:val="24"/>
          <w:szCs w:val="24"/>
        </w:rPr>
        <w:t xml:space="preserve">Palavras-Chave: </w:t>
      </w:r>
      <w:r w:rsidR="003B1D23">
        <w:rPr>
          <w:rFonts w:ascii="Times New Roman" w:hAnsi="Times New Roman" w:cs="Times New Roman"/>
          <w:sz w:val="24"/>
          <w:szCs w:val="24"/>
        </w:rPr>
        <w:t>E</w:t>
      </w:r>
      <w:r w:rsidRPr="006B4A82">
        <w:rPr>
          <w:rFonts w:ascii="Times New Roman" w:hAnsi="Times New Roman" w:cs="Times New Roman"/>
          <w:sz w:val="24"/>
          <w:szCs w:val="24"/>
        </w:rPr>
        <w:t>ducação</w:t>
      </w:r>
      <w:r w:rsidR="00BF68FD">
        <w:rPr>
          <w:rFonts w:ascii="Times New Roman" w:hAnsi="Times New Roman" w:cs="Times New Roman"/>
          <w:sz w:val="24"/>
          <w:szCs w:val="24"/>
        </w:rPr>
        <w:t>;</w:t>
      </w:r>
      <w:r w:rsidRPr="006B4A82">
        <w:rPr>
          <w:rFonts w:ascii="Times New Roman" w:hAnsi="Times New Roman" w:cs="Times New Roman"/>
          <w:sz w:val="24"/>
          <w:szCs w:val="24"/>
        </w:rPr>
        <w:t xml:space="preserve"> Ideb</w:t>
      </w:r>
      <w:r w:rsidR="00BF68FD">
        <w:rPr>
          <w:rFonts w:ascii="Times New Roman" w:hAnsi="Times New Roman" w:cs="Times New Roman"/>
          <w:sz w:val="24"/>
          <w:szCs w:val="24"/>
        </w:rPr>
        <w:t>;</w:t>
      </w:r>
      <w:r w:rsidRPr="006B4A82">
        <w:rPr>
          <w:rFonts w:ascii="Times New Roman" w:hAnsi="Times New Roman" w:cs="Times New Roman"/>
          <w:sz w:val="24"/>
          <w:szCs w:val="24"/>
        </w:rPr>
        <w:t xml:space="preserve"> </w:t>
      </w:r>
      <w:r w:rsidR="003B1D23">
        <w:rPr>
          <w:rFonts w:ascii="Times New Roman" w:hAnsi="Times New Roman" w:cs="Times New Roman"/>
          <w:sz w:val="24"/>
          <w:szCs w:val="24"/>
        </w:rPr>
        <w:t>A</w:t>
      </w:r>
      <w:r w:rsidRPr="006B4A82">
        <w:rPr>
          <w:rFonts w:ascii="Times New Roman" w:hAnsi="Times New Roman" w:cs="Times New Roman"/>
          <w:sz w:val="24"/>
          <w:szCs w:val="24"/>
        </w:rPr>
        <w:t xml:space="preserve">nálise espacial  </w:t>
      </w:r>
    </w:p>
    <w:p w14:paraId="34E050FA" w14:textId="1C8F5D11" w:rsidR="00E55E85" w:rsidRPr="00BF68FD" w:rsidRDefault="00E55E85" w:rsidP="002B7D1C">
      <w:pPr>
        <w:spacing w:line="240" w:lineRule="auto"/>
        <w:jc w:val="both"/>
        <w:rPr>
          <w:rFonts w:ascii="Times New Roman" w:hAnsi="Times New Roman" w:cs="Times New Roman"/>
          <w:sz w:val="24"/>
          <w:szCs w:val="24"/>
        </w:rPr>
      </w:pPr>
    </w:p>
    <w:p w14:paraId="662C3E13" w14:textId="122C0E67" w:rsidR="00D87F1D" w:rsidRPr="003B1D23" w:rsidRDefault="00D87F1D" w:rsidP="005D396B">
      <w:pPr>
        <w:spacing w:line="360" w:lineRule="auto"/>
        <w:jc w:val="both"/>
        <w:rPr>
          <w:rFonts w:ascii="Times New Roman" w:eastAsia="Times New Roman" w:hAnsi="Times New Roman" w:cs="Times New Roman"/>
          <w:b/>
          <w:sz w:val="24"/>
          <w:szCs w:val="24"/>
        </w:rPr>
      </w:pPr>
      <w:r w:rsidRPr="003B1D23">
        <w:rPr>
          <w:rFonts w:ascii="Times New Roman" w:eastAsia="Times New Roman" w:hAnsi="Times New Roman" w:cs="Times New Roman"/>
          <w:b/>
          <w:sz w:val="24"/>
          <w:szCs w:val="24"/>
        </w:rPr>
        <w:t xml:space="preserve">1 </w:t>
      </w:r>
      <w:r w:rsidR="00162ECD" w:rsidRPr="003B1D23">
        <w:rPr>
          <w:rFonts w:ascii="Times New Roman" w:eastAsia="Times New Roman" w:hAnsi="Times New Roman" w:cs="Times New Roman"/>
          <w:b/>
          <w:sz w:val="24"/>
          <w:szCs w:val="24"/>
        </w:rPr>
        <w:t xml:space="preserve">INTRODUÇÃO </w:t>
      </w:r>
    </w:p>
    <w:p w14:paraId="4A5650DE" w14:textId="4A2D265A" w:rsidR="00D87F1D" w:rsidRDefault="00D87F1D" w:rsidP="00773B32">
      <w:pPr>
        <w:spacing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educação é uma variável chave para o desenvolvimento de uma nação e, nos últimos anos, o Brasil avançou em alguns indicadores educacionais, como a média de anos de estudo, que passou de 7,54 em 2012 para 8,22 em 2017 e, a taxa de analfabetismo, que reduziu de 8,68 em 2012 para 7,10 em 2017 (</w:t>
      </w:r>
      <w:r w:rsidR="009C7C78">
        <w:rPr>
          <w:rFonts w:ascii="Times New Roman" w:eastAsia="Times New Roman" w:hAnsi="Times New Roman" w:cs="Times New Roman"/>
          <w:sz w:val="24"/>
          <w:szCs w:val="24"/>
        </w:rPr>
        <w:t>ATLAS BRASIL</w:t>
      </w:r>
      <w:r>
        <w:rPr>
          <w:rFonts w:ascii="Times New Roman" w:eastAsia="Times New Roman" w:hAnsi="Times New Roman" w:cs="Times New Roman"/>
          <w:sz w:val="24"/>
          <w:szCs w:val="24"/>
        </w:rPr>
        <w:t>, 2017), no entanto, em termos de proficiência escolar,</w:t>
      </w:r>
      <w:r w:rsidR="001A7AC5">
        <w:rPr>
          <w:rFonts w:ascii="Times New Roman" w:eastAsia="Times New Roman" w:hAnsi="Times New Roman" w:cs="Times New Roman"/>
          <w:sz w:val="24"/>
          <w:szCs w:val="24"/>
        </w:rPr>
        <w:t xml:space="preserve"> o país está bastante aquém do esperado</w:t>
      </w:r>
      <w:r>
        <w:rPr>
          <w:rFonts w:ascii="Times New Roman" w:eastAsia="Times New Roman" w:hAnsi="Times New Roman" w:cs="Times New Roman"/>
          <w:sz w:val="24"/>
          <w:szCs w:val="24"/>
        </w:rPr>
        <w:t>.</w:t>
      </w:r>
    </w:p>
    <w:p w14:paraId="6C69390D" w14:textId="3D632453" w:rsidR="00D87F1D" w:rsidRDefault="00D87F1D" w:rsidP="00773B32">
      <w:pPr>
        <w:spacing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Apesar d</w:t>
      </w:r>
      <w:r w:rsidR="00C2614B">
        <w:rPr>
          <w:rFonts w:ascii="Times New Roman" w:eastAsia="Times New Roman" w:hAnsi="Times New Roman" w:cs="Times New Roman"/>
          <w:sz w:val="24"/>
          <w:szCs w:val="24"/>
        </w:rPr>
        <w:t>o Brasil</w:t>
      </w:r>
      <w:r>
        <w:rPr>
          <w:rFonts w:ascii="Times New Roman" w:eastAsia="Times New Roman" w:hAnsi="Times New Roman" w:cs="Times New Roman"/>
          <w:sz w:val="24"/>
          <w:szCs w:val="24"/>
        </w:rPr>
        <w:t xml:space="preserve"> ter melhorado seu desempenho no Índice de</w:t>
      </w:r>
      <w:r w:rsidR="001A7AC5">
        <w:rPr>
          <w:rFonts w:ascii="Times New Roman" w:eastAsia="Times New Roman" w:hAnsi="Times New Roman" w:cs="Times New Roman"/>
          <w:sz w:val="24"/>
          <w:szCs w:val="24"/>
        </w:rPr>
        <w:t xml:space="preserve"> Desenvolvimento da </w:t>
      </w:r>
      <w:r>
        <w:rPr>
          <w:rFonts w:ascii="Times New Roman" w:eastAsia="Times New Roman" w:hAnsi="Times New Roman" w:cs="Times New Roman"/>
          <w:sz w:val="24"/>
          <w:szCs w:val="24"/>
        </w:rPr>
        <w:t xml:space="preserve">Educação Básica (Ideb), que varia de 0 a 10, passando de 4,9 em 2019 para alcançar em 2021 um índice de 5,8 para os anos finais do ensino fundamental, a distância entre o resultado das </w:t>
      </w:r>
      <w:r>
        <w:rPr>
          <w:rFonts w:ascii="Times New Roman" w:eastAsia="Times New Roman" w:hAnsi="Times New Roman" w:cs="Times New Roman"/>
          <w:sz w:val="24"/>
          <w:szCs w:val="24"/>
        </w:rPr>
        <w:lastRenderedPageBreak/>
        <w:t>escolas públicas e privadas continua significativa. Em 2021, a rede pública de ensino Brasileira alcançou uma nota de 5,5, enquanto que a rede privada pontua 7,0 (INEP, 2021)</w:t>
      </w:r>
      <w:r w:rsidR="007C18FF">
        <w:rPr>
          <w:rFonts w:ascii="Times New Roman" w:eastAsia="Times New Roman" w:hAnsi="Times New Roman" w:cs="Times New Roman"/>
          <w:sz w:val="24"/>
          <w:szCs w:val="24"/>
        </w:rPr>
        <w:t>. Dessa forma, a figura 1 mostra a diferença da evolução de escolas públicas e privadas.</w:t>
      </w:r>
    </w:p>
    <w:p w14:paraId="0F9521B5" w14:textId="50CA0983" w:rsidR="00A25143" w:rsidRDefault="00A25143" w:rsidP="00B237F6">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Figura 1 – Evolução do Ideb para escolas públicas e privadas </w:t>
      </w:r>
    </w:p>
    <w:p w14:paraId="09BE627C" w14:textId="184C584C" w:rsidR="00A25143" w:rsidRPr="00A25143" w:rsidRDefault="00A25143" w:rsidP="00B237F6">
      <w:pPr>
        <w:spacing w:after="0" w:line="360" w:lineRule="auto"/>
        <w:jc w:val="both"/>
        <w:rPr>
          <w:rFonts w:ascii="Times New Roman" w:hAnsi="Times New Roman" w:cs="Times New Roman"/>
          <w:noProof/>
          <w:sz w:val="24"/>
          <w:szCs w:val="24"/>
        </w:rPr>
      </w:pPr>
      <w:r>
        <w:rPr>
          <w:rFonts w:ascii="Times New Roman" w:hAnsi="Times New Roman" w:cs="Times New Roman"/>
          <w:b/>
          <w:bCs/>
          <w:noProof/>
          <w:sz w:val="24"/>
          <w:szCs w:val="24"/>
        </w:rPr>
        <w:drawing>
          <wp:inline distT="0" distB="0" distL="0" distR="0" wp14:anchorId="4051E905" wp14:editId="51CE0D47">
            <wp:extent cx="3609975" cy="2148964"/>
            <wp:effectExtent l="19050" t="19050" r="9525" b="2286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m 13"/>
                    <pic:cNvPicPr/>
                  </pic:nvPicPr>
                  <pic:blipFill>
                    <a:blip r:embed="rId9">
                      <a:extLst>
                        <a:ext uri="{28A0092B-C50C-407E-A947-70E740481C1C}">
                          <a14:useLocalDpi xmlns:a14="http://schemas.microsoft.com/office/drawing/2010/main" val="0"/>
                        </a:ext>
                      </a:extLst>
                    </a:blip>
                    <a:stretch>
                      <a:fillRect/>
                    </a:stretch>
                  </pic:blipFill>
                  <pic:spPr>
                    <a:xfrm>
                      <a:off x="0" y="0"/>
                      <a:ext cx="3614855" cy="2151869"/>
                    </a:xfrm>
                    <a:prstGeom prst="rect">
                      <a:avLst/>
                    </a:prstGeom>
                    <a:ln>
                      <a:solidFill>
                        <a:schemeClr val="accent3">
                          <a:lumMod val="75000"/>
                        </a:schemeClr>
                      </a:solidFill>
                    </a:ln>
                  </pic:spPr>
                </pic:pic>
              </a:graphicData>
            </a:graphic>
          </wp:inline>
        </w:drawing>
      </w:r>
    </w:p>
    <w:p w14:paraId="3CDA5AD6" w14:textId="78198E00" w:rsidR="00B237F6" w:rsidRDefault="007C18FF" w:rsidP="00B237F6">
      <w:pPr>
        <w:spacing w:after="0" w:line="360" w:lineRule="auto"/>
        <w:jc w:val="both"/>
        <w:rPr>
          <w:rFonts w:ascii="Times New Roman" w:hAnsi="Times New Roman" w:cs="Times New Roman"/>
          <w:noProof/>
          <w:sz w:val="24"/>
          <w:szCs w:val="24"/>
        </w:rPr>
      </w:pPr>
      <w:r w:rsidRPr="00B237F6">
        <w:rPr>
          <w:rFonts w:ascii="Times New Roman" w:hAnsi="Times New Roman" w:cs="Times New Roman"/>
          <w:noProof/>
          <w:sz w:val="24"/>
          <w:szCs w:val="24"/>
        </w:rPr>
        <w:t>Fonte: Elaborado pelos autores.</w:t>
      </w:r>
    </w:p>
    <w:p w14:paraId="0769868C" w14:textId="77777777" w:rsidR="00B215DA" w:rsidRPr="000C276F" w:rsidRDefault="00B215DA" w:rsidP="00B237F6">
      <w:pPr>
        <w:spacing w:after="0" w:line="360" w:lineRule="auto"/>
        <w:jc w:val="both"/>
        <w:rPr>
          <w:rFonts w:ascii="Times New Roman" w:hAnsi="Times New Roman" w:cs="Times New Roman"/>
          <w:noProof/>
          <w:sz w:val="24"/>
          <w:szCs w:val="24"/>
        </w:rPr>
      </w:pPr>
    </w:p>
    <w:p w14:paraId="1BBE90D9" w14:textId="1F755EAB" w:rsidR="00D87F1D" w:rsidRDefault="007C18FF" w:rsidP="00773B32">
      <w:pPr>
        <w:spacing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Já e</w:t>
      </w:r>
      <w:r w:rsidR="00D87F1D">
        <w:rPr>
          <w:rFonts w:ascii="Times New Roman" w:eastAsia="Times New Roman" w:hAnsi="Times New Roman" w:cs="Times New Roman"/>
          <w:sz w:val="24"/>
          <w:szCs w:val="24"/>
        </w:rPr>
        <w:t>m comparação com outros países, a qualidade da educação brasileira ainda é um grande problema. O Brasil possui um dos piores desempenhos nos exames de aprendizado escolar, sendo que a média de proficiência dos jovens brasileiros em matemática no Programa Internacional de Avaliação de Estudantes (PISA) em 2018 foi de 384 pontos, 10</w:t>
      </w:r>
      <w:r w:rsidR="00C2614B">
        <w:rPr>
          <w:rFonts w:ascii="Times New Roman" w:eastAsia="Times New Roman" w:hAnsi="Times New Roman" w:cs="Times New Roman"/>
          <w:sz w:val="24"/>
          <w:szCs w:val="24"/>
        </w:rPr>
        <w:t>5</w:t>
      </w:r>
      <w:r w:rsidR="00D87F1D">
        <w:rPr>
          <w:rFonts w:ascii="Times New Roman" w:eastAsia="Times New Roman" w:hAnsi="Times New Roman" w:cs="Times New Roman"/>
          <w:sz w:val="24"/>
          <w:szCs w:val="24"/>
        </w:rPr>
        <w:t xml:space="preserve"> pontos abaixo da média dos estudantes dos países da OCDE (4</w:t>
      </w:r>
      <w:r w:rsidR="00C2614B">
        <w:rPr>
          <w:rFonts w:ascii="Times New Roman" w:eastAsia="Times New Roman" w:hAnsi="Times New Roman" w:cs="Times New Roman"/>
          <w:sz w:val="24"/>
          <w:szCs w:val="24"/>
        </w:rPr>
        <w:t>89</w:t>
      </w:r>
      <w:r w:rsidR="00D87F1D">
        <w:rPr>
          <w:rFonts w:ascii="Times New Roman" w:eastAsia="Times New Roman" w:hAnsi="Times New Roman" w:cs="Times New Roman"/>
          <w:sz w:val="24"/>
          <w:szCs w:val="24"/>
        </w:rPr>
        <w:t>). Os resultados do país também são inferiores quando comparados a outros países em desenvolvimento, como mostra a Tabela 1.</w:t>
      </w:r>
    </w:p>
    <w:p w14:paraId="78C7A8AC" w14:textId="77777777" w:rsidR="00D87F1D" w:rsidRDefault="00D87F1D" w:rsidP="00C01F96">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Tabela 1 – Médias do Pisa 2018</w:t>
      </w:r>
    </w:p>
    <w:tbl>
      <w:tblPr>
        <w:tblW w:w="6237"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2127"/>
        <w:gridCol w:w="1283"/>
        <w:gridCol w:w="1706"/>
        <w:gridCol w:w="1121"/>
      </w:tblGrid>
      <w:tr w:rsidR="00D87F1D" w14:paraId="1E0AB222" w14:textId="77777777" w:rsidTr="00C01F96">
        <w:trPr>
          <w:trHeight w:val="262"/>
        </w:trPr>
        <w:tc>
          <w:tcPr>
            <w:tcW w:w="2127" w:type="dxa"/>
            <w:tcBorders>
              <w:bottom w:val="single" w:sz="4" w:space="0" w:color="000000"/>
            </w:tcBorders>
          </w:tcPr>
          <w:p w14:paraId="1E9ED881" w14:textId="77777777" w:rsidR="00D87F1D" w:rsidRDefault="00D87F1D" w:rsidP="00C01F96">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Países</w:t>
            </w:r>
          </w:p>
        </w:tc>
        <w:tc>
          <w:tcPr>
            <w:tcW w:w="1283" w:type="dxa"/>
            <w:tcBorders>
              <w:bottom w:val="single" w:sz="4" w:space="0" w:color="000000"/>
            </w:tcBorders>
          </w:tcPr>
          <w:p w14:paraId="4EE496D1" w14:textId="77777777" w:rsidR="00D87F1D" w:rsidRDefault="00D87F1D" w:rsidP="00C01F96">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Leitura</w:t>
            </w:r>
          </w:p>
        </w:tc>
        <w:tc>
          <w:tcPr>
            <w:tcW w:w="1706" w:type="dxa"/>
            <w:tcBorders>
              <w:bottom w:val="single" w:sz="4" w:space="0" w:color="000000"/>
            </w:tcBorders>
          </w:tcPr>
          <w:p w14:paraId="327AB47B" w14:textId="77777777" w:rsidR="00D87F1D" w:rsidRDefault="00D87F1D" w:rsidP="00C01F96">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Matemática</w:t>
            </w:r>
          </w:p>
        </w:tc>
        <w:tc>
          <w:tcPr>
            <w:tcW w:w="1121" w:type="dxa"/>
            <w:tcBorders>
              <w:bottom w:val="single" w:sz="4" w:space="0" w:color="000000"/>
            </w:tcBorders>
          </w:tcPr>
          <w:p w14:paraId="286AA362" w14:textId="77777777" w:rsidR="00D87F1D" w:rsidRDefault="00D87F1D" w:rsidP="00C01F96">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Ciências</w:t>
            </w:r>
          </w:p>
        </w:tc>
      </w:tr>
      <w:tr w:rsidR="00D87F1D" w14:paraId="0C252E7E" w14:textId="77777777" w:rsidTr="00C01F96">
        <w:trPr>
          <w:trHeight w:val="94"/>
        </w:trPr>
        <w:tc>
          <w:tcPr>
            <w:tcW w:w="2127" w:type="dxa"/>
            <w:tcBorders>
              <w:top w:val="single" w:sz="4" w:space="0" w:color="000000"/>
            </w:tcBorders>
          </w:tcPr>
          <w:p w14:paraId="1B60796D" w14:textId="77777777" w:rsidR="00D87F1D" w:rsidRDefault="00D87F1D" w:rsidP="00C01F9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OCDE (média)</w:t>
            </w:r>
          </w:p>
        </w:tc>
        <w:tc>
          <w:tcPr>
            <w:tcW w:w="1283" w:type="dxa"/>
            <w:tcBorders>
              <w:top w:val="single" w:sz="4" w:space="0" w:color="000000"/>
            </w:tcBorders>
          </w:tcPr>
          <w:p w14:paraId="5F1F117A" w14:textId="77777777" w:rsidR="00D87F1D" w:rsidRDefault="00D87F1D" w:rsidP="00C01F96">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487</w:t>
            </w:r>
          </w:p>
        </w:tc>
        <w:tc>
          <w:tcPr>
            <w:tcW w:w="1706" w:type="dxa"/>
            <w:tcBorders>
              <w:top w:val="single" w:sz="4" w:space="0" w:color="000000"/>
            </w:tcBorders>
          </w:tcPr>
          <w:p w14:paraId="45EE6F14" w14:textId="77777777" w:rsidR="00D87F1D" w:rsidRDefault="00D87F1D" w:rsidP="00C01F96">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489</w:t>
            </w:r>
          </w:p>
        </w:tc>
        <w:tc>
          <w:tcPr>
            <w:tcW w:w="1121" w:type="dxa"/>
            <w:tcBorders>
              <w:top w:val="single" w:sz="4" w:space="0" w:color="000000"/>
            </w:tcBorders>
          </w:tcPr>
          <w:p w14:paraId="67283279" w14:textId="77777777" w:rsidR="00D87F1D" w:rsidRDefault="00D87F1D" w:rsidP="00C01F96">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489</w:t>
            </w:r>
          </w:p>
        </w:tc>
      </w:tr>
      <w:tr w:rsidR="00D87F1D" w14:paraId="2E801403" w14:textId="77777777" w:rsidTr="00C01F96">
        <w:trPr>
          <w:trHeight w:val="277"/>
        </w:trPr>
        <w:tc>
          <w:tcPr>
            <w:tcW w:w="2127" w:type="dxa"/>
          </w:tcPr>
          <w:p w14:paraId="097545C8" w14:textId="77777777" w:rsidR="00D87F1D" w:rsidRDefault="00D87F1D" w:rsidP="00C01F9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China (Hong Kong)</w:t>
            </w:r>
          </w:p>
        </w:tc>
        <w:tc>
          <w:tcPr>
            <w:tcW w:w="1283" w:type="dxa"/>
          </w:tcPr>
          <w:p w14:paraId="7302D15C" w14:textId="77777777" w:rsidR="00D87F1D" w:rsidRDefault="00D87F1D" w:rsidP="00C01F9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524</w:t>
            </w:r>
          </w:p>
        </w:tc>
        <w:tc>
          <w:tcPr>
            <w:tcW w:w="1706" w:type="dxa"/>
          </w:tcPr>
          <w:p w14:paraId="4E26B01B" w14:textId="77777777" w:rsidR="00D87F1D" w:rsidRDefault="00D87F1D" w:rsidP="00C01F9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551</w:t>
            </w:r>
          </w:p>
        </w:tc>
        <w:tc>
          <w:tcPr>
            <w:tcW w:w="1121" w:type="dxa"/>
          </w:tcPr>
          <w:p w14:paraId="3D3ED50C" w14:textId="77777777" w:rsidR="00D87F1D" w:rsidRDefault="00D87F1D" w:rsidP="00C01F9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517</w:t>
            </w:r>
          </w:p>
        </w:tc>
      </w:tr>
      <w:tr w:rsidR="00D87F1D" w14:paraId="26973C85" w14:textId="77777777" w:rsidTr="00C01F96">
        <w:trPr>
          <w:trHeight w:val="262"/>
        </w:trPr>
        <w:tc>
          <w:tcPr>
            <w:tcW w:w="2127" w:type="dxa"/>
          </w:tcPr>
          <w:p w14:paraId="028C8B17" w14:textId="77777777" w:rsidR="00D87F1D" w:rsidRDefault="00D87F1D" w:rsidP="00C01F9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Japão</w:t>
            </w:r>
          </w:p>
        </w:tc>
        <w:tc>
          <w:tcPr>
            <w:tcW w:w="1283" w:type="dxa"/>
          </w:tcPr>
          <w:p w14:paraId="64C09638" w14:textId="77777777" w:rsidR="00D87F1D" w:rsidRDefault="00D87F1D" w:rsidP="00C01F9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504</w:t>
            </w:r>
          </w:p>
        </w:tc>
        <w:tc>
          <w:tcPr>
            <w:tcW w:w="1706" w:type="dxa"/>
          </w:tcPr>
          <w:p w14:paraId="4B4FCA45" w14:textId="77777777" w:rsidR="00D87F1D" w:rsidRDefault="00D87F1D" w:rsidP="00C01F9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527</w:t>
            </w:r>
          </w:p>
        </w:tc>
        <w:tc>
          <w:tcPr>
            <w:tcW w:w="1121" w:type="dxa"/>
          </w:tcPr>
          <w:p w14:paraId="4F0FA76F" w14:textId="77777777" w:rsidR="00D87F1D" w:rsidRDefault="00D87F1D" w:rsidP="00C01F9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529</w:t>
            </w:r>
          </w:p>
        </w:tc>
      </w:tr>
      <w:tr w:rsidR="00D87F1D" w14:paraId="7A728B38" w14:textId="77777777" w:rsidTr="00C01F96">
        <w:trPr>
          <w:trHeight w:val="262"/>
        </w:trPr>
        <w:tc>
          <w:tcPr>
            <w:tcW w:w="2127" w:type="dxa"/>
          </w:tcPr>
          <w:p w14:paraId="12F98313" w14:textId="77777777" w:rsidR="00D87F1D" w:rsidRDefault="00D87F1D" w:rsidP="00C01F9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Estados Unidos </w:t>
            </w:r>
          </w:p>
        </w:tc>
        <w:tc>
          <w:tcPr>
            <w:tcW w:w="1283" w:type="dxa"/>
          </w:tcPr>
          <w:p w14:paraId="092631B1" w14:textId="77777777" w:rsidR="00D87F1D" w:rsidRDefault="00D87F1D" w:rsidP="00C01F9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505</w:t>
            </w:r>
          </w:p>
        </w:tc>
        <w:tc>
          <w:tcPr>
            <w:tcW w:w="1706" w:type="dxa"/>
          </w:tcPr>
          <w:p w14:paraId="194D1936" w14:textId="77777777" w:rsidR="00D87F1D" w:rsidRDefault="00D87F1D" w:rsidP="00C01F9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478</w:t>
            </w:r>
          </w:p>
        </w:tc>
        <w:tc>
          <w:tcPr>
            <w:tcW w:w="1121" w:type="dxa"/>
          </w:tcPr>
          <w:p w14:paraId="3DCCF227" w14:textId="77777777" w:rsidR="00D87F1D" w:rsidRDefault="00D87F1D" w:rsidP="00C01F9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502</w:t>
            </w:r>
          </w:p>
        </w:tc>
      </w:tr>
      <w:tr w:rsidR="00D87F1D" w14:paraId="1C81F039" w14:textId="77777777" w:rsidTr="00C01F96">
        <w:trPr>
          <w:trHeight w:val="277"/>
        </w:trPr>
        <w:tc>
          <w:tcPr>
            <w:tcW w:w="2127" w:type="dxa"/>
          </w:tcPr>
          <w:p w14:paraId="1753E75F" w14:textId="77777777" w:rsidR="00D87F1D" w:rsidRDefault="00D87F1D" w:rsidP="00C01F9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Turquia </w:t>
            </w:r>
          </w:p>
        </w:tc>
        <w:tc>
          <w:tcPr>
            <w:tcW w:w="1283" w:type="dxa"/>
          </w:tcPr>
          <w:p w14:paraId="08DFDD17" w14:textId="77777777" w:rsidR="00D87F1D" w:rsidRDefault="00D87F1D" w:rsidP="00C01F9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466</w:t>
            </w:r>
          </w:p>
        </w:tc>
        <w:tc>
          <w:tcPr>
            <w:tcW w:w="1706" w:type="dxa"/>
          </w:tcPr>
          <w:p w14:paraId="0F3169F7" w14:textId="77777777" w:rsidR="00D87F1D" w:rsidRDefault="00D87F1D" w:rsidP="00C01F9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454</w:t>
            </w:r>
          </w:p>
        </w:tc>
        <w:tc>
          <w:tcPr>
            <w:tcW w:w="1121" w:type="dxa"/>
          </w:tcPr>
          <w:p w14:paraId="75BADB74" w14:textId="77777777" w:rsidR="00D87F1D" w:rsidRDefault="00D87F1D" w:rsidP="00C01F9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468</w:t>
            </w:r>
          </w:p>
        </w:tc>
      </w:tr>
      <w:tr w:rsidR="00D87F1D" w14:paraId="52B9F7BF" w14:textId="77777777" w:rsidTr="00C01F96">
        <w:trPr>
          <w:trHeight w:val="262"/>
        </w:trPr>
        <w:tc>
          <w:tcPr>
            <w:tcW w:w="2127" w:type="dxa"/>
          </w:tcPr>
          <w:p w14:paraId="3FE97095" w14:textId="77777777" w:rsidR="00D87F1D" w:rsidRDefault="00D87F1D" w:rsidP="00C01F9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Chile </w:t>
            </w:r>
          </w:p>
        </w:tc>
        <w:tc>
          <w:tcPr>
            <w:tcW w:w="1283" w:type="dxa"/>
          </w:tcPr>
          <w:p w14:paraId="7990CE9B" w14:textId="77777777" w:rsidR="00D87F1D" w:rsidRDefault="00D87F1D" w:rsidP="00C01F9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452</w:t>
            </w:r>
          </w:p>
        </w:tc>
        <w:tc>
          <w:tcPr>
            <w:tcW w:w="1706" w:type="dxa"/>
          </w:tcPr>
          <w:p w14:paraId="4352FF47" w14:textId="77777777" w:rsidR="00D87F1D" w:rsidRDefault="00D87F1D" w:rsidP="00C01F9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417</w:t>
            </w:r>
          </w:p>
        </w:tc>
        <w:tc>
          <w:tcPr>
            <w:tcW w:w="1121" w:type="dxa"/>
          </w:tcPr>
          <w:p w14:paraId="62182114" w14:textId="77777777" w:rsidR="00D87F1D" w:rsidRDefault="00D87F1D" w:rsidP="00C01F9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444</w:t>
            </w:r>
          </w:p>
        </w:tc>
      </w:tr>
      <w:tr w:rsidR="00D87F1D" w14:paraId="495858FE" w14:textId="77777777" w:rsidTr="00C01F96">
        <w:trPr>
          <w:trHeight w:val="277"/>
        </w:trPr>
        <w:tc>
          <w:tcPr>
            <w:tcW w:w="2127" w:type="dxa"/>
          </w:tcPr>
          <w:p w14:paraId="4362416A" w14:textId="77777777" w:rsidR="00D87F1D" w:rsidRDefault="00D87F1D" w:rsidP="00C01F9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México</w:t>
            </w:r>
          </w:p>
        </w:tc>
        <w:tc>
          <w:tcPr>
            <w:tcW w:w="1283" w:type="dxa"/>
          </w:tcPr>
          <w:p w14:paraId="2B744FFB" w14:textId="77777777" w:rsidR="00D87F1D" w:rsidRDefault="00D87F1D" w:rsidP="00C01F9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420</w:t>
            </w:r>
          </w:p>
        </w:tc>
        <w:tc>
          <w:tcPr>
            <w:tcW w:w="1706" w:type="dxa"/>
          </w:tcPr>
          <w:p w14:paraId="282D2D2C" w14:textId="77777777" w:rsidR="00D87F1D" w:rsidRDefault="00D87F1D" w:rsidP="00C01F9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409</w:t>
            </w:r>
          </w:p>
        </w:tc>
        <w:tc>
          <w:tcPr>
            <w:tcW w:w="1121" w:type="dxa"/>
          </w:tcPr>
          <w:p w14:paraId="682AB46B" w14:textId="77777777" w:rsidR="00D87F1D" w:rsidRDefault="00D87F1D" w:rsidP="00C01F9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419</w:t>
            </w:r>
          </w:p>
        </w:tc>
      </w:tr>
      <w:tr w:rsidR="00D87F1D" w14:paraId="18AC52F0" w14:textId="77777777" w:rsidTr="00C01F96">
        <w:trPr>
          <w:trHeight w:val="80"/>
        </w:trPr>
        <w:tc>
          <w:tcPr>
            <w:tcW w:w="2127" w:type="dxa"/>
          </w:tcPr>
          <w:p w14:paraId="5D5AE63B" w14:textId="77777777" w:rsidR="00D87F1D" w:rsidRDefault="00D87F1D" w:rsidP="00C01F9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Brasil </w:t>
            </w:r>
          </w:p>
          <w:p w14:paraId="033F5D19" w14:textId="77777777" w:rsidR="00D87F1D" w:rsidRDefault="00D87F1D" w:rsidP="00C01F9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Argentina </w:t>
            </w:r>
          </w:p>
          <w:p w14:paraId="30E33EA2" w14:textId="77777777" w:rsidR="00D87F1D" w:rsidRDefault="00D87F1D" w:rsidP="00C01F9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Colômbia </w:t>
            </w:r>
          </w:p>
          <w:p w14:paraId="18E68953" w14:textId="77777777" w:rsidR="00D87F1D" w:rsidRDefault="00D87F1D" w:rsidP="00C01F9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Peru</w:t>
            </w:r>
          </w:p>
        </w:tc>
        <w:tc>
          <w:tcPr>
            <w:tcW w:w="1283" w:type="dxa"/>
          </w:tcPr>
          <w:p w14:paraId="5F2EEFAB" w14:textId="77777777" w:rsidR="00D87F1D" w:rsidRDefault="00D87F1D" w:rsidP="00C01F9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413</w:t>
            </w:r>
          </w:p>
          <w:p w14:paraId="26AD6E01" w14:textId="77777777" w:rsidR="00D87F1D" w:rsidRDefault="00D87F1D" w:rsidP="00C01F9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402</w:t>
            </w:r>
          </w:p>
          <w:p w14:paraId="6661F201" w14:textId="77777777" w:rsidR="00D87F1D" w:rsidRDefault="00D87F1D" w:rsidP="00C01F9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412</w:t>
            </w:r>
          </w:p>
          <w:p w14:paraId="568E01CE" w14:textId="77777777" w:rsidR="00D87F1D" w:rsidRDefault="00D87F1D" w:rsidP="00C01F9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401</w:t>
            </w:r>
          </w:p>
        </w:tc>
        <w:tc>
          <w:tcPr>
            <w:tcW w:w="1706" w:type="dxa"/>
          </w:tcPr>
          <w:p w14:paraId="20E815D4" w14:textId="77777777" w:rsidR="00D87F1D" w:rsidRDefault="00D87F1D" w:rsidP="00C01F9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384</w:t>
            </w:r>
          </w:p>
          <w:p w14:paraId="029A1F44" w14:textId="77777777" w:rsidR="00D87F1D" w:rsidRDefault="00D87F1D" w:rsidP="00C01F9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379</w:t>
            </w:r>
          </w:p>
          <w:p w14:paraId="6DAE1E7C" w14:textId="77777777" w:rsidR="00D87F1D" w:rsidRDefault="00D87F1D" w:rsidP="00C01F9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391</w:t>
            </w:r>
          </w:p>
          <w:p w14:paraId="4BD47063" w14:textId="77777777" w:rsidR="00D87F1D" w:rsidRDefault="00D87F1D" w:rsidP="00C01F9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400</w:t>
            </w:r>
          </w:p>
        </w:tc>
        <w:tc>
          <w:tcPr>
            <w:tcW w:w="1121" w:type="dxa"/>
          </w:tcPr>
          <w:p w14:paraId="2FE861C1" w14:textId="77777777" w:rsidR="00D87F1D" w:rsidRDefault="00D87F1D" w:rsidP="00C01F9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404</w:t>
            </w:r>
          </w:p>
          <w:p w14:paraId="00FAF026" w14:textId="77777777" w:rsidR="00D87F1D" w:rsidRDefault="00D87F1D" w:rsidP="00C01F9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404</w:t>
            </w:r>
          </w:p>
          <w:p w14:paraId="35DB9CC6" w14:textId="77777777" w:rsidR="00D87F1D" w:rsidRDefault="00D87F1D" w:rsidP="00C01F9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413</w:t>
            </w:r>
          </w:p>
          <w:p w14:paraId="451A2FE6" w14:textId="77777777" w:rsidR="00D87F1D" w:rsidRDefault="00D87F1D" w:rsidP="00C01F9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404</w:t>
            </w:r>
          </w:p>
        </w:tc>
      </w:tr>
    </w:tbl>
    <w:p w14:paraId="25F68680" w14:textId="765B55BD" w:rsidR="00D87F1D" w:rsidRDefault="00D87F1D" w:rsidP="00C01F96">
      <w:pPr>
        <w:spacing w:after="0" w:line="360" w:lineRule="auto"/>
        <w:jc w:val="both"/>
        <w:rPr>
          <w:rFonts w:ascii="Times New Roman" w:eastAsia="Times New Roman" w:hAnsi="Times New Roman" w:cs="Times New Roman"/>
          <w:sz w:val="24"/>
          <w:szCs w:val="24"/>
        </w:rPr>
      </w:pPr>
      <w:r w:rsidRPr="00C01F96">
        <w:rPr>
          <w:rFonts w:ascii="Times New Roman" w:eastAsia="Times New Roman" w:hAnsi="Times New Roman" w:cs="Times New Roman"/>
          <w:sz w:val="24"/>
          <w:szCs w:val="24"/>
        </w:rPr>
        <w:t xml:space="preserve">Fonte: OCDE. Elaboração Própria </w:t>
      </w:r>
    </w:p>
    <w:p w14:paraId="28F52C4C" w14:textId="77777777" w:rsidR="00B215DA" w:rsidRPr="00C01F96" w:rsidRDefault="00B215DA" w:rsidP="00C01F96">
      <w:pPr>
        <w:spacing w:after="0" w:line="360" w:lineRule="auto"/>
        <w:jc w:val="both"/>
        <w:rPr>
          <w:rFonts w:ascii="Times New Roman" w:eastAsia="Times New Roman" w:hAnsi="Times New Roman" w:cs="Times New Roman"/>
          <w:sz w:val="24"/>
          <w:szCs w:val="24"/>
        </w:rPr>
      </w:pPr>
    </w:p>
    <w:p w14:paraId="7D9290A6" w14:textId="4AA5BAA0" w:rsidR="00D87F1D" w:rsidRDefault="00AC39DF" w:rsidP="003C46AE">
      <w:pPr>
        <w:spacing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Além disso, o</w:t>
      </w:r>
      <w:r w:rsidR="00D87F1D">
        <w:rPr>
          <w:rFonts w:ascii="Times New Roman" w:eastAsia="Times New Roman" w:hAnsi="Times New Roman" w:cs="Times New Roman"/>
          <w:sz w:val="24"/>
          <w:szCs w:val="24"/>
        </w:rPr>
        <w:t xml:space="preserve"> Brasil é </w:t>
      </w:r>
      <w:r w:rsidR="001D6109">
        <w:rPr>
          <w:rFonts w:ascii="Times New Roman" w:eastAsia="Times New Roman" w:hAnsi="Times New Roman" w:cs="Times New Roman"/>
          <w:sz w:val="24"/>
          <w:szCs w:val="24"/>
        </w:rPr>
        <w:t xml:space="preserve">conhecido por ser </w:t>
      </w:r>
      <w:r w:rsidR="00D87F1D">
        <w:rPr>
          <w:rFonts w:ascii="Times New Roman" w:eastAsia="Times New Roman" w:hAnsi="Times New Roman" w:cs="Times New Roman"/>
          <w:sz w:val="24"/>
          <w:szCs w:val="24"/>
        </w:rPr>
        <w:t xml:space="preserve">um país </w:t>
      </w:r>
      <w:r w:rsidR="001D6109">
        <w:rPr>
          <w:rFonts w:ascii="Times New Roman" w:eastAsia="Times New Roman" w:hAnsi="Times New Roman" w:cs="Times New Roman"/>
          <w:sz w:val="24"/>
          <w:szCs w:val="24"/>
        </w:rPr>
        <w:t xml:space="preserve">de proporções </w:t>
      </w:r>
      <w:r w:rsidR="00D87F1D">
        <w:rPr>
          <w:rFonts w:ascii="Times New Roman" w:eastAsia="Times New Roman" w:hAnsi="Times New Roman" w:cs="Times New Roman"/>
          <w:sz w:val="24"/>
          <w:szCs w:val="24"/>
        </w:rPr>
        <w:t>continenta</w:t>
      </w:r>
      <w:r w:rsidR="001D6109">
        <w:rPr>
          <w:rFonts w:ascii="Times New Roman" w:eastAsia="Times New Roman" w:hAnsi="Times New Roman" w:cs="Times New Roman"/>
          <w:sz w:val="24"/>
          <w:szCs w:val="24"/>
        </w:rPr>
        <w:t>is</w:t>
      </w:r>
      <w:r w:rsidR="00D87F1D">
        <w:rPr>
          <w:rFonts w:ascii="Times New Roman" w:eastAsia="Times New Roman" w:hAnsi="Times New Roman" w:cs="Times New Roman"/>
          <w:sz w:val="24"/>
          <w:szCs w:val="24"/>
        </w:rPr>
        <w:t>, isso faz com que ele seja marcado por disparidades regionais</w:t>
      </w:r>
      <w:r w:rsidR="001D6109">
        <w:rPr>
          <w:rFonts w:ascii="Times New Roman" w:eastAsia="Times New Roman" w:hAnsi="Times New Roman" w:cs="Times New Roman"/>
          <w:sz w:val="24"/>
          <w:szCs w:val="24"/>
        </w:rPr>
        <w:t xml:space="preserve"> e locais</w:t>
      </w:r>
      <w:r w:rsidR="00D87F1D">
        <w:rPr>
          <w:rFonts w:ascii="Times New Roman" w:eastAsia="Times New Roman" w:hAnsi="Times New Roman" w:cs="Times New Roman"/>
          <w:sz w:val="24"/>
          <w:szCs w:val="24"/>
        </w:rPr>
        <w:t xml:space="preserve">. Barros (2011), ao analisar as evidências das desigualdades regionais no Brasil, observou que as diferenças na disponibilidade de capital humano são importantes para entender essa dinâmica de disparidades. Segundo o autor, o capital humano tem três componentes básicos e, o referente à educação é tido como o mais relevante para gerar desigualdades regionais, particularmente no que diz respeito à quantidade de anos de estudo e à qualidade da educação recebida. </w:t>
      </w:r>
    </w:p>
    <w:p w14:paraId="7AC41A53" w14:textId="49C66421" w:rsidR="00D87F1D" w:rsidRDefault="001D6109" w:rsidP="003C46AE">
      <w:pPr>
        <w:spacing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 relação a isso, podemos verificar que a</w:t>
      </w:r>
      <w:r w:rsidR="00D87F1D">
        <w:rPr>
          <w:rFonts w:ascii="Times New Roman" w:eastAsia="Times New Roman" w:hAnsi="Times New Roman" w:cs="Times New Roman"/>
          <w:sz w:val="24"/>
          <w:szCs w:val="24"/>
        </w:rPr>
        <w:t xml:space="preserve"> taxa de analfabetismo da população de 15 anos ou mais de idade </w:t>
      </w:r>
      <w:r>
        <w:rPr>
          <w:rFonts w:ascii="Times New Roman" w:eastAsia="Times New Roman" w:hAnsi="Times New Roman" w:cs="Times New Roman"/>
          <w:sz w:val="24"/>
          <w:szCs w:val="24"/>
        </w:rPr>
        <w:t xml:space="preserve">em </w:t>
      </w:r>
      <w:r w:rsidR="00D87F1D">
        <w:rPr>
          <w:rFonts w:ascii="Times New Roman" w:eastAsia="Times New Roman" w:hAnsi="Times New Roman" w:cs="Times New Roman"/>
          <w:sz w:val="24"/>
          <w:szCs w:val="24"/>
        </w:rPr>
        <w:t>2017 é de 18,2 em Alagoas, 17,1 no Piauí e 16,9 na Paraíba, ao passo que em Santa Catarina é de 2,74, em São Paulo é de 2,93 e no Rio de Janeiro de 2,62, o que mostra claramente que as regiões Norte e Nordeste do país estão em situação alarmante. A população dessas regiões está entre as mais vulneráveis do país, onde a taxa de pobreza é mais alta, estando acima de 20% em grande parte dos estados do Norte e Nordeste e abaixo dos 10% na maioria d</w:t>
      </w:r>
      <w:r w:rsidR="00C2614B">
        <w:rPr>
          <w:rFonts w:ascii="Times New Roman" w:eastAsia="Times New Roman" w:hAnsi="Times New Roman" w:cs="Times New Roman"/>
          <w:sz w:val="24"/>
          <w:szCs w:val="24"/>
        </w:rPr>
        <w:t>os estados das regiões</w:t>
      </w:r>
      <w:r w:rsidR="00D87F1D">
        <w:rPr>
          <w:rFonts w:ascii="Times New Roman" w:eastAsia="Times New Roman" w:hAnsi="Times New Roman" w:cs="Times New Roman"/>
          <w:sz w:val="24"/>
          <w:szCs w:val="24"/>
        </w:rPr>
        <w:t xml:space="preserve"> Sul, Sudeste e Centro Oeste (</w:t>
      </w:r>
      <w:r w:rsidR="009C7C78">
        <w:rPr>
          <w:rFonts w:ascii="Times New Roman" w:eastAsia="Times New Roman" w:hAnsi="Times New Roman" w:cs="Times New Roman"/>
          <w:sz w:val="24"/>
          <w:szCs w:val="24"/>
        </w:rPr>
        <w:t xml:space="preserve">ATLAS BRASIL, </w:t>
      </w:r>
      <w:r w:rsidR="00D87F1D">
        <w:rPr>
          <w:rFonts w:ascii="Times New Roman" w:eastAsia="Times New Roman" w:hAnsi="Times New Roman" w:cs="Times New Roman"/>
          <w:sz w:val="24"/>
          <w:szCs w:val="24"/>
        </w:rPr>
        <w:t>2017).</w:t>
      </w:r>
    </w:p>
    <w:p w14:paraId="0710BE9B" w14:textId="2ED72144" w:rsidR="00852DF3" w:rsidRDefault="00D87F1D" w:rsidP="003C46AE">
      <w:pPr>
        <w:spacing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Diante do exposto, o objetivo deste estudo é contribuir para a literatura da economia da educação</w:t>
      </w:r>
      <w:r w:rsidR="00C2614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por meio da análise da evolução do Ideb ao longo dos anos e, da sua distribuição espacial no território brasileiro, em 2011 e 2021. Para isso, será utilizada a metodologia da Análise Exploratória de Dados Espaciais (AEDE), que verifica a existência de</w:t>
      </w:r>
      <w:r w:rsidR="00852DF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padrão espacial </w:t>
      </w:r>
      <w:r w:rsidR="00852DF3">
        <w:rPr>
          <w:rFonts w:ascii="Times New Roman" w:eastAsia="Times New Roman" w:hAnsi="Times New Roman" w:cs="Times New Roman"/>
          <w:sz w:val="24"/>
          <w:szCs w:val="24"/>
        </w:rPr>
        <w:t>sistemático.</w:t>
      </w:r>
    </w:p>
    <w:p w14:paraId="52666445" w14:textId="056037A3" w:rsidR="001572FD" w:rsidRDefault="00D87F1D" w:rsidP="003C46AE">
      <w:pPr>
        <w:spacing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Seguindo esta introdução, apresenta-se uma breve revisão da literatura acerca dos desafios da educação num contexto de pandemia e dos determinantes da proficiência escolar. Na terceira seção, tem-se a descrição da metodologia utilizada. Na seção quatro os resultados e discussões e, por fim, na quinta seção as considerações finais.</w:t>
      </w:r>
    </w:p>
    <w:p w14:paraId="4B450D41" w14:textId="2C15647C" w:rsidR="00D87F1D" w:rsidRDefault="00E55E85" w:rsidP="00F15136">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 REVISÃO DA LITERATURA </w:t>
      </w:r>
    </w:p>
    <w:p w14:paraId="3CB15840" w14:textId="6E1E9209" w:rsidR="00B00F36" w:rsidRDefault="001572FD" w:rsidP="003C46AE">
      <w:pPr>
        <w:spacing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Nesta</w:t>
      </w:r>
      <w:r w:rsidR="00D87F1D">
        <w:rPr>
          <w:rFonts w:ascii="Times New Roman" w:eastAsia="Times New Roman" w:hAnsi="Times New Roman" w:cs="Times New Roman"/>
          <w:sz w:val="24"/>
          <w:szCs w:val="24"/>
        </w:rPr>
        <w:t xml:space="preserve"> seção aborda</w:t>
      </w:r>
      <w:r>
        <w:rPr>
          <w:rFonts w:ascii="Times New Roman" w:eastAsia="Times New Roman" w:hAnsi="Times New Roman" w:cs="Times New Roman"/>
          <w:sz w:val="24"/>
          <w:szCs w:val="24"/>
        </w:rPr>
        <w:t>-se</w:t>
      </w:r>
      <w:r w:rsidR="00D87F1D">
        <w:rPr>
          <w:rFonts w:ascii="Times New Roman" w:eastAsia="Times New Roman" w:hAnsi="Times New Roman" w:cs="Times New Roman"/>
          <w:sz w:val="24"/>
          <w:szCs w:val="24"/>
        </w:rPr>
        <w:t xml:space="preserve"> inicialmente os desafios da educação num contexto de pandemia, e, em seguida, </w:t>
      </w:r>
      <w:r w:rsidR="00BF4EB2">
        <w:rPr>
          <w:rFonts w:ascii="Times New Roman" w:eastAsia="Times New Roman" w:hAnsi="Times New Roman" w:cs="Times New Roman"/>
          <w:sz w:val="24"/>
          <w:szCs w:val="24"/>
        </w:rPr>
        <w:t xml:space="preserve">busca-se </w:t>
      </w:r>
      <w:r w:rsidR="00852DF3">
        <w:rPr>
          <w:rFonts w:ascii="Times New Roman" w:eastAsia="Times New Roman" w:hAnsi="Times New Roman" w:cs="Times New Roman"/>
          <w:sz w:val="24"/>
          <w:szCs w:val="24"/>
        </w:rPr>
        <w:t>elucida</w:t>
      </w:r>
      <w:r w:rsidR="00BF4EB2">
        <w:rPr>
          <w:rFonts w:ascii="Times New Roman" w:eastAsia="Times New Roman" w:hAnsi="Times New Roman" w:cs="Times New Roman"/>
          <w:sz w:val="24"/>
          <w:szCs w:val="24"/>
        </w:rPr>
        <w:t>r</w:t>
      </w:r>
      <w:r w:rsidR="00852DF3">
        <w:rPr>
          <w:rFonts w:ascii="Times New Roman" w:eastAsia="Times New Roman" w:hAnsi="Times New Roman" w:cs="Times New Roman"/>
          <w:sz w:val="24"/>
          <w:szCs w:val="24"/>
        </w:rPr>
        <w:t xml:space="preserve"> </w:t>
      </w:r>
      <w:r w:rsidR="00D87F1D">
        <w:rPr>
          <w:rFonts w:ascii="Times New Roman" w:eastAsia="Times New Roman" w:hAnsi="Times New Roman" w:cs="Times New Roman"/>
          <w:sz w:val="24"/>
          <w:szCs w:val="24"/>
        </w:rPr>
        <w:t xml:space="preserve">os fatores que influenciam a proficiência escolar. </w:t>
      </w:r>
    </w:p>
    <w:p w14:paraId="12DDEBB4" w14:textId="2CA4A5E4" w:rsidR="00D87F1D" w:rsidRDefault="00D87F1D" w:rsidP="00F15136">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 1 Os </w:t>
      </w:r>
      <w:r w:rsidR="00CD6ACD">
        <w:rPr>
          <w:rFonts w:ascii="Times New Roman" w:eastAsia="Times New Roman" w:hAnsi="Times New Roman" w:cs="Times New Roman"/>
          <w:b/>
          <w:sz w:val="24"/>
          <w:szCs w:val="24"/>
        </w:rPr>
        <w:t>d</w:t>
      </w:r>
      <w:r>
        <w:rPr>
          <w:rFonts w:ascii="Times New Roman" w:eastAsia="Times New Roman" w:hAnsi="Times New Roman" w:cs="Times New Roman"/>
          <w:b/>
          <w:sz w:val="24"/>
          <w:szCs w:val="24"/>
        </w:rPr>
        <w:t xml:space="preserve">esafios da </w:t>
      </w:r>
      <w:r w:rsidR="00CD6ACD">
        <w:rPr>
          <w:rFonts w:ascii="Times New Roman" w:eastAsia="Times New Roman" w:hAnsi="Times New Roman" w:cs="Times New Roman"/>
          <w:b/>
          <w:sz w:val="24"/>
          <w:szCs w:val="24"/>
        </w:rPr>
        <w:t>e</w:t>
      </w:r>
      <w:r>
        <w:rPr>
          <w:rFonts w:ascii="Times New Roman" w:eastAsia="Times New Roman" w:hAnsi="Times New Roman" w:cs="Times New Roman"/>
          <w:b/>
          <w:sz w:val="24"/>
          <w:szCs w:val="24"/>
        </w:rPr>
        <w:t xml:space="preserve">ducação num contexto de </w:t>
      </w:r>
      <w:r w:rsidR="00CD6ACD">
        <w:rPr>
          <w:rFonts w:ascii="Times New Roman" w:eastAsia="Times New Roman" w:hAnsi="Times New Roman" w:cs="Times New Roman"/>
          <w:b/>
          <w:sz w:val="24"/>
          <w:szCs w:val="24"/>
        </w:rPr>
        <w:t>p</w:t>
      </w:r>
      <w:r>
        <w:rPr>
          <w:rFonts w:ascii="Times New Roman" w:eastAsia="Times New Roman" w:hAnsi="Times New Roman" w:cs="Times New Roman"/>
          <w:b/>
          <w:sz w:val="24"/>
          <w:szCs w:val="24"/>
        </w:rPr>
        <w:t>andemia</w:t>
      </w:r>
    </w:p>
    <w:p w14:paraId="3DC343C8" w14:textId="51422CC5" w:rsidR="009D161E" w:rsidRDefault="009D161E" w:rsidP="003C46AE">
      <w:pPr>
        <w:spacing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Conforme Rudenko et al. (2020) a</w:t>
      </w:r>
      <w:r w:rsidRPr="009D161E">
        <w:rPr>
          <w:rFonts w:ascii="Times New Roman" w:eastAsia="Times New Roman" w:hAnsi="Times New Roman" w:cs="Times New Roman"/>
          <w:sz w:val="24"/>
          <w:szCs w:val="24"/>
        </w:rPr>
        <w:t xml:space="preserve"> pandemia de COVID-19 causou fortes mudanças nos sistemas educacionais e não permitiu uma cuidadosa deliberação sobre os melhores métodos de aprendizado online</w:t>
      </w:r>
      <w:r>
        <w:rPr>
          <w:rFonts w:ascii="Times New Roman" w:eastAsia="Times New Roman" w:hAnsi="Times New Roman" w:cs="Times New Roman"/>
          <w:sz w:val="24"/>
          <w:szCs w:val="24"/>
        </w:rPr>
        <w:t>,</w:t>
      </w:r>
      <w:r w:rsidRPr="009D161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muito menos uma</w:t>
      </w:r>
      <w:r w:rsidRPr="009D161E">
        <w:rPr>
          <w:rFonts w:ascii="Times New Roman" w:eastAsia="Times New Roman" w:hAnsi="Times New Roman" w:cs="Times New Roman"/>
          <w:sz w:val="24"/>
          <w:szCs w:val="24"/>
        </w:rPr>
        <w:t xml:space="preserve"> transição suave</w:t>
      </w:r>
      <w:r>
        <w:rPr>
          <w:rFonts w:ascii="Times New Roman" w:eastAsia="Times New Roman" w:hAnsi="Times New Roman" w:cs="Times New Roman"/>
          <w:sz w:val="24"/>
          <w:szCs w:val="24"/>
        </w:rPr>
        <w:t xml:space="preserve"> e gradativa para este modelo</w:t>
      </w:r>
      <w:r w:rsidRPr="009D161E">
        <w:rPr>
          <w:rFonts w:ascii="Times New Roman" w:eastAsia="Times New Roman" w:hAnsi="Times New Roman" w:cs="Times New Roman"/>
          <w:sz w:val="24"/>
          <w:szCs w:val="24"/>
        </w:rPr>
        <w:t xml:space="preserve">. Os professores foram incumbidos da tarefa de disponibilizar o máximo de informações e da forma </w:t>
      </w:r>
      <w:r w:rsidRPr="009D161E">
        <w:rPr>
          <w:rFonts w:ascii="Times New Roman" w:eastAsia="Times New Roman" w:hAnsi="Times New Roman" w:cs="Times New Roman"/>
          <w:sz w:val="24"/>
          <w:szCs w:val="24"/>
        </w:rPr>
        <w:lastRenderedPageBreak/>
        <w:t>mais rápida possível em plataformas online. É impossível englobar todos desafios encontrados ao se deparar com essa tarefa, mas alguns mais notáveis foram: dificuldade em lidar com uma ampla variedade de ferramentas e aplicativos de ensino; dificuldade para adaptar o conteúdo para um ambiente online; dificuldade em manter os alunos engajados</w:t>
      </w:r>
      <w:r>
        <w:rPr>
          <w:rFonts w:ascii="Times New Roman" w:eastAsia="Times New Roman" w:hAnsi="Times New Roman" w:cs="Times New Roman"/>
          <w:sz w:val="24"/>
          <w:szCs w:val="24"/>
        </w:rPr>
        <w:t>.</w:t>
      </w:r>
    </w:p>
    <w:p w14:paraId="3464AC7B" w14:textId="478B1577" w:rsidR="006A5716" w:rsidRPr="006A5716" w:rsidRDefault="006A5716" w:rsidP="003C46AE">
      <w:pPr>
        <w:spacing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 2021, o Ideb alcançou o maior valor de toda a série histórica, mas esse resultado não está relacionado efetivamente com uma melhoria da qualidade da educação básica Brasileira, visto que se deu de forma extraordinária. Por um lado, tem-se uma variação positiva em termos d</w:t>
      </w:r>
      <w:r w:rsidR="00C2614B">
        <w:rPr>
          <w:rFonts w:ascii="Times New Roman" w:eastAsia="Times New Roman" w:hAnsi="Times New Roman" w:cs="Times New Roman"/>
          <w:sz w:val="24"/>
          <w:szCs w:val="24"/>
        </w:rPr>
        <w:t>as taxas de aprovação,</w:t>
      </w:r>
      <w:r>
        <w:rPr>
          <w:rFonts w:ascii="Times New Roman" w:eastAsia="Times New Roman" w:hAnsi="Times New Roman" w:cs="Times New Roman"/>
          <w:sz w:val="24"/>
          <w:szCs w:val="24"/>
        </w:rPr>
        <w:t xml:space="preserve"> mas ao analisarmos o desempenho nas provas de português e matemática, observa-se retrocesso.</w:t>
      </w:r>
      <w:r w:rsidRPr="006A5716">
        <w:rPr>
          <w:rFonts w:ascii="Times New Roman" w:hAnsi="Times New Roman" w:cs="Times New Roman"/>
          <w:sz w:val="24"/>
          <w:szCs w:val="24"/>
        </w:rPr>
        <w:t xml:space="preserve"> </w:t>
      </w:r>
    </w:p>
    <w:p w14:paraId="716AB8A0" w14:textId="1F95071A" w:rsidR="006A5716" w:rsidRDefault="006A5716" w:rsidP="003C46AE">
      <w:pPr>
        <w:spacing w:line="360" w:lineRule="auto"/>
        <w:ind w:firstLine="567"/>
        <w:jc w:val="both"/>
        <w:rPr>
          <w:rFonts w:ascii="Times New Roman" w:eastAsia="Times New Roman" w:hAnsi="Times New Roman" w:cs="Times New Roman"/>
          <w:sz w:val="24"/>
          <w:szCs w:val="24"/>
        </w:rPr>
      </w:pPr>
      <w:r>
        <w:rPr>
          <w:rFonts w:ascii="Times New Roman" w:hAnsi="Times New Roman" w:cs="Times New Roman"/>
          <w:sz w:val="24"/>
          <w:szCs w:val="24"/>
        </w:rPr>
        <w:t xml:space="preserve">Isso </w:t>
      </w:r>
      <w:r w:rsidR="00982B43">
        <w:rPr>
          <w:rFonts w:ascii="Times New Roman" w:hAnsi="Times New Roman" w:cs="Times New Roman"/>
          <w:sz w:val="24"/>
          <w:szCs w:val="24"/>
        </w:rPr>
        <w:t xml:space="preserve">está relacionado a </w:t>
      </w:r>
      <w:r w:rsidR="00852DF3" w:rsidRPr="00637D94">
        <w:rPr>
          <w:rFonts w:ascii="Times New Roman" w:hAnsi="Times New Roman" w:cs="Times New Roman"/>
          <w:sz w:val="24"/>
          <w:szCs w:val="24"/>
        </w:rPr>
        <w:t>pandemia de COVID-19</w:t>
      </w:r>
      <w:r>
        <w:rPr>
          <w:rFonts w:ascii="Times New Roman" w:hAnsi="Times New Roman" w:cs="Times New Roman"/>
          <w:sz w:val="24"/>
          <w:szCs w:val="24"/>
        </w:rPr>
        <w:t>, que</w:t>
      </w:r>
      <w:r w:rsidR="00852DF3" w:rsidRPr="00637D94">
        <w:rPr>
          <w:rFonts w:ascii="Times New Roman" w:hAnsi="Times New Roman" w:cs="Times New Roman"/>
          <w:sz w:val="24"/>
          <w:szCs w:val="24"/>
        </w:rPr>
        <w:t xml:space="preserve"> causou uma disrupção na educação em uma escala sem precedentes, com sistemas educacionais por todo o mundo sendo afetados, levando a fechamento e a mudanças abruptas nas operações das escolas</w:t>
      </w:r>
      <w:r w:rsidR="00B91985">
        <w:rPr>
          <w:rFonts w:ascii="Times New Roman" w:hAnsi="Times New Roman" w:cs="Times New Roman"/>
          <w:sz w:val="24"/>
          <w:szCs w:val="24"/>
        </w:rPr>
        <w:t xml:space="preserve"> (UNESCO, 2022)</w:t>
      </w:r>
      <w:r>
        <w:rPr>
          <w:rFonts w:ascii="Times New Roman" w:hAnsi="Times New Roman" w:cs="Times New Roman"/>
          <w:sz w:val="24"/>
          <w:szCs w:val="24"/>
        </w:rPr>
        <w:t>. De acordo com o Instituto Unibanco (2021)</w:t>
      </w:r>
      <w:r w:rsidRPr="006A571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 pandemia teve efeitos sobre os componentes de rendimento do Ideb, visto que as escolas foram afetadas por mudanças no formato da oferta de aulas e no acompanhamento dos alunos.  O registro de frequência se deu de formas variadas, tais como o acompanhamento de atividades remotas síncronas por parte dos estudantes, a entrega de cadernos de atividades ou simplesmente a troca de mensagens com o professor.</w:t>
      </w:r>
    </w:p>
    <w:p w14:paraId="333E3EE5" w14:textId="6E3CE5CF" w:rsidR="008020E8" w:rsidRPr="00637D94" w:rsidRDefault="008020E8" w:rsidP="003C46AE">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Rudenko et al. (2020) </w:t>
      </w:r>
      <w:r w:rsidRPr="009D161E">
        <w:rPr>
          <w:rFonts w:ascii="Times New Roman" w:hAnsi="Times New Roman" w:cs="Times New Roman"/>
          <w:sz w:val="24"/>
          <w:szCs w:val="24"/>
        </w:rPr>
        <w:t>destacam os desafios que educadores enfrentam ao usar tecnologias de informação para lecionar. Estes precisam aprender uma grande variedade de ferramentas e aplicativos, adaptar suas aulas para um ambiente totalmente online e mesmo assim precisam aumentar o engajamento dos alunos. Sugere-se que haja um forte preparo desses docentes e dos alunos em aprender a utilizar os ambientes virtuais. O sucesso das estratégias também está atrelado a plataforma utilizada, sendo que esta deve ser intuitiva e deve suprir o máximo de necessidades quanto possível, evitando o uso de múltiplas ferramentas para se atingir o objetivo.</w:t>
      </w:r>
    </w:p>
    <w:p w14:paraId="198458DA" w14:textId="67C905DC" w:rsidR="00637D94" w:rsidRPr="00637D94" w:rsidRDefault="00637D94" w:rsidP="003C46AE">
      <w:pPr>
        <w:spacing w:line="360" w:lineRule="auto"/>
        <w:ind w:firstLine="567"/>
        <w:jc w:val="both"/>
        <w:rPr>
          <w:rFonts w:ascii="Times New Roman" w:hAnsi="Times New Roman" w:cs="Times New Roman"/>
          <w:sz w:val="24"/>
          <w:szCs w:val="24"/>
        </w:rPr>
      </w:pPr>
      <w:r w:rsidRPr="00637D94">
        <w:rPr>
          <w:rFonts w:ascii="Times New Roman" w:hAnsi="Times New Roman" w:cs="Times New Roman"/>
          <w:sz w:val="24"/>
          <w:szCs w:val="24"/>
        </w:rPr>
        <w:t>Conforme o DataSenado (2022), foi possível identificar grandes impactos nos estudantes nesse período. Foram relatadas dificuldades em adaptar a rotina dos pais com as aulas dos filhos, problemas na aprendizagem</w:t>
      </w:r>
      <w:r w:rsidR="00982B43">
        <w:rPr>
          <w:rFonts w:ascii="Times New Roman" w:hAnsi="Times New Roman" w:cs="Times New Roman"/>
          <w:sz w:val="24"/>
          <w:szCs w:val="24"/>
        </w:rPr>
        <w:t>,</w:t>
      </w:r>
      <w:r w:rsidRPr="00637D94">
        <w:rPr>
          <w:rFonts w:ascii="Times New Roman" w:hAnsi="Times New Roman" w:cs="Times New Roman"/>
          <w:sz w:val="24"/>
          <w:szCs w:val="24"/>
        </w:rPr>
        <w:t xml:space="preserve"> anos perdidos na educação e também foram constatados efeitos negativos em questões emocionais e relacionais dos estudantes, tendo em vista que o contato com outras pessoas da mesma idade é muito importante para o desenvolvimento e amadurecimento de crianças e adolescentes.</w:t>
      </w:r>
    </w:p>
    <w:p w14:paraId="045EFD87" w14:textId="77777777" w:rsidR="00CD6ACD" w:rsidRDefault="00637D94" w:rsidP="003C46AE">
      <w:pPr>
        <w:spacing w:line="360" w:lineRule="auto"/>
        <w:ind w:firstLine="567"/>
        <w:jc w:val="both"/>
        <w:rPr>
          <w:rFonts w:ascii="Times New Roman" w:hAnsi="Times New Roman" w:cs="Times New Roman"/>
          <w:sz w:val="24"/>
          <w:szCs w:val="24"/>
        </w:rPr>
      </w:pPr>
      <w:r w:rsidRPr="00637D94">
        <w:rPr>
          <w:rFonts w:ascii="Times New Roman" w:hAnsi="Times New Roman" w:cs="Times New Roman"/>
          <w:sz w:val="24"/>
          <w:szCs w:val="24"/>
        </w:rPr>
        <w:t xml:space="preserve">As ações mais adotadas pelas escolas/secretarias de educação com os professores para continuidade das atividades pedagógicas durante a suspensão das atividades presenciais no ano </w:t>
      </w:r>
      <w:r w:rsidRPr="00637D94">
        <w:rPr>
          <w:rFonts w:ascii="Times New Roman" w:hAnsi="Times New Roman" w:cs="Times New Roman"/>
          <w:sz w:val="24"/>
          <w:szCs w:val="24"/>
        </w:rPr>
        <w:lastRenderedPageBreak/>
        <w:t xml:space="preserve">de 2020 foram: a reorganização/adaptação do planejamento/plano de aula com priorização de habilidades e </w:t>
      </w:r>
      <w:r w:rsidR="00994C3F" w:rsidRPr="00637D94">
        <w:rPr>
          <w:rFonts w:ascii="Times New Roman" w:hAnsi="Times New Roman" w:cs="Times New Roman"/>
          <w:sz w:val="24"/>
          <w:szCs w:val="24"/>
        </w:rPr>
        <w:t>conteúdo</w:t>
      </w:r>
      <w:r w:rsidRPr="00637D94">
        <w:rPr>
          <w:rFonts w:ascii="Times New Roman" w:hAnsi="Times New Roman" w:cs="Times New Roman"/>
          <w:sz w:val="24"/>
          <w:szCs w:val="24"/>
        </w:rPr>
        <w:t xml:space="preserve"> específicos (90,4%) e a realização de reuniões virtuais de planejamento, coordenação e monitoramento das atividades (89,6%). Destaca-se, ainda, que mais da metade das escolas das redes federal (61,1%) e privada (50,6%) disponibilizou equipamentos (computador, notebook, tablets, smartphones etc.) para os professores (CENSO ESCOLAR 2021)</w:t>
      </w:r>
      <w:r w:rsidR="00994C3F">
        <w:rPr>
          <w:rFonts w:ascii="Times New Roman" w:hAnsi="Times New Roman" w:cs="Times New Roman"/>
          <w:sz w:val="24"/>
          <w:szCs w:val="24"/>
        </w:rPr>
        <w:t>.</w:t>
      </w:r>
      <w:r w:rsidR="006A5716">
        <w:rPr>
          <w:rFonts w:ascii="Times New Roman" w:hAnsi="Times New Roman" w:cs="Times New Roman"/>
          <w:sz w:val="24"/>
          <w:szCs w:val="24"/>
        </w:rPr>
        <w:t xml:space="preserve"> </w:t>
      </w:r>
    </w:p>
    <w:p w14:paraId="5AF8517F" w14:textId="3AAD1314" w:rsidR="00D87F1D" w:rsidRDefault="00D87F1D" w:rsidP="003C46AE">
      <w:pPr>
        <w:spacing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Além disso, a adaptação dos estados em relação às adversidades da pandemia, também foi desigual.  O percentual de escolas municipais, que realizaram aulas ao vivo (síncronas) mediadas pela internet e com possibilidade de interação direta entre os alunos e o professor foi bastante inferior na região Norte do país (INEP, 2021).</w:t>
      </w:r>
    </w:p>
    <w:p w14:paraId="035B57E5" w14:textId="4D821CD5" w:rsidR="00D87F1D" w:rsidRDefault="00D87F1D" w:rsidP="00F15136">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2.2 Determinantes da </w:t>
      </w:r>
      <w:r w:rsidR="00CD6ACD">
        <w:rPr>
          <w:rFonts w:ascii="Times New Roman" w:eastAsia="Times New Roman" w:hAnsi="Times New Roman" w:cs="Times New Roman"/>
          <w:b/>
          <w:sz w:val="24"/>
          <w:szCs w:val="24"/>
        </w:rPr>
        <w:t>q</w:t>
      </w:r>
      <w:r>
        <w:rPr>
          <w:rFonts w:ascii="Times New Roman" w:eastAsia="Times New Roman" w:hAnsi="Times New Roman" w:cs="Times New Roman"/>
          <w:b/>
          <w:sz w:val="24"/>
          <w:szCs w:val="24"/>
        </w:rPr>
        <w:t xml:space="preserve">ualidade da </w:t>
      </w:r>
      <w:r w:rsidR="00CD6ACD">
        <w:rPr>
          <w:rFonts w:ascii="Times New Roman" w:eastAsia="Times New Roman" w:hAnsi="Times New Roman" w:cs="Times New Roman"/>
          <w:b/>
          <w:sz w:val="24"/>
          <w:szCs w:val="24"/>
        </w:rPr>
        <w:t>e</w:t>
      </w:r>
      <w:r>
        <w:rPr>
          <w:rFonts w:ascii="Times New Roman" w:eastAsia="Times New Roman" w:hAnsi="Times New Roman" w:cs="Times New Roman"/>
          <w:b/>
          <w:sz w:val="24"/>
          <w:szCs w:val="24"/>
        </w:rPr>
        <w:t xml:space="preserve">ducação </w:t>
      </w:r>
    </w:p>
    <w:p w14:paraId="1398FC63" w14:textId="65DC67B4" w:rsidR="00791F80" w:rsidRPr="00791F80" w:rsidRDefault="00860B6C" w:rsidP="003C46AE">
      <w:pPr>
        <w:spacing w:line="36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Os </w:t>
      </w:r>
      <w:r w:rsidR="00791F80" w:rsidRPr="00791F80">
        <w:rPr>
          <w:rFonts w:ascii="Times New Roman" w:eastAsia="Times New Roman" w:hAnsi="Times New Roman" w:cs="Times New Roman"/>
          <w:bCs/>
          <w:sz w:val="24"/>
          <w:szCs w:val="24"/>
        </w:rPr>
        <w:t>líderes</w:t>
      </w:r>
      <w:r>
        <w:rPr>
          <w:rFonts w:ascii="Times New Roman" w:eastAsia="Times New Roman" w:hAnsi="Times New Roman" w:cs="Times New Roman"/>
          <w:bCs/>
          <w:sz w:val="24"/>
          <w:szCs w:val="24"/>
        </w:rPr>
        <w:t xml:space="preserve"> mundiais</w:t>
      </w:r>
      <w:r w:rsidR="00791F80" w:rsidRPr="00791F80">
        <w:rPr>
          <w:rFonts w:ascii="Times New Roman" w:eastAsia="Times New Roman" w:hAnsi="Times New Roman" w:cs="Times New Roman"/>
          <w:bCs/>
          <w:sz w:val="24"/>
          <w:szCs w:val="24"/>
        </w:rPr>
        <w:t xml:space="preserve"> </w:t>
      </w:r>
      <w:r w:rsidR="00DD2B22">
        <w:rPr>
          <w:rFonts w:ascii="Times New Roman" w:eastAsia="Times New Roman" w:hAnsi="Times New Roman" w:cs="Times New Roman"/>
          <w:bCs/>
          <w:sz w:val="24"/>
          <w:szCs w:val="24"/>
        </w:rPr>
        <w:t xml:space="preserve">se comprometem com a </w:t>
      </w:r>
      <w:r w:rsidR="00791F80" w:rsidRPr="00791F80">
        <w:rPr>
          <w:rFonts w:ascii="Times New Roman" w:eastAsia="Times New Roman" w:hAnsi="Times New Roman" w:cs="Times New Roman"/>
          <w:bCs/>
          <w:sz w:val="24"/>
          <w:szCs w:val="24"/>
        </w:rPr>
        <w:t>educação de qualidade</w:t>
      </w:r>
      <w:r>
        <w:rPr>
          <w:rFonts w:ascii="Times New Roman" w:eastAsia="Times New Roman" w:hAnsi="Times New Roman" w:cs="Times New Roman"/>
          <w:bCs/>
          <w:sz w:val="24"/>
          <w:szCs w:val="24"/>
        </w:rPr>
        <w:t xml:space="preserve"> e, g</w:t>
      </w:r>
      <w:r w:rsidR="00791F80" w:rsidRPr="00791F80">
        <w:rPr>
          <w:rFonts w:ascii="Times New Roman" w:eastAsia="Times New Roman" w:hAnsi="Times New Roman" w:cs="Times New Roman"/>
          <w:bCs/>
          <w:sz w:val="24"/>
          <w:szCs w:val="24"/>
        </w:rPr>
        <w:t xml:space="preserve">randes quantias </w:t>
      </w:r>
      <w:r w:rsidR="00DE29D0">
        <w:rPr>
          <w:rFonts w:ascii="Times New Roman" w:eastAsia="Times New Roman" w:hAnsi="Times New Roman" w:cs="Times New Roman"/>
          <w:bCs/>
          <w:sz w:val="24"/>
          <w:szCs w:val="24"/>
        </w:rPr>
        <w:t xml:space="preserve">financeiras </w:t>
      </w:r>
      <w:r w:rsidR="00DD2B22">
        <w:rPr>
          <w:rFonts w:ascii="Times New Roman" w:eastAsia="Times New Roman" w:hAnsi="Times New Roman" w:cs="Times New Roman"/>
          <w:bCs/>
          <w:sz w:val="24"/>
          <w:szCs w:val="24"/>
        </w:rPr>
        <w:t xml:space="preserve">são despendidas </w:t>
      </w:r>
      <w:r w:rsidR="00791F80" w:rsidRPr="00791F80">
        <w:rPr>
          <w:rFonts w:ascii="Times New Roman" w:eastAsia="Times New Roman" w:hAnsi="Times New Roman" w:cs="Times New Roman"/>
          <w:bCs/>
          <w:sz w:val="24"/>
          <w:szCs w:val="24"/>
        </w:rPr>
        <w:t>para assegurar</w:t>
      </w:r>
      <w:r w:rsidR="00DD2B22">
        <w:rPr>
          <w:rFonts w:ascii="Times New Roman" w:eastAsia="Times New Roman" w:hAnsi="Times New Roman" w:cs="Times New Roman"/>
          <w:bCs/>
          <w:sz w:val="24"/>
          <w:szCs w:val="24"/>
        </w:rPr>
        <w:t xml:space="preserve"> o melhor investimento</w:t>
      </w:r>
      <w:r w:rsidR="00791F80" w:rsidRPr="00791F80">
        <w:rPr>
          <w:rFonts w:ascii="Times New Roman" w:eastAsia="Times New Roman" w:hAnsi="Times New Roman" w:cs="Times New Roman"/>
          <w:bCs/>
          <w:sz w:val="24"/>
          <w:szCs w:val="24"/>
        </w:rPr>
        <w:t xml:space="preserve">, contudo, </w:t>
      </w:r>
      <w:r w:rsidR="00DD2B22">
        <w:rPr>
          <w:rFonts w:ascii="Times New Roman" w:eastAsia="Times New Roman" w:hAnsi="Times New Roman" w:cs="Times New Roman"/>
          <w:bCs/>
          <w:sz w:val="24"/>
          <w:szCs w:val="24"/>
        </w:rPr>
        <w:t xml:space="preserve">muitas vezes </w:t>
      </w:r>
      <w:r w:rsidR="00DE29D0">
        <w:rPr>
          <w:rFonts w:ascii="Times New Roman" w:eastAsia="Times New Roman" w:hAnsi="Times New Roman" w:cs="Times New Roman"/>
          <w:bCs/>
          <w:sz w:val="24"/>
          <w:szCs w:val="24"/>
        </w:rPr>
        <w:t>esses gastos não são eficientes</w:t>
      </w:r>
      <w:r w:rsidR="00791F80" w:rsidRPr="00791F80">
        <w:rPr>
          <w:rFonts w:ascii="Times New Roman" w:eastAsia="Times New Roman" w:hAnsi="Times New Roman" w:cs="Times New Roman"/>
          <w:bCs/>
          <w:sz w:val="24"/>
          <w:szCs w:val="24"/>
        </w:rPr>
        <w:t xml:space="preserve">. </w:t>
      </w:r>
      <w:r w:rsidR="00DE29D0">
        <w:rPr>
          <w:rFonts w:ascii="Times New Roman" w:eastAsia="Times New Roman" w:hAnsi="Times New Roman" w:cs="Times New Roman"/>
          <w:bCs/>
          <w:sz w:val="24"/>
          <w:szCs w:val="24"/>
        </w:rPr>
        <w:t xml:space="preserve">Assim, é importante avaliar a situação da educação brasileira de forma contínua, a fim de orientar os gestores públicos na tomada de decisões mais assertivas. </w:t>
      </w:r>
      <w:r w:rsidR="00791F80" w:rsidRPr="00791F80">
        <w:rPr>
          <w:rFonts w:ascii="Times New Roman" w:eastAsia="Times New Roman" w:hAnsi="Times New Roman" w:cs="Times New Roman"/>
          <w:bCs/>
          <w:sz w:val="24"/>
          <w:szCs w:val="24"/>
        </w:rPr>
        <w:t>Dessa forma, faz-se necessário explorar mais afundo os conceitos de educação de qualidade</w:t>
      </w:r>
      <w:r w:rsidR="00A202D7">
        <w:rPr>
          <w:rFonts w:ascii="Times New Roman" w:eastAsia="Times New Roman" w:hAnsi="Times New Roman" w:cs="Times New Roman"/>
          <w:bCs/>
          <w:sz w:val="24"/>
          <w:szCs w:val="24"/>
        </w:rPr>
        <w:t>.</w:t>
      </w:r>
    </w:p>
    <w:p w14:paraId="6247AF1A" w14:textId="77777777" w:rsidR="00D87F1D" w:rsidRDefault="00D87F1D" w:rsidP="003C46AE">
      <w:pPr>
        <w:spacing w:before="240" w:after="24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Muitos são os fatores que podem estar associados à qualidade do ensino no brasil. Um dos fatores que pode interferir nos resultados escolares são os associados às características socioeconômicas das famílias, que são importantes no processo educativo e civilizatório, cujos principais fatores de risco incluem negligência e desestruturação familiar.</w:t>
      </w:r>
    </w:p>
    <w:p w14:paraId="15305E9D" w14:textId="6DB5C5FD" w:rsidR="00D87F1D" w:rsidRDefault="00D87F1D" w:rsidP="003C46AE">
      <w:pPr>
        <w:spacing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Oliveira, Souza e Annegues (2018)</w:t>
      </w:r>
      <w:r w:rsidR="00B00F3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mostram que variáveis ligadas ao </w:t>
      </w:r>
      <w:r>
        <w:rPr>
          <w:rFonts w:ascii="Times New Roman" w:eastAsia="Times New Roman" w:hAnsi="Times New Roman" w:cs="Times New Roman"/>
          <w:i/>
          <w:sz w:val="24"/>
          <w:szCs w:val="24"/>
        </w:rPr>
        <w:t>background</w:t>
      </w:r>
      <w:r>
        <w:rPr>
          <w:rFonts w:ascii="Times New Roman" w:eastAsia="Times New Roman" w:hAnsi="Times New Roman" w:cs="Times New Roman"/>
          <w:sz w:val="24"/>
          <w:szCs w:val="24"/>
        </w:rPr>
        <w:t xml:space="preserve"> familiar exercem grande influência no desempenho escolar dos alunos</w:t>
      </w:r>
      <w:r w:rsidR="00B00F3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Além disso, os autores mostram que os alunos com histórico de reprovações e filhos de pais que nunca frequentaram a escola tendem a apresentar um pior desempenho. Outra evidência importante diz respeito a uma correlação negativa encontrada entre violência e desempenho escolar.</w:t>
      </w:r>
      <w:r w:rsidR="00B00F3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Nesse sentido, Santo, Mariano e Costa (2019), mostram pais mais escolarizados possuem, em média, melhores condições socioeconômicas, potencializando-se, assim, o efeito indireto da educação dos mesmos sobre o rendimento escolar dos filhos via condição socioeconômica da família.</w:t>
      </w:r>
    </w:p>
    <w:p w14:paraId="7BAA7BC8" w14:textId="6E743519" w:rsidR="00D87F1D" w:rsidRDefault="00D87F1D" w:rsidP="003C46AE">
      <w:pPr>
        <w:spacing w:before="240" w:after="24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Outro fator que pode estar relacionado a proficiência escolar é o ambiente em que a escola e o aluno estão inseridos, visto que o meio tem forte influência </w:t>
      </w:r>
      <w:r w:rsidR="002A3A06">
        <w:rPr>
          <w:rFonts w:ascii="Times New Roman" w:eastAsia="Times New Roman" w:hAnsi="Times New Roman" w:cs="Times New Roman"/>
          <w:sz w:val="24"/>
          <w:szCs w:val="24"/>
        </w:rPr>
        <w:t>no comportamento</w:t>
      </w:r>
      <w:r>
        <w:rPr>
          <w:rFonts w:ascii="Times New Roman" w:eastAsia="Times New Roman" w:hAnsi="Times New Roman" w:cs="Times New Roman"/>
          <w:sz w:val="24"/>
          <w:szCs w:val="24"/>
        </w:rPr>
        <w:t xml:space="preserve"> dos indivíduos. A literatura nacional e internacional mostra que regiões com maiores índices de </w:t>
      </w:r>
      <w:r>
        <w:rPr>
          <w:rFonts w:ascii="Times New Roman" w:eastAsia="Times New Roman" w:hAnsi="Times New Roman" w:cs="Times New Roman"/>
          <w:sz w:val="24"/>
          <w:szCs w:val="24"/>
        </w:rPr>
        <w:lastRenderedPageBreak/>
        <w:t xml:space="preserve">violência urbana afetam o espaço escolar, </w:t>
      </w:r>
      <w:r w:rsidR="00E42C41">
        <w:rPr>
          <w:rFonts w:ascii="Times New Roman" w:eastAsia="Times New Roman" w:hAnsi="Times New Roman" w:cs="Times New Roman"/>
          <w:sz w:val="24"/>
          <w:szCs w:val="24"/>
        </w:rPr>
        <w:t>prejudicando</w:t>
      </w:r>
      <w:r>
        <w:rPr>
          <w:rFonts w:ascii="Times New Roman" w:eastAsia="Times New Roman" w:hAnsi="Times New Roman" w:cs="Times New Roman"/>
          <w:sz w:val="24"/>
          <w:szCs w:val="24"/>
        </w:rPr>
        <w:t xml:space="preserve"> os resultados escolares e, consequentemente, o desenvolvimento das regiões (</w:t>
      </w:r>
      <w:r w:rsidR="009C7C78">
        <w:rPr>
          <w:rFonts w:ascii="Times New Roman" w:eastAsia="Times New Roman" w:hAnsi="Times New Roman" w:cs="Times New Roman"/>
          <w:sz w:val="24"/>
          <w:szCs w:val="24"/>
        </w:rPr>
        <w:t>BARTZ, QUARTIERI E QUEIROZ, 2019; HENRICH ET AL. 2004; MACEDO E BOMFIM, 2009; ASSINK ET AL., 2015</w:t>
      </w:r>
      <w:r>
        <w:rPr>
          <w:rFonts w:ascii="Times New Roman" w:eastAsia="Times New Roman" w:hAnsi="Times New Roman" w:cs="Times New Roman"/>
          <w:sz w:val="24"/>
          <w:szCs w:val="24"/>
        </w:rPr>
        <w:t>).</w:t>
      </w:r>
    </w:p>
    <w:p w14:paraId="14B69B15" w14:textId="3D353A27" w:rsidR="00D87F1D" w:rsidRDefault="00D87F1D" w:rsidP="003C46AE">
      <w:pPr>
        <w:spacing w:before="240" w:after="24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Bartz, Quartieri e Freitas (2017) mostram que as escolas localizadas em regiões com maior violência urbana são as que mais registram eventos violentos dentro da unidade escolar. Monteiro e Arruda (2011) apontam que escolas em um ambiente violento tendem a ter uma maior evasão escolar e, nesse sentido, Teixeira e Kassouf (2015) observaram que a violência nas escolas paulistas diminuiu em 0,54% a probabilidade de os alunos do terceiro ano do ensino médio apresentarem um desempenho satisfatório em matemática. </w:t>
      </w:r>
    </w:p>
    <w:p w14:paraId="3C683FB5" w14:textId="2F2BD1D5" w:rsidR="00D87F1D" w:rsidRDefault="00D87F1D" w:rsidP="003C46AE">
      <w:pPr>
        <w:spacing w:before="240" w:after="24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Annegues, Júnior e figueiredo (2020) ao investigarem a relação entre o tamanho da classe e o desempenho acadêmico de estudantes do ensino superior, mostraram que, em média, há uma relação negativa entre as notas dos alunos e o tamanho da turma. Os alunos com melhor desempenho aumentam suas notas em 0,0132 pontos com um aluno adicional, enquanto que os alunos com pior desempenho apresentam redução de 0,0149 pontos. Em suma, turmas maiores geram efeitos negativos sobre o desempenho dos alunos que já vem apresentando baixa performance, porém tendem a melhorar o desempenho dos estudantes com melhor rendimento.</w:t>
      </w:r>
    </w:p>
    <w:p w14:paraId="3F1DAD7F" w14:textId="22481886" w:rsidR="00791F80" w:rsidRDefault="00791F80" w:rsidP="003C46AE">
      <w:pPr>
        <w:spacing w:before="240" w:after="24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Datta (2017) afirma que </w:t>
      </w:r>
      <w:r w:rsidRPr="00791F80">
        <w:rPr>
          <w:rFonts w:ascii="Times New Roman" w:eastAsia="Times New Roman" w:hAnsi="Times New Roman" w:cs="Times New Roman"/>
          <w:sz w:val="24"/>
          <w:szCs w:val="24"/>
        </w:rPr>
        <w:t>alguns indicadores podem ser utilizados para mensura</w:t>
      </w:r>
      <w:r>
        <w:rPr>
          <w:rFonts w:ascii="Times New Roman" w:eastAsia="Times New Roman" w:hAnsi="Times New Roman" w:cs="Times New Roman"/>
          <w:sz w:val="24"/>
          <w:szCs w:val="24"/>
        </w:rPr>
        <w:t>r a qualidade da educação</w:t>
      </w:r>
      <w:r w:rsidRPr="00791F80">
        <w:rPr>
          <w:rFonts w:ascii="Times New Roman" w:eastAsia="Times New Roman" w:hAnsi="Times New Roman" w:cs="Times New Roman"/>
          <w:sz w:val="24"/>
          <w:szCs w:val="24"/>
        </w:rPr>
        <w:t>. A grade curricular deve se manter atualizada e ser relevante para o ambiente contemporâneo. Os métodos de ensino e de avaliação devem estar adaptados para as condições onde a instituição de ensino está inserida. A proporção identificada de professores-alunos varia conforme a disciplina, mas deve-se atentar para não sobrecarregar os docentes. Faz-se necessário também uma infraestrutura adequada em questão de espaço e e laboratórios para práticas. Além disso, o acesso a sistemas de informação para estudo e pesquisa no ambiente escolar é de extrema relevância. Além disso, recomenda-se uma certa autonomia da instituição para adaptar alguns aspectos a sua realidade local</w:t>
      </w:r>
      <w:r>
        <w:rPr>
          <w:rFonts w:ascii="Times New Roman" w:eastAsia="Times New Roman" w:hAnsi="Times New Roman" w:cs="Times New Roman"/>
          <w:sz w:val="24"/>
          <w:szCs w:val="24"/>
        </w:rPr>
        <w:t>.</w:t>
      </w:r>
    </w:p>
    <w:p w14:paraId="5B93412A" w14:textId="68F7FE65" w:rsidR="00E42C41" w:rsidRDefault="00E42C41" w:rsidP="003C46AE">
      <w:pPr>
        <w:spacing w:before="240" w:after="24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Becker (2017), ao analisar o efeito das interações sociais dos jovens nas escolas, pública e privada, sobre as decisões de consumo de drogas ilícitas, álcool ou cigarro, mostra que o efeito destas interações nas decisões de consumo de substâncias ilícitas é maior em comparação à influência das características da família. A autora argumenta que transferir um jovem de escola pública, onde 80% dos alunos fumam, para uma escola onde esta taxa é de 50%, compensaria completamente o maior risco de o jovem fumar associado ao fato de um dos pais fumar. </w:t>
      </w:r>
    </w:p>
    <w:p w14:paraId="322A7655" w14:textId="4BBCA1EB" w:rsidR="003A2A6E" w:rsidRDefault="00D87F1D" w:rsidP="003C46AE">
      <w:pPr>
        <w:spacing w:before="240" w:after="24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Soma-se a isso o estudo de Roposo e Gonçalves (2018), que ao investigarem se existe alguma relação entre a saúde dos amigos e o desempenho acadêmico, encontram que os alunos apresentam melhor desempenho acadêmico quando se relacionam com amigos de sala de aula que possuem um bom estado geral de saúde. Um aumento de 1 desvio padrão (d.p.) na proporção de amigos saudáveis, leva a um acréscimo de aproximadamente 9% do d.p. da nota média de matemática do aluno ao final do ano letivo.</w:t>
      </w:r>
      <w:r w:rsidR="00E42C41">
        <w:rPr>
          <w:rFonts w:ascii="Times New Roman" w:eastAsia="Times New Roman" w:hAnsi="Times New Roman" w:cs="Times New Roman"/>
          <w:sz w:val="24"/>
          <w:szCs w:val="24"/>
        </w:rPr>
        <w:t xml:space="preserve"> Na próxima seção, será discutida a metodologia empregada na pesquisa.</w:t>
      </w:r>
    </w:p>
    <w:p w14:paraId="444FA6C1" w14:textId="76422836" w:rsidR="002C38DC" w:rsidRPr="00D87F1D" w:rsidRDefault="002C38DC" w:rsidP="003C46AE">
      <w:pPr>
        <w:spacing w:line="360" w:lineRule="auto"/>
        <w:jc w:val="both"/>
        <w:rPr>
          <w:rFonts w:ascii="Times New Roman" w:hAnsi="Times New Roman" w:cs="Times New Roman"/>
          <w:b/>
          <w:bCs/>
          <w:sz w:val="24"/>
          <w:szCs w:val="24"/>
        </w:rPr>
      </w:pPr>
      <w:r w:rsidRPr="00D87F1D">
        <w:rPr>
          <w:rFonts w:ascii="Times New Roman" w:hAnsi="Times New Roman" w:cs="Times New Roman"/>
          <w:b/>
          <w:bCs/>
          <w:sz w:val="24"/>
          <w:szCs w:val="24"/>
        </w:rPr>
        <w:t>3</w:t>
      </w:r>
      <w:r w:rsidR="00E55E85" w:rsidRPr="00D87F1D">
        <w:rPr>
          <w:rFonts w:ascii="Times New Roman" w:hAnsi="Times New Roman" w:cs="Times New Roman"/>
          <w:b/>
          <w:bCs/>
          <w:sz w:val="24"/>
          <w:szCs w:val="24"/>
        </w:rPr>
        <w:t xml:space="preserve"> METODOLOGIA</w:t>
      </w:r>
    </w:p>
    <w:p w14:paraId="13F982ED" w14:textId="25D2BECF" w:rsidR="00D87F1D" w:rsidRPr="00D87F1D" w:rsidRDefault="00135E35" w:rsidP="003C46AE">
      <w:pPr>
        <w:spacing w:line="360" w:lineRule="auto"/>
        <w:ind w:firstLine="567"/>
        <w:jc w:val="both"/>
        <w:rPr>
          <w:rFonts w:ascii="Times New Roman" w:eastAsia="Times New Roman" w:hAnsi="Times New Roman" w:cs="Times New Roman"/>
          <w:sz w:val="24"/>
          <w:szCs w:val="24"/>
        </w:rPr>
      </w:pPr>
      <w:r w:rsidRPr="00135E35">
        <w:rPr>
          <w:rFonts w:ascii="Times New Roman" w:eastAsia="Times New Roman" w:hAnsi="Times New Roman" w:cs="Times New Roman"/>
          <w:sz w:val="24"/>
          <w:szCs w:val="24"/>
        </w:rPr>
        <w:t>Nesta seção apresenta-se os instrumentos metodológicos que serão utilizados para o</w:t>
      </w:r>
      <w:r w:rsidRPr="00135E35">
        <w:rPr>
          <w:rFonts w:ascii="Times New Roman" w:eastAsia="Times New Roman" w:hAnsi="Times New Roman" w:cs="Times New Roman"/>
          <w:sz w:val="24"/>
          <w:szCs w:val="24"/>
        </w:rPr>
        <w:br/>
        <w:t>desenvolvimento d</w:t>
      </w:r>
      <w:r>
        <w:rPr>
          <w:rFonts w:ascii="Times New Roman" w:eastAsia="Times New Roman" w:hAnsi="Times New Roman" w:cs="Times New Roman"/>
          <w:sz w:val="24"/>
          <w:szCs w:val="24"/>
        </w:rPr>
        <w:t xml:space="preserve">o </w:t>
      </w:r>
      <w:r w:rsidRPr="00135E35">
        <w:rPr>
          <w:rFonts w:ascii="Times New Roman" w:eastAsia="Times New Roman" w:hAnsi="Times New Roman" w:cs="Times New Roman"/>
          <w:sz w:val="24"/>
          <w:szCs w:val="24"/>
        </w:rPr>
        <w:t xml:space="preserve">presente </w:t>
      </w:r>
      <w:r>
        <w:rPr>
          <w:rFonts w:ascii="Times New Roman" w:eastAsia="Times New Roman" w:hAnsi="Times New Roman" w:cs="Times New Roman"/>
          <w:sz w:val="24"/>
          <w:szCs w:val="24"/>
        </w:rPr>
        <w:t>estudo</w:t>
      </w:r>
      <w:r w:rsidRPr="00135E35">
        <w:rPr>
          <w:rFonts w:ascii="Times New Roman" w:eastAsia="Times New Roman" w:hAnsi="Times New Roman" w:cs="Times New Roman"/>
          <w:sz w:val="24"/>
          <w:szCs w:val="24"/>
        </w:rPr>
        <w:t>.</w:t>
      </w:r>
      <w:r w:rsidR="00D87F1D">
        <w:rPr>
          <w:rFonts w:ascii="Times New Roman" w:eastAsia="Times New Roman" w:hAnsi="Times New Roman" w:cs="Times New Roman"/>
          <w:sz w:val="24"/>
          <w:szCs w:val="24"/>
        </w:rPr>
        <w:t xml:space="preserve"> </w:t>
      </w:r>
      <w:r w:rsidR="002A3A06">
        <w:rPr>
          <w:rFonts w:ascii="Times New Roman" w:eastAsia="Times New Roman" w:hAnsi="Times New Roman" w:cs="Times New Roman"/>
          <w:sz w:val="24"/>
          <w:szCs w:val="24"/>
        </w:rPr>
        <w:t>Inicialmente aborda</w:t>
      </w:r>
      <w:r>
        <w:rPr>
          <w:rFonts w:ascii="Times New Roman" w:eastAsia="Times New Roman" w:hAnsi="Times New Roman" w:cs="Times New Roman"/>
          <w:sz w:val="24"/>
          <w:szCs w:val="24"/>
        </w:rPr>
        <w:t xml:space="preserve">-se </w:t>
      </w:r>
      <w:r w:rsidR="00D87F1D">
        <w:rPr>
          <w:rFonts w:ascii="Times New Roman" w:eastAsia="Times New Roman" w:hAnsi="Times New Roman" w:cs="Times New Roman"/>
          <w:sz w:val="24"/>
          <w:szCs w:val="24"/>
        </w:rPr>
        <w:t>o cálculo do Ideb e, num segundo momento, a análise exploratória de dados espaciais.</w:t>
      </w:r>
    </w:p>
    <w:p w14:paraId="112D6F73" w14:textId="760971A5" w:rsidR="00D87F1D" w:rsidRDefault="00945BD8" w:rsidP="003C46AE">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3.1 O Cálculo do Índice d</w:t>
      </w:r>
      <w:r w:rsidR="002A13F8">
        <w:rPr>
          <w:rFonts w:ascii="Times New Roman" w:hAnsi="Times New Roman" w:cs="Times New Roman"/>
          <w:b/>
          <w:bCs/>
          <w:sz w:val="24"/>
          <w:szCs w:val="24"/>
        </w:rPr>
        <w:t>e Desenvolvimento da</w:t>
      </w:r>
      <w:r>
        <w:rPr>
          <w:rFonts w:ascii="Times New Roman" w:hAnsi="Times New Roman" w:cs="Times New Roman"/>
          <w:b/>
          <w:bCs/>
          <w:sz w:val="24"/>
          <w:szCs w:val="24"/>
        </w:rPr>
        <w:t xml:space="preserve"> Educação Básica </w:t>
      </w:r>
    </w:p>
    <w:p w14:paraId="61BB206B" w14:textId="77777777" w:rsidR="00D87F1D" w:rsidRDefault="00D87F1D" w:rsidP="003C46AE">
      <w:pPr>
        <w:spacing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Ideb é um indicador de qualidade educacional que combina informações de desempenho em exames padronizados, obtido pelos estudantes ao final das etapas de ensino, com informações sobre rendimento escolar (aprovação). O indicador é resultado do produto entre o desempenho e o rendimento escolar. Assim, a forma geral do Ideb é dada pela equação (1), conforme segue: </w:t>
      </w:r>
    </w:p>
    <w:p w14:paraId="62D794D7" w14:textId="1B6AAE56" w:rsidR="00D87F1D" w:rsidRDefault="00D87F1D" w:rsidP="003C46A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m:oMath>
        <m:sSub>
          <m:sSubPr>
            <m:ctrlPr>
              <w:rPr>
                <w:rFonts w:ascii="Times New Roman" w:eastAsia="Times New Roman" w:hAnsi="Times New Roman" w:cs="Times New Roman"/>
                <w:sz w:val="24"/>
                <w:szCs w:val="24"/>
              </w:rPr>
            </m:ctrlPr>
          </m:sSubPr>
          <m:e>
            <m:r>
              <w:rPr>
                <w:rFonts w:ascii="Times New Roman" w:eastAsia="Times New Roman" w:hAnsi="Times New Roman" w:cs="Times New Roman"/>
                <w:sz w:val="24"/>
                <w:szCs w:val="24"/>
              </w:rPr>
              <m:t>IDEB</m:t>
            </m:r>
          </m:e>
          <m:sub>
            <m:r>
              <w:rPr>
                <w:rFonts w:ascii="Times New Roman" w:eastAsia="Times New Roman" w:hAnsi="Times New Roman" w:cs="Times New Roman"/>
                <w:sz w:val="24"/>
                <w:szCs w:val="24"/>
              </w:rPr>
              <m:t>ji</m:t>
            </m:r>
          </m:sub>
        </m:sSub>
        <m:r>
          <w:rPr>
            <w:rFonts w:ascii="Times New Roman" w:eastAsia="Times New Roman" w:hAnsi="Times New Roman" w:cs="Times New Roman"/>
            <w:sz w:val="24"/>
            <w:szCs w:val="24"/>
          </w:rPr>
          <m:t>=</m:t>
        </m:r>
        <m:sSub>
          <m:sSubPr>
            <m:ctrlPr>
              <w:rPr>
                <w:rFonts w:ascii="Times New Roman" w:eastAsia="Times New Roman" w:hAnsi="Times New Roman" w:cs="Times New Roman"/>
                <w:sz w:val="24"/>
                <w:szCs w:val="24"/>
              </w:rPr>
            </m:ctrlPr>
          </m:sSubPr>
          <m:e>
            <m:r>
              <w:rPr>
                <w:rFonts w:ascii="Times New Roman" w:eastAsia="Times New Roman" w:hAnsi="Times New Roman" w:cs="Times New Roman"/>
                <w:sz w:val="24"/>
                <w:szCs w:val="24"/>
              </w:rPr>
              <m:t>N</m:t>
            </m:r>
          </m:e>
          <m:sub>
            <m:r>
              <w:rPr>
                <w:rFonts w:ascii="Times New Roman" w:eastAsia="Times New Roman" w:hAnsi="Times New Roman" w:cs="Times New Roman"/>
                <w:sz w:val="24"/>
                <w:szCs w:val="24"/>
              </w:rPr>
              <m:t>ji</m:t>
            </m:r>
          </m:sub>
        </m:sSub>
        <m:sSub>
          <m:sSubPr>
            <m:ctrlPr>
              <w:rPr>
                <w:rFonts w:ascii="Times New Roman" w:eastAsia="Times New Roman" w:hAnsi="Times New Roman" w:cs="Times New Roman"/>
                <w:sz w:val="24"/>
                <w:szCs w:val="24"/>
              </w:rPr>
            </m:ctrlPr>
          </m:sSubPr>
          <m:e>
            <m:r>
              <w:rPr>
                <w:rFonts w:ascii="Times New Roman" w:eastAsia="Times New Roman" w:hAnsi="Times New Roman" w:cs="Times New Roman"/>
                <w:sz w:val="24"/>
                <w:szCs w:val="24"/>
              </w:rPr>
              <m:t>P</m:t>
            </m:r>
          </m:e>
          <m:sub>
            <m:r>
              <w:rPr>
                <w:rFonts w:ascii="Times New Roman" w:eastAsia="Times New Roman" w:hAnsi="Times New Roman" w:cs="Times New Roman"/>
                <w:sz w:val="24"/>
                <w:szCs w:val="24"/>
              </w:rPr>
              <m:t>ji</m:t>
            </m:r>
          </m:sub>
        </m:sSub>
      </m:oMath>
      <w:r>
        <w:rPr>
          <w:rFonts w:ascii="Times New Roman" w:eastAsia="Times New Roman" w:hAnsi="Times New Roman" w:cs="Times New Roman"/>
          <w:sz w:val="24"/>
          <w:szCs w:val="24"/>
        </w:rPr>
        <w:t xml:space="preserve"> </w:t>
      </w:r>
      <w:r>
        <w:rPr>
          <w:rFonts w:ascii="Cambria Math" w:eastAsia="Cambria Math" w:hAnsi="Cambria Math" w:cs="Cambria Math"/>
          <w:sz w:val="28"/>
          <w:szCs w:val="28"/>
        </w:rPr>
        <w:t xml:space="preserve">        </w:t>
      </w:r>
      <w:r>
        <w:rPr>
          <w:rFonts w:ascii="Times New Roman" w:eastAsia="Times New Roman" w:hAnsi="Times New Roman" w:cs="Times New Roman"/>
          <w:sz w:val="24"/>
          <w:szCs w:val="24"/>
        </w:rPr>
        <w:t xml:space="preserve">  0 </w:t>
      </w:r>
      <m:oMath>
        <m:r>
          <w:rPr>
            <w:rFonts w:ascii="Cambria Math" w:hAnsi="Cambria Math"/>
          </w:rPr>
          <m:t>≤</m:t>
        </m:r>
      </m:oMath>
      <w:r>
        <w:rPr>
          <w:rFonts w:ascii="Times New Roman" w:eastAsia="Times New Roman" w:hAnsi="Times New Roman" w:cs="Times New Roman"/>
          <w:sz w:val="24"/>
          <w:szCs w:val="24"/>
        </w:rPr>
        <w:t xml:space="preserve">  </w:t>
      </w:r>
      <m:oMath>
        <m:sSub>
          <m:sSubPr>
            <m:ctrlPr>
              <w:rPr>
                <w:rFonts w:ascii="Times New Roman" w:eastAsia="Times New Roman" w:hAnsi="Times New Roman" w:cs="Times New Roman"/>
                <w:sz w:val="24"/>
                <w:szCs w:val="24"/>
              </w:rPr>
            </m:ctrlPr>
          </m:sSubPr>
          <m:e>
            <m:r>
              <w:rPr>
                <w:rFonts w:ascii="Times New Roman" w:eastAsia="Times New Roman" w:hAnsi="Times New Roman" w:cs="Times New Roman"/>
                <w:sz w:val="24"/>
                <w:szCs w:val="24"/>
              </w:rPr>
              <m:t>N</m:t>
            </m:r>
          </m:e>
          <m:sub>
            <m:r>
              <w:rPr>
                <w:rFonts w:ascii="Times New Roman" w:eastAsia="Times New Roman" w:hAnsi="Times New Roman" w:cs="Times New Roman"/>
                <w:sz w:val="24"/>
                <w:szCs w:val="24"/>
              </w:rPr>
              <m:t>ji</m:t>
            </m:r>
          </m:sub>
        </m:sSub>
      </m:oMath>
      <w:r>
        <w:rPr>
          <w:rFonts w:ascii="Times New Roman" w:eastAsia="Times New Roman" w:hAnsi="Times New Roman" w:cs="Times New Roman"/>
          <w:sz w:val="24"/>
          <w:szCs w:val="24"/>
        </w:rPr>
        <w:t xml:space="preserve">  </w:t>
      </w:r>
      <m:oMath>
        <m:r>
          <w:rPr>
            <w:rFonts w:ascii="Cambria Math" w:hAnsi="Cambria Math"/>
          </w:rPr>
          <m:t>≥</m:t>
        </m:r>
        <m:r>
          <w:rPr>
            <w:rFonts w:ascii="Times New Roman" w:eastAsia="Times New Roman" w:hAnsi="Times New Roman" w:cs="Times New Roman"/>
            <w:sz w:val="24"/>
            <w:szCs w:val="24"/>
          </w:rPr>
          <m:t xml:space="preserve">10; </m:t>
        </m:r>
      </m:oMath>
      <w:r>
        <w:rPr>
          <w:rFonts w:ascii="Times New Roman" w:eastAsia="Times New Roman" w:hAnsi="Times New Roman" w:cs="Times New Roman"/>
          <w:sz w:val="24"/>
          <w:szCs w:val="24"/>
        </w:rPr>
        <w:t xml:space="preserve">   </w:t>
      </w:r>
      <m:oMath>
        <m:sSub>
          <m:sSubPr>
            <m:ctrlPr>
              <w:rPr>
                <w:rFonts w:ascii="Times New Roman" w:eastAsia="Times New Roman" w:hAnsi="Times New Roman" w:cs="Times New Roman"/>
                <w:sz w:val="24"/>
                <w:szCs w:val="24"/>
              </w:rPr>
            </m:ctrlPr>
          </m:sSubPr>
          <m:e>
            <m:r>
              <w:rPr>
                <w:rFonts w:ascii="Times New Roman" w:eastAsia="Times New Roman" w:hAnsi="Times New Roman" w:cs="Times New Roman"/>
                <w:sz w:val="24"/>
                <w:szCs w:val="24"/>
              </w:rPr>
              <m:t>0≤P</m:t>
            </m:r>
          </m:e>
          <m:sub>
            <m:r>
              <w:rPr>
                <w:rFonts w:ascii="Times New Roman" w:eastAsia="Times New Roman" w:hAnsi="Times New Roman" w:cs="Times New Roman"/>
                <w:sz w:val="24"/>
                <w:szCs w:val="24"/>
              </w:rPr>
              <m:t>ji</m:t>
            </m:r>
          </m:sub>
        </m:sSub>
      </m:oMath>
      <w:r>
        <w:rPr>
          <w:rFonts w:ascii="Times New Roman" w:eastAsia="Times New Roman" w:hAnsi="Times New Roman" w:cs="Times New Roman"/>
          <w:sz w:val="24"/>
          <w:szCs w:val="24"/>
        </w:rPr>
        <w:t xml:space="preserve"> </w:t>
      </w:r>
      <m:oMath>
        <m:r>
          <w:rPr>
            <w:rFonts w:ascii="Cambria Math" w:hAnsi="Cambria Math"/>
          </w:rPr>
          <m:t>≥</m:t>
        </m:r>
        <m:r>
          <w:rPr>
            <w:rFonts w:ascii="Times New Roman" w:eastAsia="Times New Roman" w:hAnsi="Times New Roman" w:cs="Times New Roman"/>
            <w:sz w:val="24"/>
            <w:szCs w:val="24"/>
          </w:rPr>
          <m:t xml:space="preserve">1; </m:t>
        </m:r>
      </m:oMath>
      <w:r>
        <w:rPr>
          <w:rFonts w:ascii="Times New Roman" w:eastAsia="Times New Roman" w:hAnsi="Times New Roman" w:cs="Times New Roman"/>
          <w:sz w:val="24"/>
          <w:szCs w:val="24"/>
        </w:rPr>
        <w:t xml:space="preserve"> </w:t>
      </w:r>
      <m:oMath>
        <m:r>
          <w:rPr>
            <w:rFonts w:ascii="Times New Roman" w:eastAsia="Times New Roman" w:hAnsi="Times New Roman" w:cs="Times New Roman"/>
            <w:sz w:val="24"/>
            <w:szCs w:val="24"/>
          </w:rPr>
          <m:t>0</m:t>
        </m:r>
        <m:sSub>
          <m:sSubPr>
            <m:ctrlPr>
              <w:rPr>
                <w:rFonts w:ascii="Times New Roman" w:eastAsia="Times New Roman" w:hAnsi="Times New Roman" w:cs="Times New Roman"/>
                <w:sz w:val="24"/>
                <w:szCs w:val="24"/>
              </w:rPr>
            </m:ctrlPr>
          </m:sSubPr>
          <m:e>
            <m:r>
              <w:rPr>
                <w:rFonts w:ascii="Times New Roman" w:eastAsia="Times New Roman" w:hAnsi="Times New Roman" w:cs="Times New Roman"/>
                <w:sz w:val="24"/>
                <w:szCs w:val="24"/>
              </w:rPr>
              <m:t>≤IDEB</m:t>
            </m:r>
          </m:e>
          <m:sub>
            <m:r>
              <w:rPr>
                <w:rFonts w:ascii="Times New Roman" w:eastAsia="Times New Roman" w:hAnsi="Times New Roman" w:cs="Times New Roman"/>
                <w:sz w:val="24"/>
                <w:szCs w:val="24"/>
              </w:rPr>
              <m:t>j</m:t>
            </m:r>
          </m:sub>
        </m:sSub>
      </m:oMath>
      <w:r>
        <w:rPr>
          <w:rFonts w:ascii="Times New Roman" w:eastAsia="Times New Roman" w:hAnsi="Times New Roman" w:cs="Times New Roman"/>
          <w:sz w:val="24"/>
          <w:szCs w:val="24"/>
        </w:rPr>
        <w:t xml:space="preserve"> </w:t>
      </w:r>
      <m:oMath>
        <m:r>
          <w:rPr>
            <w:rFonts w:ascii="Cambria Math" w:hAnsi="Cambria Math"/>
          </w:rPr>
          <m:t>≥</m:t>
        </m:r>
        <m:r>
          <w:rPr>
            <w:rFonts w:ascii="Times New Roman" w:eastAsia="Times New Roman" w:hAnsi="Times New Roman" w:cs="Times New Roman"/>
            <w:sz w:val="24"/>
            <w:szCs w:val="24"/>
          </w:rPr>
          <m:t>10</m:t>
        </m:r>
      </m:oMath>
      <w:r>
        <w:rPr>
          <w:rFonts w:ascii="Cambria Math" w:eastAsia="Cambria Math" w:hAnsi="Cambria Math" w:cs="Cambria Math"/>
          <w:sz w:val="28"/>
          <w:szCs w:val="28"/>
        </w:rPr>
        <w:t xml:space="preserve">             </w:t>
      </w:r>
      <w:r w:rsidR="007C18FF">
        <w:rPr>
          <w:rFonts w:ascii="Cambria Math" w:eastAsia="Cambria Math" w:hAnsi="Cambria Math" w:cs="Cambria Math"/>
          <w:sz w:val="28"/>
          <w:szCs w:val="28"/>
        </w:rPr>
        <w:t xml:space="preserve">                          </w:t>
      </w:r>
      <w:r>
        <w:rPr>
          <w:rFonts w:ascii="Cambria Math" w:eastAsia="Cambria Math" w:hAnsi="Cambria Math" w:cs="Cambria Math"/>
          <w:sz w:val="28"/>
          <w:szCs w:val="28"/>
        </w:rPr>
        <w:t xml:space="preserve">   </w:t>
      </w:r>
      <w:r>
        <w:rPr>
          <w:rFonts w:ascii="Times New Roman" w:eastAsia="Times New Roman" w:hAnsi="Times New Roman" w:cs="Times New Roman"/>
          <w:sz w:val="24"/>
          <w:szCs w:val="24"/>
        </w:rPr>
        <w:t>(1)</w:t>
      </w:r>
    </w:p>
    <w:p w14:paraId="4148AFAE" w14:textId="0220BF5F" w:rsidR="00D87F1D" w:rsidRDefault="00D87F1D" w:rsidP="003C46AE">
      <w:pPr>
        <w:spacing w:line="360" w:lineRule="auto"/>
        <w:ind w:firstLine="567"/>
        <w:jc w:val="both"/>
        <w:rPr>
          <w:rFonts w:ascii="Times New Roman" w:hAnsi="Times New Roman" w:cs="Times New Roman"/>
          <w:b/>
          <w:bCs/>
          <w:sz w:val="24"/>
          <w:szCs w:val="24"/>
        </w:rPr>
      </w:pPr>
      <w:r>
        <w:rPr>
          <w:rFonts w:ascii="Times New Roman" w:eastAsia="Times New Roman" w:hAnsi="Times New Roman" w:cs="Times New Roman"/>
          <w:sz w:val="24"/>
          <w:szCs w:val="24"/>
        </w:rPr>
        <w:t xml:space="preserve">Em que i é o ano do exame (Saeb ou Prova Brasil) e do censo escolar; </w:t>
      </w:r>
      <m:oMath>
        <m:sSub>
          <m:sSubPr>
            <m:ctrlPr>
              <w:rPr>
                <w:rFonts w:ascii="Times New Roman" w:eastAsia="Times New Roman" w:hAnsi="Times New Roman" w:cs="Times New Roman"/>
                <w:sz w:val="24"/>
                <w:szCs w:val="24"/>
              </w:rPr>
            </m:ctrlPr>
          </m:sSubPr>
          <m:e>
            <m:r>
              <w:rPr>
                <w:rFonts w:ascii="Times New Roman" w:eastAsia="Times New Roman" w:hAnsi="Times New Roman" w:cs="Times New Roman"/>
                <w:sz w:val="24"/>
                <w:szCs w:val="24"/>
              </w:rPr>
              <m:t>N</m:t>
            </m:r>
          </m:e>
          <m:sub>
            <m:r>
              <w:rPr>
                <w:rFonts w:ascii="Times New Roman" w:eastAsia="Times New Roman" w:hAnsi="Times New Roman" w:cs="Times New Roman"/>
                <w:sz w:val="24"/>
                <w:szCs w:val="24"/>
              </w:rPr>
              <m:t>ji</m:t>
            </m:r>
          </m:sub>
        </m:sSub>
      </m:oMath>
      <w:r>
        <w:rPr>
          <w:rFonts w:ascii="Times New Roman" w:eastAsia="Times New Roman" w:hAnsi="Times New Roman" w:cs="Times New Roman"/>
          <w:sz w:val="24"/>
          <w:szCs w:val="24"/>
        </w:rPr>
        <w:t xml:space="preserve">corresponde à média da proficiência em Língua Portuguesa e Matemática, padronizada para um indicador entre 0 e 10, dos alunos da unidade j, obtida em determinada edição do exame realizado ao final da etapa de ensino; </w:t>
      </w:r>
      <m:oMath>
        <m:sSub>
          <m:sSubPr>
            <m:ctrlPr>
              <w:rPr>
                <w:rFonts w:ascii="Times New Roman" w:eastAsia="Times New Roman" w:hAnsi="Times New Roman" w:cs="Times New Roman"/>
                <w:sz w:val="24"/>
                <w:szCs w:val="24"/>
              </w:rPr>
            </m:ctrlPr>
          </m:sSubPr>
          <m:e>
            <m:r>
              <w:rPr>
                <w:rFonts w:ascii="Times New Roman" w:eastAsia="Times New Roman" w:hAnsi="Times New Roman" w:cs="Times New Roman"/>
                <w:sz w:val="24"/>
                <w:szCs w:val="24"/>
              </w:rPr>
              <m:t>P</m:t>
            </m:r>
          </m:e>
          <m:sub>
            <m:r>
              <w:rPr>
                <w:rFonts w:ascii="Times New Roman" w:eastAsia="Times New Roman" w:hAnsi="Times New Roman" w:cs="Times New Roman"/>
                <w:sz w:val="24"/>
                <w:szCs w:val="24"/>
              </w:rPr>
              <m:t>ji</m:t>
            </m:r>
          </m:sub>
        </m:sSub>
      </m:oMath>
      <w:r>
        <w:rPr>
          <w:rFonts w:ascii="Times New Roman" w:eastAsia="Times New Roman" w:hAnsi="Times New Roman" w:cs="Times New Roman"/>
          <w:sz w:val="24"/>
          <w:szCs w:val="24"/>
        </w:rPr>
        <w:t xml:space="preserve"> é um indicador de rendimento baseado na taxa de aprovação da etapa de ensino dos alunos da unidade j. Na próxima seção, será demonstrado a análise exploratória de dados espaciais.</w:t>
      </w:r>
    </w:p>
    <w:p w14:paraId="3AE1E4B1" w14:textId="17195117" w:rsidR="00945BD8" w:rsidRDefault="00945BD8" w:rsidP="003C46AE">
      <w:pPr>
        <w:spacing w:line="360" w:lineRule="auto"/>
        <w:jc w:val="both"/>
        <w:rPr>
          <w:rFonts w:ascii="Times New Roman" w:hAnsi="Times New Roman"/>
          <w:b/>
          <w:sz w:val="24"/>
          <w:szCs w:val="24"/>
        </w:rPr>
      </w:pPr>
      <w:r w:rsidRPr="00945BD8">
        <w:rPr>
          <w:rFonts w:ascii="Times New Roman" w:hAnsi="Times New Roman" w:cs="Times New Roman"/>
          <w:b/>
          <w:bCs/>
          <w:sz w:val="24"/>
          <w:szCs w:val="24"/>
        </w:rPr>
        <w:t xml:space="preserve">3.2 </w:t>
      </w:r>
      <w:r w:rsidRPr="006A448F">
        <w:rPr>
          <w:rFonts w:ascii="Times New Roman" w:hAnsi="Times New Roman"/>
          <w:b/>
          <w:sz w:val="24"/>
          <w:szCs w:val="24"/>
        </w:rPr>
        <w:t>Análise Exploratória de Dados</w:t>
      </w:r>
      <w:r>
        <w:rPr>
          <w:rFonts w:ascii="Times New Roman" w:hAnsi="Times New Roman"/>
          <w:b/>
          <w:sz w:val="24"/>
          <w:szCs w:val="24"/>
        </w:rPr>
        <w:t xml:space="preserve"> Espaciais</w:t>
      </w:r>
      <w:r w:rsidRPr="006A448F">
        <w:rPr>
          <w:rFonts w:ascii="Times New Roman" w:hAnsi="Times New Roman"/>
          <w:b/>
          <w:sz w:val="24"/>
          <w:szCs w:val="24"/>
        </w:rPr>
        <w:t xml:space="preserve"> (AEDE)</w:t>
      </w:r>
    </w:p>
    <w:p w14:paraId="33485635" w14:textId="1CF5DDF5" w:rsidR="00104A87" w:rsidRPr="00104A87" w:rsidRDefault="00104A87" w:rsidP="003C46AE">
      <w:pPr>
        <w:spacing w:line="360" w:lineRule="auto"/>
        <w:ind w:firstLine="567"/>
        <w:jc w:val="both"/>
        <w:rPr>
          <w:rFonts w:ascii="Times New Roman" w:eastAsia="Times New Roman" w:hAnsi="Times New Roman" w:cs="Times New Roman"/>
          <w:sz w:val="24"/>
          <w:szCs w:val="24"/>
        </w:rPr>
      </w:pPr>
      <w:r w:rsidRPr="00104A87">
        <w:rPr>
          <w:rFonts w:ascii="Times New Roman" w:eastAsia="Times New Roman" w:hAnsi="Times New Roman" w:cs="Times New Roman"/>
          <w:sz w:val="24"/>
          <w:szCs w:val="24"/>
        </w:rPr>
        <w:t>A econometria espacial objetiva especificar, testar e prever modelos teóricos influenciados pelos efeitos espaciais. Dessa forma, utiliza-se a metodologia de análise exploratória de dados espaciais (AEDE) a fim de visualizar distribuições espaciais, outliers espaciais e clusters espaciais (ALMEIDA, 2012).</w:t>
      </w:r>
    </w:p>
    <w:p w14:paraId="7920051E" w14:textId="53834A38" w:rsidR="00104A87" w:rsidRPr="00104A87" w:rsidRDefault="00104A87" w:rsidP="003C46AE">
      <w:pPr>
        <w:spacing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B</w:t>
      </w:r>
      <w:r w:rsidRPr="00104A87">
        <w:rPr>
          <w:rFonts w:ascii="Times New Roman" w:eastAsia="Times New Roman" w:hAnsi="Times New Roman" w:cs="Times New Roman"/>
          <w:sz w:val="24"/>
          <w:szCs w:val="24"/>
        </w:rPr>
        <w:t xml:space="preserve">usca-se observar se </w:t>
      </w:r>
      <w:r>
        <w:rPr>
          <w:rFonts w:ascii="Times New Roman" w:eastAsia="Times New Roman" w:hAnsi="Times New Roman" w:cs="Times New Roman"/>
          <w:sz w:val="24"/>
          <w:szCs w:val="24"/>
        </w:rPr>
        <w:t xml:space="preserve">o Ideb </w:t>
      </w:r>
      <w:r w:rsidRPr="00104A87">
        <w:rPr>
          <w:rFonts w:ascii="Times New Roman" w:eastAsia="Times New Roman" w:hAnsi="Times New Roman" w:cs="Times New Roman"/>
          <w:sz w:val="24"/>
          <w:szCs w:val="24"/>
        </w:rPr>
        <w:t xml:space="preserve">segue distribuição espacial aleatória, ou se segue um padrão espacial sistemático. Não havendo aleatoriedade, há autocorrelação espacial (AE). O coeficiente da autocorrelação espacial é construído usando uma matriz de ponderação espacial e a razão da covariância pela variância total dos dados. Para a análise espacial será utilizado o software Geoda. Parte-se então para o teste da autocorrelação espacial, e para este, utiliza-se o I de Moran global univariado e o I de Moran Local </w:t>
      </w:r>
      <w:r>
        <w:rPr>
          <w:rFonts w:ascii="Times New Roman" w:eastAsia="Times New Roman" w:hAnsi="Times New Roman" w:cs="Times New Roman"/>
          <w:sz w:val="24"/>
          <w:szCs w:val="24"/>
        </w:rPr>
        <w:t>Univariado</w:t>
      </w:r>
      <w:r w:rsidRPr="00104A87">
        <w:rPr>
          <w:rFonts w:ascii="Times New Roman" w:eastAsia="Times New Roman" w:hAnsi="Times New Roman" w:cs="Times New Roman"/>
          <w:sz w:val="24"/>
          <w:szCs w:val="24"/>
        </w:rPr>
        <w:t xml:space="preserve"> (ALMEIDA, 2012).</w:t>
      </w:r>
    </w:p>
    <w:p w14:paraId="39266BF5" w14:textId="77777777" w:rsidR="00104A87" w:rsidRPr="00DE12DC" w:rsidRDefault="00104A87" w:rsidP="003C46AE">
      <w:pPr>
        <w:spacing w:line="360" w:lineRule="auto"/>
        <w:ind w:firstLine="567"/>
        <w:jc w:val="both"/>
        <w:rPr>
          <w:rFonts w:ascii="Times New Roman" w:hAnsi="Times New Roman" w:cs="Times New Roman"/>
          <w:sz w:val="24"/>
          <w:szCs w:val="24"/>
        </w:rPr>
      </w:pPr>
      <w:r w:rsidRPr="00DE12DC">
        <w:rPr>
          <w:rFonts w:ascii="Times New Roman" w:hAnsi="Times New Roman" w:cs="Times New Roman"/>
          <w:sz w:val="24"/>
          <w:szCs w:val="24"/>
        </w:rPr>
        <w:t xml:space="preserve">Algebricamente, a estatística I de Moral Global, segundo Almeida (2012) é dada por: </w:t>
      </w:r>
    </w:p>
    <w:p w14:paraId="12086A00" w14:textId="267F7028" w:rsidR="00104A87" w:rsidRPr="00DE12DC" w:rsidRDefault="00104A87" w:rsidP="003C46AE">
      <w:pPr>
        <w:spacing w:line="360" w:lineRule="auto"/>
        <w:ind w:firstLine="567"/>
        <w:jc w:val="both"/>
        <w:rPr>
          <w:rFonts w:ascii="Times New Roman" w:hAnsi="Times New Roman" w:cs="Times New Roman"/>
          <w:sz w:val="24"/>
          <w:szCs w:val="24"/>
        </w:rPr>
      </w:pPr>
      <w:r w:rsidRPr="00DE12D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E12DC">
        <w:rPr>
          <w:rFonts w:ascii="Times New Roman" w:hAnsi="Times New Roman" w:cs="Times New Roman"/>
          <w:sz w:val="24"/>
          <w:szCs w:val="24"/>
        </w:rPr>
        <w:t xml:space="preserve">         </w:t>
      </w:r>
      <m:oMath>
        <m:r>
          <w:rPr>
            <w:rFonts w:ascii="Cambria Math" w:hAnsi="Cambria Math" w:cs="Times New Roman"/>
            <w:sz w:val="28"/>
            <w:szCs w:val="28"/>
          </w:rPr>
          <m:t>I</m:t>
        </m:r>
        <m:r>
          <m:rPr>
            <m:sty m:val="p"/>
          </m:rPr>
          <w:rPr>
            <w:rFonts w:ascii="Cambria Math" w:hAnsi="Cambria Math" w:cs="Times New Roman"/>
            <w:sz w:val="28"/>
            <w:szCs w:val="28"/>
          </w:rPr>
          <m:t>=</m:t>
        </m:r>
        <m:d>
          <m:dPr>
            <m:ctrlPr>
              <w:rPr>
                <w:rFonts w:ascii="Cambria Math" w:hAnsi="Cambria Math" w:cs="Times New Roman"/>
                <w:sz w:val="28"/>
                <w:szCs w:val="28"/>
              </w:rPr>
            </m:ctrlPr>
          </m:dPr>
          <m:e>
            <m:f>
              <m:fPr>
                <m:ctrlPr>
                  <w:rPr>
                    <w:rFonts w:ascii="Cambria Math" w:hAnsi="Cambria Math" w:cs="Times New Roman"/>
                    <w:sz w:val="28"/>
                    <w:szCs w:val="28"/>
                  </w:rPr>
                </m:ctrlPr>
              </m:fPr>
              <m:num>
                <m:r>
                  <w:rPr>
                    <w:rFonts w:ascii="Cambria Math" w:hAnsi="Cambria Math" w:cs="Times New Roman"/>
                    <w:sz w:val="28"/>
                    <w:szCs w:val="28"/>
                  </w:rPr>
                  <m:t>n</m:t>
                </m:r>
              </m:num>
              <m:den>
                <m:nary>
                  <m:naryPr>
                    <m:chr m:val="∑"/>
                    <m:limLoc m:val="undOvr"/>
                    <m:ctrlPr>
                      <w:rPr>
                        <w:rFonts w:ascii="Cambria Math" w:hAnsi="Cambria Math" w:cs="Times New Roman"/>
                        <w:i/>
                        <w:sz w:val="28"/>
                        <w:szCs w:val="28"/>
                      </w:rPr>
                    </m:ctrlPr>
                  </m:naryPr>
                  <m:sub>
                    <m:r>
                      <w:rPr>
                        <w:rFonts w:ascii="Cambria Math" w:hAnsi="Cambria Math" w:cs="Times New Roman"/>
                        <w:sz w:val="28"/>
                        <w:szCs w:val="28"/>
                      </w:rPr>
                      <m:t>i=1</m:t>
                    </m:r>
                  </m:sub>
                  <m:sup>
                    <m:r>
                      <w:rPr>
                        <w:rFonts w:ascii="Cambria Math" w:hAnsi="Cambria Math" w:cs="Times New Roman"/>
                        <w:sz w:val="28"/>
                        <w:szCs w:val="28"/>
                      </w:rPr>
                      <m:t>n</m:t>
                    </m:r>
                  </m:sup>
                  <m:e>
                    <m:sSub>
                      <m:sSubPr>
                        <m:ctrlPr>
                          <w:rPr>
                            <w:rFonts w:ascii="Cambria Math" w:hAnsi="Cambria Math" w:cs="Times New Roman"/>
                            <w:i/>
                            <w:sz w:val="28"/>
                            <w:szCs w:val="28"/>
                          </w:rPr>
                        </m:ctrlPr>
                      </m:sSubPr>
                      <m:e>
                        <m:r>
                          <w:rPr>
                            <w:rFonts w:ascii="Cambria Math" w:hAnsi="Cambria Math" w:cs="Times New Roman"/>
                            <w:sz w:val="28"/>
                            <w:szCs w:val="28"/>
                          </w:rPr>
                          <m:t>W</m:t>
                        </m:r>
                      </m:e>
                      <m:sub>
                        <m:r>
                          <w:rPr>
                            <w:rFonts w:ascii="Cambria Math" w:hAnsi="Cambria Math" w:cs="Times New Roman"/>
                            <w:sz w:val="28"/>
                            <w:szCs w:val="28"/>
                          </w:rPr>
                          <m:t>ij</m:t>
                        </m:r>
                      </m:sub>
                    </m:sSub>
                  </m:e>
                </m:nary>
              </m:den>
            </m:f>
          </m:e>
        </m:d>
        <m:f>
          <m:fPr>
            <m:ctrlPr>
              <w:rPr>
                <w:rFonts w:ascii="Cambria Math" w:hAnsi="Cambria Math" w:cs="Times New Roman"/>
                <w:i/>
                <w:sz w:val="28"/>
                <w:szCs w:val="28"/>
              </w:rPr>
            </m:ctrlPr>
          </m:fPr>
          <m:num>
            <m:r>
              <w:rPr>
                <w:rFonts w:ascii="Cambria Math" w:hAnsi="Cambria Math" w:cs="Times New Roman"/>
                <w:sz w:val="28"/>
                <w:szCs w:val="28"/>
              </w:rPr>
              <m:t>z'Wz</m:t>
            </m:r>
          </m:num>
          <m:den>
            <m:r>
              <w:rPr>
                <w:rFonts w:ascii="Cambria Math" w:hAnsi="Cambria Math" w:cs="Times New Roman"/>
                <w:sz w:val="28"/>
                <w:szCs w:val="28"/>
              </w:rPr>
              <m:t>z'z</m:t>
            </m:r>
          </m:den>
        </m:f>
      </m:oMath>
      <w:r w:rsidRPr="00DE12D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E12DC">
        <w:rPr>
          <w:rFonts w:ascii="Times New Roman" w:hAnsi="Times New Roman" w:cs="Times New Roman"/>
          <w:sz w:val="24"/>
          <w:szCs w:val="24"/>
        </w:rPr>
        <w:t xml:space="preserve">              (</w:t>
      </w:r>
      <w:r>
        <w:rPr>
          <w:rFonts w:ascii="Times New Roman" w:hAnsi="Times New Roman" w:cs="Times New Roman"/>
          <w:sz w:val="24"/>
          <w:szCs w:val="24"/>
        </w:rPr>
        <w:t>1</w:t>
      </w:r>
      <w:r w:rsidRPr="00DE12DC">
        <w:rPr>
          <w:rFonts w:ascii="Times New Roman" w:hAnsi="Times New Roman" w:cs="Times New Roman"/>
          <w:sz w:val="24"/>
          <w:szCs w:val="24"/>
        </w:rPr>
        <w:t>)</w:t>
      </w:r>
    </w:p>
    <w:p w14:paraId="67D74D3A" w14:textId="3690D55A" w:rsidR="00104A87" w:rsidRDefault="00104A87" w:rsidP="003C46AE">
      <w:pPr>
        <w:spacing w:after="0" w:line="360" w:lineRule="auto"/>
        <w:ind w:firstLine="567"/>
        <w:jc w:val="both"/>
        <w:rPr>
          <w:rFonts w:ascii="Times New Roman" w:eastAsiaTheme="minorEastAsia" w:hAnsi="Times New Roman" w:cs="Times New Roman"/>
          <w:sz w:val="24"/>
          <w:szCs w:val="24"/>
        </w:rPr>
      </w:pPr>
      <w:r w:rsidRPr="00DE2917">
        <w:rPr>
          <w:rFonts w:ascii="Times New Roman" w:hAnsi="Times New Roman" w:cs="Times New Roman"/>
          <w:sz w:val="24"/>
          <w:szCs w:val="24"/>
        </w:rPr>
        <w:t xml:space="preserve">Em que </w:t>
      </w:r>
      <w:r w:rsidRPr="00DE2917">
        <w:rPr>
          <w:rFonts w:ascii="Cambria Math" w:hAnsi="Cambria Math" w:cs="Cambria Math"/>
          <w:sz w:val="24"/>
          <w:szCs w:val="24"/>
        </w:rPr>
        <w:t>𝐼</w:t>
      </w:r>
      <w:r w:rsidRPr="00DE2917">
        <w:rPr>
          <w:rFonts w:ascii="Times New Roman" w:hAnsi="Times New Roman" w:cs="Times New Roman"/>
          <w:sz w:val="24"/>
          <w:szCs w:val="24"/>
        </w:rPr>
        <w:t xml:space="preserve"> é o índice de Moran global, </w:t>
      </w:r>
      <w:r w:rsidRPr="00DE2917">
        <w:rPr>
          <w:rFonts w:ascii="Cambria Math" w:hAnsi="Cambria Math" w:cs="Cambria Math"/>
          <w:sz w:val="24"/>
          <w:szCs w:val="24"/>
        </w:rPr>
        <w:t>𝑛</w:t>
      </w:r>
      <w:r w:rsidRPr="00DE2917">
        <w:rPr>
          <w:rFonts w:ascii="Times New Roman" w:hAnsi="Times New Roman" w:cs="Times New Roman"/>
          <w:sz w:val="24"/>
          <w:szCs w:val="24"/>
        </w:rPr>
        <w:t xml:space="preserve"> é o número de unidades espaciais; </w:t>
      </w:r>
      <m:oMath>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n</m:t>
            </m:r>
          </m:sup>
          <m:e>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ij</m:t>
                </m:r>
              </m:sub>
            </m:sSub>
          </m:e>
        </m:nary>
      </m:oMath>
      <w:r w:rsidRPr="00DE2917">
        <w:rPr>
          <w:rFonts w:ascii="Times New Roman" w:eastAsiaTheme="minorEastAsia" w:hAnsi="Times New Roman" w:cs="Times New Roman"/>
          <w:sz w:val="24"/>
          <w:szCs w:val="24"/>
        </w:rPr>
        <w:t xml:space="preserve"> é somatório dos elementos da matriz de contiguidade</w:t>
      </w:r>
      <w:r>
        <w:rPr>
          <w:rFonts w:ascii="Times New Roman" w:eastAsiaTheme="minorEastAsia" w:hAnsi="Times New Roman" w:cs="Times New Roman"/>
          <w:sz w:val="24"/>
          <w:szCs w:val="24"/>
        </w:rPr>
        <w:t xml:space="preserve">, </w:t>
      </w:r>
      <w:r w:rsidRPr="00DE2917">
        <w:rPr>
          <w:rFonts w:ascii="Cambria Math" w:eastAsiaTheme="minorEastAsia" w:hAnsi="Cambria Math" w:cs="Cambria Math"/>
          <w:sz w:val="24"/>
          <w:szCs w:val="24"/>
        </w:rPr>
        <w:t>𝑧</w:t>
      </w:r>
      <w:r w:rsidRPr="00DE2917">
        <w:rPr>
          <w:rFonts w:ascii="Times New Roman" w:eastAsiaTheme="minorEastAsia" w:hAnsi="Times New Roman" w:cs="Times New Roman"/>
          <w:sz w:val="24"/>
          <w:szCs w:val="24"/>
        </w:rPr>
        <w:t xml:space="preserve"> é o vetor de </w:t>
      </w:r>
      <w:r w:rsidRPr="00DE2917">
        <w:rPr>
          <w:rFonts w:ascii="Cambria Math" w:eastAsiaTheme="minorEastAsia" w:hAnsi="Cambria Math" w:cs="Cambria Math"/>
          <w:sz w:val="24"/>
          <w:szCs w:val="24"/>
        </w:rPr>
        <w:t>𝑛</w:t>
      </w:r>
      <w:r w:rsidRPr="00DE2917">
        <w:rPr>
          <w:rFonts w:ascii="Times New Roman" w:eastAsiaTheme="minorEastAsia" w:hAnsi="Times New Roman" w:cs="Times New Roman"/>
          <w:sz w:val="24"/>
          <w:szCs w:val="24"/>
        </w:rPr>
        <w:t xml:space="preserve"> observações</w:t>
      </w:r>
      <w:r>
        <w:rPr>
          <w:rFonts w:ascii="Times New Roman" w:eastAsiaTheme="minorEastAsia" w:hAnsi="Times New Roman" w:cs="Times New Roman"/>
          <w:sz w:val="24"/>
          <w:szCs w:val="24"/>
        </w:rPr>
        <w:t xml:space="preserve"> e </w:t>
      </w:r>
      <w:r w:rsidRPr="00DE2917">
        <w:rPr>
          <w:rFonts w:ascii="Cambria Math" w:eastAsiaTheme="minorEastAsia" w:hAnsi="Cambria Math" w:cs="Cambria Math"/>
          <w:sz w:val="24"/>
          <w:szCs w:val="24"/>
        </w:rPr>
        <w:t>𝑊</w:t>
      </w:r>
      <w:r w:rsidRPr="00DE2917">
        <w:rPr>
          <w:rFonts w:ascii="Times New Roman" w:eastAsiaTheme="minorEastAsia" w:hAnsi="Times New Roman" w:cs="Times New Roman"/>
          <w:sz w:val="24"/>
          <w:szCs w:val="24"/>
        </w:rPr>
        <w:t xml:space="preserve"> é a própria matriz de contiguidade.</w:t>
      </w:r>
    </w:p>
    <w:p w14:paraId="6D55A6F9" w14:textId="4A3539DC" w:rsidR="00863487" w:rsidRPr="00863487" w:rsidRDefault="00863487" w:rsidP="003C46AE">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U</w:t>
      </w:r>
      <w:r w:rsidRPr="00DE12DC">
        <w:rPr>
          <w:rFonts w:ascii="Times New Roman" w:hAnsi="Times New Roman" w:cs="Times New Roman"/>
          <w:sz w:val="24"/>
          <w:szCs w:val="24"/>
        </w:rPr>
        <w:t>ma indicação de autocorrelação positiva revela que há uma similaridade entre os valores do atributo estudado e de sua localização espacial, ou seja, altos valores de uma variável tendem a estar circundados por altos valores desta variável em regiões vizinhas. Por outro lado, uma indicação de autocorrelação negativa revela uma dissimilaridade, ou seja, um alto valor da variável de interesse de uma região tende a estar rodeado por baixos valores desta mesma variável nas regiões vizinhas.</w:t>
      </w:r>
    </w:p>
    <w:p w14:paraId="18AB4C47" w14:textId="77777777" w:rsidR="00104A87" w:rsidRPr="00DE12DC" w:rsidRDefault="00104A87" w:rsidP="003C46AE">
      <w:pPr>
        <w:spacing w:line="360" w:lineRule="auto"/>
        <w:ind w:firstLine="567"/>
        <w:jc w:val="both"/>
        <w:rPr>
          <w:rFonts w:ascii="Times New Roman" w:hAnsi="Times New Roman" w:cs="Times New Roman"/>
          <w:sz w:val="24"/>
          <w:szCs w:val="24"/>
        </w:rPr>
      </w:pPr>
      <w:r w:rsidRPr="00DE12DC">
        <w:rPr>
          <w:rFonts w:ascii="Times New Roman" w:hAnsi="Times New Roman" w:cs="Times New Roman"/>
          <w:sz w:val="24"/>
          <w:szCs w:val="24"/>
        </w:rPr>
        <w:t xml:space="preserve">Já o I de Moran Local para uma variável y padronizada, observada na região i, zj, pode ser expresso como: </w:t>
      </w:r>
    </w:p>
    <w:p w14:paraId="7E9A0852" w14:textId="058144B7" w:rsidR="00104A87" w:rsidRPr="00DE12DC" w:rsidRDefault="00104A87" w:rsidP="003C46AE">
      <w:pPr>
        <w:spacing w:line="360" w:lineRule="auto"/>
        <w:ind w:firstLine="567"/>
        <w:jc w:val="both"/>
        <w:rPr>
          <w:rFonts w:ascii="Times New Roman" w:hAnsi="Times New Roman" w:cs="Times New Roman"/>
          <w:sz w:val="24"/>
          <w:szCs w:val="24"/>
        </w:rPr>
      </w:pPr>
      <w:r w:rsidRPr="00DE12D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E12DC">
        <w:rPr>
          <w:rFonts w:ascii="Times New Roman" w:hAnsi="Times New Roman" w:cs="Times New Roman"/>
          <w:sz w:val="24"/>
          <w:szCs w:val="24"/>
        </w:rPr>
        <w:t xml:space="preserve"> </w:t>
      </w:r>
      <m:oMath>
        <m:sSub>
          <m:sSubPr>
            <m:ctrlPr>
              <w:rPr>
                <w:rFonts w:ascii="Cambria Math" w:hAnsi="Cambria Math" w:cs="Times New Roman"/>
                <w:sz w:val="28"/>
                <w:szCs w:val="28"/>
              </w:rPr>
            </m:ctrlPr>
          </m:sSubPr>
          <m:e>
            <m:r>
              <w:rPr>
                <w:rFonts w:ascii="Cambria Math" w:hAnsi="Cambria Math" w:cs="Times New Roman"/>
                <w:sz w:val="28"/>
                <w:szCs w:val="28"/>
              </w:rPr>
              <m:t>I</m:t>
            </m:r>
          </m:e>
          <m:sub>
            <m:r>
              <w:rPr>
                <w:rFonts w:ascii="Cambria Math" w:hAnsi="Cambria Math" w:cs="Times New Roman"/>
                <w:sz w:val="28"/>
                <w:szCs w:val="28"/>
              </w:rPr>
              <m:t>i</m:t>
            </m:r>
          </m:sub>
        </m:sSub>
        <m:sSub>
          <m:sSubPr>
            <m:ctrlPr>
              <w:rPr>
                <w:rFonts w:ascii="Cambria Math" w:hAnsi="Cambria Math" w:cs="Times New Roman"/>
                <w:sz w:val="28"/>
                <w:szCs w:val="28"/>
              </w:rPr>
            </m:ctrlPr>
          </m:sSubPr>
          <m:e>
            <m:r>
              <m:rPr>
                <m:sty m:val="p"/>
              </m:rPr>
              <w:rPr>
                <w:rFonts w:ascii="Cambria Math" w:hAnsi="Cambria Math" w:cs="Times New Roman"/>
                <w:sz w:val="28"/>
                <w:szCs w:val="28"/>
              </w:rPr>
              <m:t>=</m:t>
            </m:r>
            <m:r>
              <w:rPr>
                <w:rFonts w:ascii="Cambria Math" w:hAnsi="Cambria Math" w:cs="Times New Roman"/>
                <w:sz w:val="28"/>
                <w:szCs w:val="28"/>
              </w:rPr>
              <m:t>z</m:t>
            </m:r>
          </m:e>
          <m:sub>
            <m:r>
              <w:rPr>
                <w:rFonts w:ascii="Cambria Math" w:hAnsi="Cambria Math" w:cs="Times New Roman"/>
                <w:sz w:val="28"/>
                <w:szCs w:val="28"/>
              </w:rPr>
              <m:t>i</m:t>
            </m:r>
          </m:sub>
        </m:sSub>
        <m:nary>
          <m:naryPr>
            <m:chr m:val="∑"/>
            <m:limLoc m:val="subSup"/>
            <m:ctrlPr>
              <w:rPr>
                <w:rFonts w:ascii="Cambria Math" w:hAnsi="Cambria Math" w:cs="Times New Roman"/>
                <w:sz w:val="28"/>
                <w:szCs w:val="28"/>
              </w:rPr>
            </m:ctrlPr>
          </m:naryPr>
          <m:sub>
            <m:r>
              <w:rPr>
                <w:rFonts w:ascii="Cambria Math" w:hAnsi="Cambria Math" w:cs="Times New Roman"/>
                <w:sz w:val="28"/>
                <w:szCs w:val="28"/>
              </w:rPr>
              <m:t>j</m:t>
            </m:r>
            <m:r>
              <m:rPr>
                <m:sty m:val="p"/>
              </m:rPr>
              <w:rPr>
                <w:rFonts w:ascii="Cambria Math" w:hAnsi="Cambria Math" w:cs="Times New Roman"/>
                <w:sz w:val="28"/>
                <w:szCs w:val="28"/>
              </w:rPr>
              <m:t>=1</m:t>
            </m:r>
          </m:sub>
          <m:sup>
            <m:r>
              <w:rPr>
                <w:rFonts w:ascii="Cambria Math" w:hAnsi="Cambria Math" w:cs="Times New Roman"/>
                <w:sz w:val="28"/>
                <w:szCs w:val="28"/>
              </w:rPr>
              <m:t>j</m:t>
            </m:r>
          </m:sup>
          <m:e>
            <m:sSub>
              <m:sSubPr>
                <m:ctrlPr>
                  <w:rPr>
                    <w:rFonts w:ascii="Cambria Math" w:hAnsi="Cambria Math" w:cs="Times New Roman"/>
                    <w:sz w:val="28"/>
                    <w:szCs w:val="28"/>
                  </w:rPr>
                </m:ctrlPr>
              </m:sSubPr>
              <m:e>
                <m:r>
                  <w:rPr>
                    <w:rFonts w:ascii="Cambria Math" w:hAnsi="Cambria Math" w:cs="Times New Roman"/>
                    <w:sz w:val="28"/>
                    <w:szCs w:val="28"/>
                  </w:rPr>
                  <m:t>w</m:t>
                </m:r>
              </m:e>
              <m:sub>
                <m:r>
                  <w:rPr>
                    <w:rFonts w:ascii="Cambria Math" w:hAnsi="Cambria Math" w:cs="Times New Roman"/>
                    <w:sz w:val="28"/>
                    <w:szCs w:val="28"/>
                  </w:rPr>
                  <m:t>ij</m:t>
                </m:r>
              </m:sub>
            </m:sSub>
          </m:e>
        </m:nary>
        <m:sSub>
          <m:sSubPr>
            <m:ctrlPr>
              <w:rPr>
                <w:rFonts w:ascii="Cambria Math" w:hAnsi="Cambria Math" w:cs="Times New Roman"/>
                <w:sz w:val="28"/>
                <w:szCs w:val="28"/>
              </w:rPr>
            </m:ctrlPr>
          </m:sSubPr>
          <m:e>
            <m:r>
              <w:rPr>
                <w:rFonts w:ascii="Cambria Math" w:hAnsi="Cambria Math" w:cs="Times New Roman"/>
                <w:sz w:val="28"/>
                <w:szCs w:val="28"/>
              </w:rPr>
              <m:t>z</m:t>
            </m:r>
          </m:e>
          <m:sub>
            <m:r>
              <w:rPr>
                <w:rFonts w:ascii="Cambria Math" w:hAnsi="Cambria Math" w:cs="Times New Roman"/>
                <w:sz w:val="28"/>
                <w:szCs w:val="28"/>
              </w:rPr>
              <m:t>j</m:t>
            </m:r>
          </m:sub>
        </m:sSub>
      </m:oMath>
      <w:r w:rsidRPr="00DB6E87">
        <w:rPr>
          <w:rFonts w:ascii="Times New Roman" w:hAnsi="Times New Roman" w:cs="Times New Roman"/>
          <w:sz w:val="28"/>
          <w:szCs w:val="28"/>
        </w:rPr>
        <w:t xml:space="preserve">      </w:t>
      </w:r>
      <w:r w:rsidRPr="00DE12D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E12DC">
        <w:rPr>
          <w:rFonts w:ascii="Times New Roman" w:hAnsi="Times New Roman" w:cs="Times New Roman"/>
          <w:sz w:val="24"/>
          <w:szCs w:val="24"/>
        </w:rPr>
        <w:t xml:space="preserve">                (</w:t>
      </w:r>
      <w:r>
        <w:rPr>
          <w:rFonts w:ascii="Times New Roman" w:hAnsi="Times New Roman" w:cs="Times New Roman"/>
          <w:sz w:val="24"/>
          <w:szCs w:val="24"/>
        </w:rPr>
        <w:t>2</w:t>
      </w:r>
      <w:r w:rsidRPr="00DE12DC">
        <w:rPr>
          <w:rFonts w:ascii="Times New Roman" w:hAnsi="Times New Roman" w:cs="Times New Roman"/>
          <w:sz w:val="24"/>
          <w:szCs w:val="24"/>
        </w:rPr>
        <w:t>)</w:t>
      </w:r>
    </w:p>
    <w:p w14:paraId="763E2B65" w14:textId="76F97D8B" w:rsidR="00104A87" w:rsidRDefault="00104A87" w:rsidP="003C46AE">
      <w:pPr>
        <w:spacing w:after="0" w:line="360" w:lineRule="auto"/>
        <w:ind w:firstLine="567"/>
        <w:jc w:val="both"/>
        <w:rPr>
          <w:rFonts w:ascii="Times New Roman" w:hAnsi="Times New Roman" w:cs="Times New Roman"/>
          <w:sz w:val="24"/>
          <w:szCs w:val="24"/>
        </w:rPr>
      </w:pPr>
      <w:r w:rsidRPr="004A39B6">
        <w:rPr>
          <w:rFonts w:ascii="Times New Roman" w:hAnsi="Times New Roman" w:cs="Times New Roman"/>
          <w:sz w:val="24"/>
          <w:szCs w:val="24"/>
        </w:rPr>
        <w:t xml:space="preserve">Onde </w:t>
      </w:r>
      <w:r w:rsidRPr="004A39B6">
        <w:rPr>
          <w:rFonts w:ascii="Cambria Math" w:hAnsi="Cambria Math" w:cs="Cambria Math"/>
          <w:sz w:val="24"/>
          <w:szCs w:val="24"/>
        </w:rPr>
        <w:t>𝐼</w:t>
      </w:r>
      <w:r w:rsidRPr="004A39B6">
        <w:rPr>
          <w:rFonts w:ascii="Times New Roman" w:hAnsi="Times New Roman" w:cs="Times New Roman"/>
          <w:sz w:val="24"/>
          <w:szCs w:val="24"/>
        </w:rPr>
        <w:t xml:space="preserve"> é o índice de Moran local, </w:t>
      </w:r>
      <m:oMath>
        <m:nary>
          <m:naryPr>
            <m:chr m:val="∑"/>
            <m:limLoc m:val="subSup"/>
            <m:ctrlPr>
              <w:rPr>
                <w:rFonts w:ascii="Cambria Math" w:hAnsi="Cambria Math" w:cs="Times New Roman"/>
                <w:sz w:val="24"/>
                <w:szCs w:val="24"/>
              </w:rPr>
            </m:ctrlPr>
          </m:naryPr>
          <m:sub>
            <m:r>
              <w:rPr>
                <w:rFonts w:ascii="Cambria Math" w:hAnsi="Cambria Math" w:cs="Times New Roman"/>
                <w:sz w:val="24"/>
                <w:szCs w:val="24"/>
              </w:rPr>
              <m:t>j</m:t>
            </m:r>
            <m:r>
              <m:rPr>
                <m:sty m:val="p"/>
              </m:rPr>
              <w:rPr>
                <w:rFonts w:ascii="Cambria Math" w:hAnsi="Cambria Math" w:cs="Times New Roman"/>
                <w:sz w:val="24"/>
                <w:szCs w:val="24"/>
              </w:rPr>
              <m:t>=1</m:t>
            </m:r>
          </m:sub>
          <m:sup>
            <m:r>
              <w:rPr>
                <w:rFonts w:ascii="Cambria Math" w:hAnsi="Cambria Math" w:cs="Times New Roman"/>
                <w:sz w:val="24"/>
                <w:szCs w:val="24"/>
              </w:rPr>
              <m:t>j</m:t>
            </m:r>
          </m:sup>
          <m:e>
            <m:sSub>
              <m:sSubPr>
                <m:ctrlPr>
                  <w:rPr>
                    <w:rFonts w:ascii="Cambria Math" w:hAnsi="Cambria Math" w:cs="Times New Roman"/>
                    <w:sz w:val="24"/>
                    <w:szCs w:val="24"/>
                  </w:rPr>
                </m:ctrlPr>
              </m:sSubPr>
              <m:e>
                <m:r>
                  <w:rPr>
                    <w:rFonts w:ascii="Cambria Math" w:hAnsi="Cambria Math" w:cs="Times New Roman"/>
                    <w:sz w:val="24"/>
                    <w:szCs w:val="24"/>
                  </w:rPr>
                  <m:t>w</m:t>
                </m:r>
              </m:e>
              <m:sub>
                <m:r>
                  <w:rPr>
                    <w:rFonts w:ascii="Cambria Math" w:hAnsi="Cambria Math" w:cs="Times New Roman"/>
                    <w:sz w:val="24"/>
                    <w:szCs w:val="24"/>
                  </w:rPr>
                  <m:t>ij</m:t>
                </m:r>
              </m:sub>
            </m:sSub>
          </m:e>
        </m:nary>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j</m:t>
            </m:r>
          </m:sub>
        </m:sSub>
      </m:oMath>
      <w:r w:rsidRPr="004A39B6">
        <w:rPr>
          <w:rFonts w:ascii="Times New Roman" w:hAnsi="Times New Roman" w:cs="Times New Roman"/>
          <w:sz w:val="24"/>
          <w:szCs w:val="24"/>
        </w:rPr>
        <w:t xml:space="preserve"> são o somatório dos</w:t>
      </w:r>
      <w:r>
        <w:rPr>
          <w:rFonts w:ascii="Times New Roman" w:hAnsi="Times New Roman" w:cs="Times New Roman"/>
          <w:sz w:val="24"/>
          <w:szCs w:val="24"/>
        </w:rPr>
        <w:t xml:space="preserve"> </w:t>
      </w:r>
      <w:r w:rsidRPr="004A39B6">
        <w:rPr>
          <w:rFonts w:ascii="Times New Roman" w:hAnsi="Times New Roman" w:cs="Times New Roman"/>
          <w:sz w:val="24"/>
          <w:szCs w:val="24"/>
        </w:rPr>
        <w:t xml:space="preserve">elementos da matriz de contiguidade multiplicado pelo vetor </w:t>
      </w:r>
      <w:r w:rsidRPr="004A39B6">
        <w:rPr>
          <w:rFonts w:ascii="Cambria Math" w:hAnsi="Cambria Math" w:cs="Cambria Math"/>
          <w:sz w:val="24"/>
          <w:szCs w:val="24"/>
        </w:rPr>
        <w:t>𝑧</w:t>
      </w:r>
      <w:r w:rsidRPr="004A39B6">
        <w:rPr>
          <w:rFonts w:ascii="Times New Roman" w:hAnsi="Times New Roman" w:cs="Times New Roman"/>
          <w:sz w:val="24"/>
          <w:szCs w:val="24"/>
        </w:rPr>
        <w:t xml:space="preserve"> de </w:t>
      </w:r>
      <w:r w:rsidRPr="004A39B6">
        <w:rPr>
          <w:rFonts w:ascii="Cambria Math" w:hAnsi="Cambria Math" w:cs="Cambria Math"/>
          <w:sz w:val="24"/>
          <w:szCs w:val="24"/>
        </w:rPr>
        <w:t>𝑛</w:t>
      </w:r>
      <w:r w:rsidRPr="004A39B6">
        <w:rPr>
          <w:rFonts w:ascii="Times New Roman" w:hAnsi="Times New Roman" w:cs="Times New Roman"/>
          <w:sz w:val="24"/>
          <w:szCs w:val="24"/>
        </w:rPr>
        <w:t xml:space="preserve"> observações. Essa estatística tem a capacidade de capturar padrões locais de autocorrelação espacial, estatisticamente significativos, os chamados</w:t>
      </w:r>
      <w:r>
        <w:rPr>
          <w:rFonts w:ascii="Times New Roman" w:hAnsi="Times New Roman" w:cs="Times New Roman"/>
          <w:sz w:val="24"/>
          <w:szCs w:val="24"/>
        </w:rPr>
        <w:t xml:space="preserve"> </w:t>
      </w:r>
      <w:r w:rsidRPr="00AD545F">
        <w:rPr>
          <w:rFonts w:ascii="Times New Roman" w:hAnsi="Times New Roman" w:cs="Times New Roman"/>
          <w:i/>
          <w:iCs/>
          <w:sz w:val="24"/>
          <w:szCs w:val="24"/>
        </w:rPr>
        <w:t>Local Indicator of Spatial Association</w:t>
      </w:r>
      <w:r>
        <w:rPr>
          <w:rFonts w:ascii="Times New Roman" w:hAnsi="Times New Roman" w:cs="Times New Roman"/>
          <w:sz w:val="24"/>
          <w:szCs w:val="24"/>
        </w:rPr>
        <w:t xml:space="preserve"> (</w:t>
      </w:r>
      <w:r w:rsidRPr="004A39B6">
        <w:rPr>
          <w:rFonts w:ascii="Times New Roman" w:hAnsi="Times New Roman" w:cs="Times New Roman"/>
          <w:sz w:val="24"/>
          <w:szCs w:val="24"/>
        </w:rPr>
        <w:t>LISA</w:t>
      </w:r>
      <w:r>
        <w:rPr>
          <w:rFonts w:ascii="Times New Roman" w:hAnsi="Times New Roman" w:cs="Times New Roman"/>
          <w:sz w:val="24"/>
          <w:szCs w:val="24"/>
        </w:rPr>
        <w:t>)</w:t>
      </w:r>
      <w:r w:rsidRPr="004A39B6">
        <w:rPr>
          <w:rFonts w:ascii="Times New Roman" w:hAnsi="Times New Roman" w:cs="Times New Roman"/>
          <w:sz w:val="24"/>
          <w:szCs w:val="24"/>
        </w:rPr>
        <w:t xml:space="preserve">. </w:t>
      </w:r>
    </w:p>
    <w:p w14:paraId="313CF898" w14:textId="0B19ADD2" w:rsidR="008053D2" w:rsidRPr="00DE2917" w:rsidRDefault="00863487" w:rsidP="003C46AE">
      <w:pPr>
        <w:spacing w:line="360" w:lineRule="auto"/>
        <w:ind w:firstLine="567"/>
        <w:jc w:val="both"/>
        <w:rPr>
          <w:rFonts w:ascii="Times New Roman" w:hAnsi="Times New Roman" w:cs="Times New Roman"/>
          <w:sz w:val="24"/>
          <w:szCs w:val="24"/>
        </w:rPr>
      </w:pPr>
      <w:r w:rsidRPr="00DE12DC">
        <w:rPr>
          <w:rFonts w:ascii="Times New Roman" w:hAnsi="Times New Roman" w:cs="Times New Roman"/>
          <w:sz w:val="24"/>
          <w:szCs w:val="24"/>
        </w:rPr>
        <w:t>Assim, esse coeficiente faz uma decomposição do indicador global de autocorrelação na contribuição local de cada observação em quatro categorias (AA, BB, AB e BA), cada uma individualmente correspondendo a um quadrante no diagrama de dispersão de Moran (ALMEIDA,2012). Neste caso, o I de Moran local maior que zero indica valores similares em sua vizinhança, quando negativos indicam valores diferentes em sua vizinhança.</w:t>
      </w:r>
    </w:p>
    <w:p w14:paraId="2E3426A1" w14:textId="732E1984" w:rsidR="008053D2" w:rsidRDefault="002C38DC" w:rsidP="003C46AE">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4 </w:t>
      </w:r>
      <w:r w:rsidR="00BF4EB2">
        <w:rPr>
          <w:rFonts w:ascii="Times New Roman" w:hAnsi="Times New Roman" w:cs="Times New Roman"/>
          <w:b/>
          <w:bCs/>
          <w:sz w:val="24"/>
          <w:szCs w:val="24"/>
        </w:rPr>
        <w:t>RESULTADOS</w:t>
      </w:r>
    </w:p>
    <w:p w14:paraId="4CB880F6" w14:textId="77777777" w:rsidR="003C46AE" w:rsidRDefault="00CD3E81" w:rsidP="003C46AE">
      <w:pPr>
        <w:spacing w:line="360" w:lineRule="auto"/>
        <w:ind w:firstLine="567"/>
        <w:jc w:val="both"/>
        <w:rPr>
          <w:rFonts w:ascii="Times New Roman" w:hAnsi="Times New Roman"/>
          <w:sz w:val="24"/>
          <w:szCs w:val="24"/>
        </w:rPr>
      </w:pPr>
      <w:r w:rsidRPr="00597FCA">
        <w:rPr>
          <w:rFonts w:ascii="Times New Roman" w:hAnsi="Times New Roman"/>
          <w:sz w:val="24"/>
          <w:szCs w:val="24"/>
        </w:rPr>
        <w:t>Para a realização do cálculo do I de Moran Global, inicialmente</w:t>
      </w:r>
      <w:r>
        <w:rPr>
          <w:rFonts w:ascii="Times New Roman" w:hAnsi="Times New Roman"/>
          <w:sz w:val="24"/>
          <w:szCs w:val="24"/>
        </w:rPr>
        <w:t>,</w:t>
      </w:r>
      <w:r w:rsidRPr="00597FCA">
        <w:rPr>
          <w:rFonts w:ascii="Times New Roman" w:hAnsi="Times New Roman"/>
          <w:sz w:val="24"/>
          <w:szCs w:val="24"/>
        </w:rPr>
        <w:t xml:space="preserve"> verificou-se qual a matriz de contiguidade mais adequada para cada caso</w:t>
      </w:r>
      <w:r>
        <w:rPr>
          <w:rFonts w:ascii="Times New Roman" w:hAnsi="Times New Roman"/>
          <w:sz w:val="24"/>
          <w:szCs w:val="24"/>
        </w:rPr>
        <w:t>. Para isso, foram analisadas as matrizes Queen, Rook e com sete, dez e quinze vizinhos mais próximos. A tabela 4 mostra os resultados para cada matriz de contiguidade testada para ambos os índices.</w:t>
      </w:r>
    </w:p>
    <w:p w14:paraId="205D1DDA" w14:textId="2D666835" w:rsidR="00CD6ACD" w:rsidRPr="00726832" w:rsidRDefault="00CD3E81" w:rsidP="003C46AE">
      <w:pPr>
        <w:spacing w:line="360" w:lineRule="auto"/>
        <w:ind w:firstLine="567"/>
        <w:jc w:val="both"/>
        <w:rPr>
          <w:rFonts w:ascii="Times New Roman" w:hAnsi="Times New Roman"/>
          <w:sz w:val="24"/>
          <w:szCs w:val="24"/>
        </w:rPr>
      </w:pPr>
      <w:r>
        <w:rPr>
          <w:rFonts w:ascii="Times New Roman" w:hAnsi="Times New Roman"/>
          <w:sz w:val="24"/>
          <w:szCs w:val="24"/>
        </w:rPr>
        <w:t xml:space="preserve"> A matriz que melhor representou a interação espacial para o ano de 2011 foi a </w:t>
      </w:r>
      <w:r w:rsidR="00726832">
        <w:rPr>
          <w:rFonts w:ascii="Times New Roman" w:hAnsi="Times New Roman"/>
          <w:sz w:val="24"/>
          <w:szCs w:val="24"/>
        </w:rPr>
        <w:t>matriz q</w:t>
      </w:r>
      <w:r>
        <w:rPr>
          <w:rFonts w:ascii="Times New Roman" w:hAnsi="Times New Roman"/>
          <w:sz w:val="24"/>
          <w:szCs w:val="24"/>
        </w:rPr>
        <w:t xml:space="preserve">ueen, </w:t>
      </w:r>
      <w:r w:rsidR="00726832">
        <w:rPr>
          <w:rFonts w:ascii="Times New Roman" w:hAnsi="Times New Roman"/>
          <w:sz w:val="24"/>
          <w:szCs w:val="24"/>
        </w:rPr>
        <w:t>para ambas as etapas de ensino. Já no ano de 2021, a matriz que melhor representou a interação espacial nos anos iniciais (AI) do ensino fundamental foi a com se</w:t>
      </w:r>
      <w:r w:rsidR="005D79F3">
        <w:rPr>
          <w:rFonts w:ascii="Times New Roman" w:hAnsi="Times New Roman"/>
          <w:sz w:val="24"/>
          <w:szCs w:val="24"/>
        </w:rPr>
        <w:t>t</w:t>
      </w:r>
      <w:r w:rsidR="00726832">
        <w:rPr>
          <w:rFonts w:ascii="Times New Roman" w:hAnsi="Times New Roman"/>
          <w:sz w:val="24"/>
          <w:szCs w:val="24"/>
        </w:rPr>
        <w:t>e vizinhos mais próximos</w:t>
      </w:r>
      <w:r w:rsidR="005D79F3">
        <w:rPr>
          <w:rFonts w:ascii="Times New Roman" w:hAnsi="Times New Roman"/>
          <w:sz w:val="24"/>
          <w:szCs w:val="24"/>
        </w:rPr>
        <w:t>,</w:t>
      </w:r>
      <w:r w:rsidR="00726832">
        <w:rPr>
          <w:rFonts w:ascii="Times New Roman" w:hAnsi="Times New Roman"/>
          <w:sz w:val="24"/>
          <w:szCs w:val="24"/>
        </w:rPr>
        <w:t xml:space="preserve"> enquanto para os anos finais (AF) do ensino fundamental foi a matriz rook.</w:t>
      </w:r>
    </w:p>
    <w:p w14:paraId="15CA0B0D" w14:textId="1BD0AF48" w:rsidR="00977E25" w:rsidRPr="00400F9C" w:rsidRDefault="00977E25" w:rsidP="00400F9C">
      <w:pPr>
        <w:spacing w:after="0" w:line="360" w:lineRule="auto"/>
        <w:jc w:val="both"/>
        <w:rPr>
          <w:rFonts w:ascii="Times New Roman" w:hAnsi="Times New Roman" w:cs="Times New Roman"/>
          <w:sz w:val="24"/>
          <w:szCs w:val="24"/>
        </w:rPr>
      </w:pPr>
      <w:r w:rsidRPr="00400F9C">
        <w:rPr>
          <w:rFonts w:ascii="Times New Roman" w:hAnsi="Times New Roman" w:cs="Times New Roman"/>
          <w:sz w:val="24"/>
          <w:szCs w:val="24"/>
        </w:rPr>
        <w:t>Tabela 2 – Resultados da Matriz de Contiguidade</w:t>
      </w:r>
    </w:p>
    <w:tbl>
      <w:tblPr>
        <w:tblStyle w:val="Tabelacomgrade"/>
        <w:tblW w:w="0" w:type="auto"/>
        <w:tblBorders>
          <w:left w:val="none" w:sz="0" w:space="0" w:color="auto"/>
          <w:right w:val="none" w:sz="0" w:space="0" w:color="auto"/>
        </w:tblBorders>
        <w:tblLook w:val="04A0" w:firstRow="1" w:lastRow="0" w:firstColumn="1" w:lastColumn="0" w:noHBand="0" w:noVBand="1"/>
      </w:tblPr>
      <w:tblGrid>
        <w:gridCol w:w="1349"/>
        <w:gridCol w:w="1180"/>
        <w:gridCol w:w="1306"/>
        <w:gridCol w:w="1088"/>
        <w:gridCol w:w="1306"/>
        <w:gridCol w:w="1306"/>
      </w:tblGrid>
      <w:tr w:rsidR="00C63DC6" w14:paraId="21942F3F" w14:textId="612FFDE5" w:rsidTr="00400F9C">
        <w:trPr>
          <w:trHeight w:val="192"/>
        </w:trPr>
        <w:tc>
          <w:tcPr>
            <w:tcW w:w="1349" w:type="dxa"/>
            <w:tcBorders>
              <w:top w:val="single" w:sz="12" w:space="0" w:color="auto"/>
              <w:bottom w:val="single" w:sz="12" w:space="0" w:color="auto"/>
            </w:tcBorders>
          </w:tcPr>
          <w:p w14:paraId="0444A4E4" w14:textId="2CE58AF0" w:rsidR="00C63DC6" w:rsidRDefault="00C63DC6" w:rsidP="00400F9C">
            <w:pPr>
              <w:spacing w:line="360" w:lineRule="auto"/>
              <w:jc w:val="both"/>
              <w:rPr>
                <w:rFonts w:ascii="Times New Roman" w:hAnsi="Times New Roman"/>
                <w:b/>
                <w:bCs/>
                <w:sz w:val="24"/>
                <w:szCs w:val="24"/>
              </w:rPr>
            </w:pPr>
            <w:r>
              <w:rPr>
                <w:rFonts w:ascii="Times New Roman" w:hAnsi="Times New Roman"/>
                <w:b/>
                <w:bCs/>
                <w:sz w:val="24"/>
                <w:szCs w:val="24"/>
              </w:rPr>
              <w:t>Ano</w:t>
            </w:r>
          </w:p>
        </w:tc>
        <w:tc>
          <w:tcPr>
            <w:tcW w:w="1180" w:type="dxa"/>
            <w:tcBorders>
              <w:top w:val="single" w:sz="12" w:space="0" w:color="auto"/>
              <w:bottom w:val="single" w:sz="12" w:space="0" w:color="auto"/>
            </w:tcBorders>
          </w:tcPr>
          <w:p w14:paraId="5876717A" w14:textId="77777777" w:rsidR="00C63DC6" w:rsidRDefault="00C63DC6" w:rsidP="00400F9C">
            <w:pPr>
              <w:spacing w:line="360" w:lineRule="auto"/>
              <w:jc w:val="both"/>
              <w:rPr>
                <w:rFonts w:ascii="Times New Roman" w:hAnsi="Times New Roman"/>
                <w:b/>
                <w:bCs/>
                <w:sz w:val="24"/>
                <w:szCs w:val="24"/>
              </w:rPr>
            </w:pPr>
            <w:r>
              <w:rPr>
                <w:rFonts w:ascii="Times New Roman" w:hAnsi="Times New Roman"/>
                <w:b/>
                <w:bCs/>
                <w:sz w:val="24"/>
                <w:szCs w:val="24"/>
              </w:rPr>
              <w:t>Queen</w:t>
            </w:r>
          </w:p>
        </w:tc>
        <w:tc>
          <w:tcPr>
            <w:tcW w:w="1306" w:type="dxa"/>
            <w:tcBorders>
              <w:top w:val="single" w:sz="12" w:space="0" w:color="auto"/>
              <w:bottom w:val="single" w:sz="12" w:space="0" w:color="auto"/>
            </w:tcBorders>
          </w:tcPr>
          <w:p w14:paraId="52EC4D6E" w14:textId="77777777" w:rsidR="00C63DC6" w:rsidRDefault="00C63DC6" w:rsidP="00400F9C">
            <w:pPr>
              <w:spacing w:line="360" w:lineRule="auto"/>
              <w:jc w:val="both"/>
              <w:rPr>
                <w:rFonts w:ascii="Times New Roman" w:hAnsi="Times New Roman"/>
                <w:b/>
                <w:bCs/>
                <w:sz w:val="24"/>
                <w:szCs w:val="24"/>
              </w:rPr>
            </w:pPr>
            <w:r>
              <w:rPr>
                <w:rFonts w:ascii="Times New Roman" w:hAnsi="Times New Roman"/>
                <w:b/>
                <w:bCs/>
                <w:sz w:val="24"/>
                <w:szCs w:val="24"/>
              </w:rPr>
              <w:t>Rook</w:t>
            </w:r>
          </w:p>
        </w:tc>
        <w:tc>
          <w:tcPr>
            <w:tcW w:w="1088" w:type="dxa"/>
            <w:tcBorders>
              <w:top w:val="single" w:sz="12" w:space="0" w:color="auto"/>
              <w:bottom w:val="single" w:sz="12" w:space="0" w:color="auto"/>
            </w:tcBorders>
          </w:tcPr>
          <w:p w14:paraId="53CCF4E4" w14:textId="7F1340E5" w:rsidR="00C63DC6" w:rsidRDefault="00C63DC6" w:rsidP="00400F9C">
            <w:pPr>
              <w:spacing w:line="360" w:lineRule="auto"/>
              <w:jc w:val="both"/>
              <w:rPr>
                <w:rFonts w:ascii="Times New Roman" w:hAnsi="Times New Roman"/>
                <w:b/>
                <w:bCs/>
                <w:sz w:val="24"/>
                <w:szCs w:val="24"/>
              </w:rPr>
            </w:pPr>
            <w:r>
              <w:rPr>
                <w:rFonts w:ascii="Times New Roman" w:hAnsi="Times New Roman"/>
                <w:b/>
                <w:bCs/>
                <w:sz w:val="24"/>
                <w:szCs w:val="24"/>
              </w:rPr>
              <w:t>N(7)</w:t>
            </w:r>
          </w:p>
        </w:tc>
        <w:tc>
          <w:tcPr>
            <w:tcW w:w="1306" w:type="dxa"/>
            <w:tcBorders>
              <w:top w:val="single" w:sz="12" w:space="0" w:color="auto"/>
              <w:bottom w:val="single" w:sz="12" w:space="0" w:color="auto"/>
            </w:tcBorders>
          </w:tcPr>
          <w:p w14:paraId="78DBC151" w14:textId="37D9E2A1" w:rsidR="00C63DC6" w:rsidRDefault="00C63DC6" w:rsidP="00400F9C">
            <w:pPr>
              <w:spacing w:line="360" w:lineRule="auto"/>
              <w:jc w:val="both"/>
              <w:rPr>
                <w:rFonts w:ascii="Times New Roman" w:hAnsi="Times New Roman"/>
                <w:b/>
                <w:bCs/>
                <w:sz w:val="24"/>
                <w:szCs w:val="24"/>
              </w:rPr>
            </w:pPr>
            <w:r>
              <w:rPr>
                <w:rFonts w:ascii="Times New Roman" w:hAnsi="Times New Roman"/>
                <w:b/>
                <w:bCs/>
                <w:sz w:val="24"/>
                <w:szCs w:val="24"/>
              </w:rPr>
              <w:t>N (10)</w:t>
            </w:r>
          </w:p>
        </w:tc>
        <w:tc>
          <w:tcPr>
            <w:tcW w:w="1306" w:type="dxa"/>
            <w:tcBorders>
              <w:top w:val="single" w:sz="12" w:space="0" w:color="auto"/>
              <w:bottom w:val="single" w:sz="12" w:space="0" w:color="auto"/>
            </w:tcBorders>
          </w:tcPr>
          <w:p w14:paraId="092C24E5" w14:textId="7C85640F" w:rsidR="00C63DC6" w:rsidRDefault="00C63DC6" w:rsidP="00400F9C">
            <w:pPr>
              <w:spacing w:line="360" w:lineRule="auto"/>
              <w:jc w:val="both"/>
              <w:rPr>
                <w:rFonts w:ascii="Times New Roman" w:hAnsi="Times New Roman"/>
                <w:b/>
                <w:bCs/>
                <w:sz w:val="24"/>
                <w:szCs w:val="24"/>
              </w:rPr>
            </w:pPr>
            <w:r>
              <w:rPr>
                <w:rFonts w:ascii="Times New Roman" w:hAnsi="Times New Roman"/>
                <w:b/>
                <w:bCs/>
                <w:sz w:val="24"/>
                <w:szCs w:val="24"/>
              </w:rPr>
              <w:t>N(15)</w:t>
            </w:r>
          </w:p>
        </w:tc>
      </w:tr>
      <w:tr w:rsidR="00C63DC6" w14:paraId="48446033" w14:textId="7D900B7A" w:rsidTr="00400F9C">
        <w:trPr>
          <w:trHeight w:val="312"/>
        </w:trPr>
        <w:tc>
          <w:tcPr>
            <w:tcW w:w="1349" w:type="dxa"/>
            <w:tcBorders>
              <w:top w:val="single" w:sz="12" w:space="0" w:color="auto"/>
            </w:tcBorders>
          </w:tcPr>
          <w:p w14:paraId="4CE5503D" w14:textId="59AC52A2" w:rsidR="00C63DC6" w:rsidRPr="00F22963" w:rsidRDefault="00C63DC6" w:rsidP="00400F9C">
            <w:pPr>
              <w:spacing w:line="360" w:lineRule="auto"/>
              <w:jc w:val="both"/>
              <w:rPr>
                <w:rFonts w:ascii="Times New Roman" w:hAnsi="Times New Roman"/>
                <w:sz w:val="24"/>
                <w:szCs w:val="24"/>
              </w:rPr>
            </w:pPr>
            <w:r w:rsidRPr="00B5216A">
              <w:rPr>
                <w:rFonts w:ascii="Times New Roman" w:hAnsi="Times New Roman"/>
                <w:sz w:val="24"/>
                <w:szCs w:val="24"/>
              </w:rPr>
              <w:t>2011</w:t>
            </w:r>
            <w:r w:rsidR="00E73855" w:rsidRPr="00B5216A">
              <w:rPr>
                <w:rFonts w:ascii="Times New Roman" w:hAnsi="Times New Roman"/>
                <w:sz w:val="24"/>
                <w:szCs w:val="24"/>
              </w:rPr>
              <w:t xml:space="preserve"> (A</w:t>
            </w:r>
            <w:r w:rsidR="0003180A" w:rsidRPr="00B5216A">
              <w:rPr>
                <w:rFonts w:ascii="Times New Roman" w:hAnsi="Times New Roman"/>
                <w:sz w:val="24"/>
                <w:szCs w:val="24"/>
              </w:rPr>
              <w:t>I</w:t>
            </w:r>
            <w:r w:rsidR="00E73855" w:rsidRPr="00B5216A">
              <w:rPr>
                <w:rFonts w:ascii="Times New Roman" w:hAnsi="Times New Roman"/>
                <w:sz w:val="24"/>
                <w:szCs w:val="24"/>
              </w:rPr>
              <w:t>)</w:t>
            </w:r>
          </w:p>
        </w:tc>
        <w:tc>
          <w:tcPr>
            <w:tcW w:w="1180" w:type="dxa"/>
            <w:tcBorders>
              <w:top w:val="single" w:sz="12" w:space="0" w:color="auto"/>
            </w:tcBorders>
          </w:tcPr>
          <w:p w14:paraId="70A00099" w14:textId="77777777" w:rsidR="00C63DC6" w:rsidRPr="00B5216A" w:rsidRDefault="00B5216A" w:rsidP="00400F9C">
            <w:pPr>
              <w:spacing w:line="360" w:lineRule="auto"/>
              <w:jc w:val="both"/>
              <w:rPr>
                <w:rFonts w:ascii="Times New Roman" w:hAnsi="Times New Roman"/>
                <w:sz w:val="24"/>
                <w:szCs w:val="24"/>
                <w:u w:val="single"/>
              </w:rPr>
            </w:pPr>
            <w:r w:rsidRPr="00B5216A">
              <w:rPr>
                <w:rFonts w:ascii="Times New Roman" w:hAnsi="Times New Roman"/>
                <w:sz w:val="24"/>
                <w:szCs w:val="24"/>
                <w:u w:val="single"/>
              </w:rPr>
              <w:t>0,764</w:t>
            </w:r>
          </w:p>
          <w:p w14:paraId="12610199" w14:textId="09F2B446" w:rsidR="00B5216A" w:rsidRPr="00F22963" w:rsidRDefault="00B5216A" w:rsidP="00400F9C">
            <w:pPr>
              <w:spacing w:line="360" w:lineRule="auto"/>
              <w:jc w:val="both"/>
              <w:rPr>
                <w:rFonts w:ascii="Times New Roman" w:hAnsi="Times New Roman"/>
                <w:sz w:val="24"/>
                <w:szCs w:val="24"/>
              </w:rPr>
            </w:pPr>
            <w:r>
              <w:rPr>
                <w:rFonts w:ascii="Times New Roman" w:hAnsi="Times New Roman"/>
                <w:sz w:val="24"/>
                <w:szCs w:val="24"/>
              </w:rPr>
              <w:t>(0,001)</w:t>
            </w:r>
          </w:p>
        </w:tc>
        <w:tc>
          <w:tcPr>
            <w:tcW w:w="1306" w:type="dxa"/>
            <w:tcBorders>
              <w:top w:val="single" w:sz="12" w:space="0" w:color="auto"/>
            </w:tcBorders>
          </w:tcPr>
          <w:p w14:paraId="7777C522" w14:textId="49B91B6F" w:rsidR="00C63DC6" w:rsidRDefault="00B5216A" w:rsidP="00400F9C">
            <w:pPr>
              <w:spacing w:line="360" w:lineRule="auto"/>
              <w:jc w:val="both"/>
              <w:rPr>
                <w:rFonts w:ascii="Times New Roman" w:hAnsi="Times New Roman"/>
                <w:sz w:val="24"/>
                <w:szCs w:val="24"/>
              </w:rPr>
            </w:pPr>
            <w:r>
              <w:rPr>
                <w:rFonts w:ascii="Times New Roman" w:hAnsi="Times New Roman"/>
                <w:sz w:val="24"/>
                <w:szCs w:val="24"/>
              </w:rPr>
              <w:t>0,764</w:t>
            </w:r>
          </w:p>
          <w:p w14:paraId="0B743B22" w14:textId="4593949D" w:rsidR="00B5216A" w:rsidRPr="00F22963" w:rsidRDefault="00B5216A" w:rsidP="00400F9C">
            <w:pPr>
              <w:spacing w:line="360" w:lineRule="auto"/>
              <w:jc w:val="both"/>
              <w:rPr>
                <w:rFonts w:ascii="Times New Roman" w:hAnsi="Times New Roman"/>
                <w:sz w:val="24"/>
                <w:szCs w:val="24"/>
              </w:rPr>
            </w:pPr>
            <w:r>
              <w:rPr>
                <w:rFonts w:ascii="Times New Roman" w:hAnsi="Times New Roman"/>
                <w:sz w:val="24"/>
                <w:szCs w:val="24"/>
              </w:rPr>
              <w:t>(0,001)</w:t>
            </w:r>
          </w:p>
        </w:tc>
        <w:tc>
          <w:tcPr>
            <w:tcW w:w="1088" w:type="dxa"/>
            <w:tcBorders>
              <w:top w:val="single" w:sz="12" w:space="0" w:color="auto"/>
            </w:tcBorders>
          </w:tcPr>
          <w:p w14:paraId="66CA3778" w14:textId="77777777" w:rsidR="00C63DC6" w:rsidRDefault="00B5216A" w:rsidP="00400F9C">
            <w:pPr>
              <w:spacing w:line="360" w:lineRule="auto"/>
              <w:jc w:val="both"/>
              <w:rPr>
                <w:rFonts w:ascii="Times New Roman" w:hAnsi="Times New Roman"/>
                <w:sz w:val="24"/>
                <w:szCs w:val="24"/>
              </w:rPr>
            </w:pPr>
            <w:r>
              <w:rPr>
                <w:rFonts w:ascii="Times New Roman" w:hAnsi="Times New Roman"/>
                <w:sz w:val="24"/>
                <w:szCs w:val="24"/>
              </w:rPr>
              <w:t>0,759</w:t>
            </w:r>
          </w:p>
          <w:p w14:paraId="4BB812CB" w14:textId="44CE507C" w:rsidR="00B5216A" w:rsidRPr="00F22963" w:rsidRDefault="00B5216A" w:rsidP="00400F9C">
            <w:pPr>
              <w:spacing w:line="360" w:lineRule="auto"/>
              <w:jc w:val="both"/>
              <w:rPr>
                <w:rFonts w:ascii="Times New Roman" w:hAnsi="Times New Roman"/>
                <w:sz w:val="24"/>
                <w:szCs w:val="24"/>
              </w:rPr>
            </w:pPr>
            <w:r>
              <w:rPr>
                <w:rFonts w:ascii="Times New Roman" w:hAnsi="Times New Roman"/>
                <w:sz w:val="24"/>
                <w:szCs w:val="24"/>
              </w:rPr>
              <w:t>(0,001)</w:t>
            </w:r>
          </w:p>
        </w:tc>
        <w:tc>
          <w:tcPr>
            <w:tcW w:w="1306" w:type="dxa"/>
            <w:tcBorders>
              <w:top w:val="single" w:sz="12" w:space="0" w:color="auto"/>
            </w:tcBorders>
          </w:tcPr>
          <w:p w14:paraId="089F446E" w14:textId="77777777" w:rsidR="00C63DC6" w:rsidRDefault="00B5216A" w:rsidP="00400F9C">
            <w:pPr>
              <w:spacing w:line="360" w:lineRule="auto"/>
              <w:jc w:val="both"/>
              <w:rPr>
                <w:rFonts w:ascii="Times New Roman" w:hAnsi="Times New Roman"/>
                <w:sz w:val="24"/>
                <w:szCs w:val="24"/>
              </w:rPr>
            </w:pPr>
            <w:r>
              <w:rPr>
                <w:rFonts w:ascii="Times New Roman" w:hAnsi="Times New Roman"/>
                <w:sz w:val="24"/>
                <w:szCs w:val="24"/>
              </w:rPr>
              <w:t>0,755</w:t>
            </w:r>
          </w:p>
          <w:p w14:paraId="2B03B506" w14:textId="6223C68E" w:rsidR="00B5216A" w:rsidRPr="00F22963" w:rsidRDefault="00B5216A" w:rsidP="00400F9C">
            <w:pPr>
              <w:spacing w:line="360" w:lineRule="auto"/>
              <w:jc w:val="both"/>
              <w:rPr>
                <w:rFonts w:ascii="Times New Roman" w:hAnsi="Times New Roman"/>
                <w:sz w:val="24"/>
                <w:szCs w:val="24"/>
              </w:rPr>
            </w:pPr>
            <w:r>
              <w:rPr>
                <w:rFonts w:ascii="Times New Roman" w:hAnsi="Times New Roman"/>
                <w:sz w:val="24"/>
                <w:szCs w:val="24"/>
              </w:rPr>
              <w:t>(0,001)</w:t>
            </w:r>
          </w:p>
        </w:tc>
        <w:tc>
          <w:tcPr>
            <w:tcW w:w="1306" w:type="dxa"/>
            <w:tcBorders>
              <w:top w:val="single" w:sz="12" w:space="0" w:color="auto"/>
            </w:tcBorders>
          </w:tcPr>
          <w:p w14:paraId="3C83FF1D" w14:textId="77777777" w:rsidR="00C63DC6" w:rsidRDefault="00B5216A" w:rsidP="00400F9C">
            <w:pPr>
              <w:spacing w:line="360" w:lineRule="auto"/>
              <w:jc w:val="both"/>
              <w:rPr>
                <w:rFonts w:ascii="Times New Roman" w:hAnsi="Times New Roman"/>
                <w:sz w:val="24"/>
                <w:szCs w:val="24"/>
              </w:rPr>
            </w:pPr>
            <w:r>
              <w:rPr>
                <w:rFonts w:ascii="Times New Roman" w:hAnsi="Times New Roman"/>
                <w:sz w:val="24"/>
                <w:szCs w:val="24"/>
              </w:rPr>
              <w:t>0,747</w:t>
            </w:r>
          </w:p>
          <w:p w14:paraId="1A15408F" w14:textId="189745DE" w:rsidR="00B5216A" w:rsidRDefault="00B5216A" w:rsidP="00400F9C">
            <w:pPr>
              <w:spacing w:line="360" w:lineRule="auto"/>
              <w:jc w:val="both"/>
              <w:rPr>
                <w:rFonts w:ascii="Times New Roman" w:hAnsi="Times New Roman"/>
                <w:sz w:val="24"/>
                <w:szCs w:val="24"/>
              </w:rPr>
            </w:pPr>
            <w:r>
              <w:rPr>
                <w:rFonts w:ascii="Times New Roman" w:hAnsi="Times New Roman"/>
                <w:sz w:val="24"/>
                <w:szCs w:val="24"/>
              </w:rPr>
              <w:t>(0,001)</w:t>
            </w:r>
          </w:p>
        </w:tc>
      </w:tr>
      <w:tr w:rsidR="0003180A" w14:paraId="7A89162E" w14:textId="77777777" w:rsidTr="00400F9C">
        <w:trPr>
          <w:trHeight w:val="312"/>
        </w:trPr>
        <w:tc>
          <w:tcPr>
            <w:tcW w:w="1349" w:type="dxa"/>
            <w:tcBorders>
              <w:top w:val="single" w:sz="12" w:space="0" w:color="auto"/>
            </w:tcBorders>
          </w:tcPr>
          <w:p w14:paraId="3F2450C9" w14:textId="41FC30FB" w:rsidR="0003180A" w:rsidRPr="00F22963" w:rsidRDefault="0003180A" w:rsidP="00400F9C">
            <w:pPr>
              <w:spacing w:line="360" w:lineRule="auto"/>
              <w:jc w:val="both"/>
              <w:rPr>
                <w:rFonts w:ascii="Times New Roman" w:hAnsi="Times New Roman"/>
                <w:sz w:val="24"/>
                <w:szCs w:val="24"/>
              </w:rPr>
            </w:pPr>
            <w:r w:rsidRPr="00F22963">
              <w:rPr>
                <w:rFonts w:ascii="Times New Roman" w:hAnsi="Times New Roman"/>
                <w:sz w:val="24"/>
                <w:szCs w:val="24"/>
              </w:rPr>
              <w:t>2011</w:t>
            </w:r>
            <w:r>
              <w:rPr>
                <w:rFonts w:ascii="Times New Roman" w:hAnsi="Times New Roman"/>
                <w:sz w:val="24"/>
                <w:szCs w:val="24"/>
              </w:rPr>
              <w:t xml:space="preserve"> (AF)</w:t>
            </w:r>
          </w:p>
        </w:tc>
        <w:tc>
          <w:tcPr>
            <w:tcW w:w="1180" w:type="dxa"/>
            <w:tcBorders>
              <w:top w:val="single" w:sz="12" w:space="0" w:color="auto"/>
            </w:tcBorders>
          </w:tcPr>
          <w:p w14:paraId="02EFDF29" w14:textId="77777777" w:rsidR="0003180A" w:rsidRPr="00F24FA0" w:rsidRDefault="0003180A" w:rsidP="00400F9C">
            <w:pPr>
              <w:spacing w:line="360" w:lineRule="auto"/>
              <w:jc w:val="both"/>
              <w:rPr>
                <w:rFonts w:ascii="Times New Roman" w:hAnsi="Times New Roman"/>
                <w:sz w:val="24"/>
                <w:szCs w:val="24"/>
                <w:u w:val="single"/>
              </w:rPr>
            </w:pPr>
            <w:r w:rsidRPr="00F24FA0">
              <w:rPr>
                <w:rFonts w:ascii="Times New Roman" w:hAnsi="Times New Roman"/>
                <w:sz w:val="24"/>
                <w:szCs w:val="24"/>
                <w:u w:val="single"/>
              </w:rPr>
              <w:t>0,691</w:t>
            </w:r>
          </w:p>
          <w:p w14:paraId="6F3BF5D3" w14:textId="4750D06E" w:rsidR="0003180A" w:rsidRPr="00F24FA0" w:rsidRDefault="0003180A" w:rsidP="00400F9C">
            <w:pPr>
              <w:spacing w:line="360" w:lineRule="auto"/>
              <w:jc w:val="both"/>
              <w:rPr>
                <w:rFonts w:ascii="Times New Roman" w:hAnsi="Times New Roman"/>
                <w:sz w:val="24"/>
                <w:szCs w:val="24"/>
                <w:u w:val="single"/>
              </w:rPr>
            </w:pPr>
            <w:r>
              <w:rPr>
                <w:rFonts w:ascii="Times New Roman" w:hAnsi="Times New Roman"/>
                <w:sz w:val="24"/>
                <w:szCs w:val="24"/>
              </w:rPr>
              <w:t>(0,001)</w:t>
            </w:r>
          </w:p>
        </w:tc>
        <w:tc>
          <w:tcPr>
            <w:tcW w:w="1306" w:type="dxa"/>
            <w:tcBorders>
              <w:top w:val="single" w:sz="12" w:space="0" w:color="auto"/>
            </w:tcBorders>
          </w:tcPr>
          <w:p w14:paraId="0258F012" w14:textId="77777777" w:rsidR="0003180A" w:rsidRDefault="0003180A" w:rsidP="00400F9C">
            <w:pPr>
              <w:spacing w:line="360" w:lineRule="auto"/>
              <w:jc w:val="both"/>
              <w:rPr>
                <w:rFonts w:ascii="Times New Roman" w:hAnsi="Times New Roman"/>
                <w:sz w:val="24"/>
                <w:szCs w:val="24"/>
              </w:rPr>
            </w:pPr>
            <w:r>
              <w:rPr>
                <w:rFonts w:ascii="Times New Roman" w:hAnsi="Times New Roman"/>
                <w:sz w:val="24"/>
                <w:szCs w:val="24"/>
              </w:rPr>
              <w:t>0,691</w:t>
            </w:r>
          </w:p>
          <w:p w14:paraId="6A529271" w14:textId="28FEA06E" w:rsidR="0003180A" w:rsidRDefault="0003180A" w:rsidP="00400F9C">
            <w:pPr>
              <w:spacing w:line="360" w:lineRule="auto"/>
              <w:jc w:val="both"/>
              <w:rPr>
                <w:rFonts w:ascii="Times New Roman" w:hAnsi="Times New Roman"/>
                <w:sz w:val="24"/>
                <w:szCs w:val="24"/>
              </w:rPr>
            </w:pPr>
            <w:r>
              <w:rPr>
                <w:rFonts w:ascii="Times New Roman" w:hAnsi="Times New Roman"/>
                <w:sz w:val="24"/>
                <w:szCs w:val="24"/>
              </w:rPr>
              <w:t>(0,001)</w:t>
            </w:r>
          </w:p>
        </w:tc>
        <w:tc>
          <w:tcPr>
            <w:tcW w:w="1088" w:type="dxa"/>
            <w:tcBorders>
              <w:top w:val="single" w:sz="12" w:space="0" w:color="auto"/>
            </w:tcBorders>
          </w:tcPr>
          <w:p w14:paraId="4B5D7727" w14:textId="77777777" w:rsidR="0003180A" w:rsidRDefault="0003180A" w:rsidP="00400F9C">
            <w:pPr>
              <w:spacing w:line="360" w:lineRule="auto"/>
              <w:jc w:val="both"/>
              <w:rPr>
                <w:rFonts w:ascii="Times New Roman" w:hAnsi="Times New Roman"/>
                <w:sz w:val="24"/>
                <w:szCs w:val="24"/>
              </w:rPr>
            </w:pPr>
            <w:r>
              <w:rPr>
                <w:rFonts w:ascii="Times New Roman" w:hAnsi="Times New Roman"/>
                <w:sz w:val="24"/>
                <w:szCs w:val="24"/>
              </w:rPr>
              <w:t>0,690</w:t>
            </w:r>
          </w:p>
          <w:p w14:paraId="7CC8DD60" w14:textId="5BB0DFD1" w:rsidR="0003180A" w:rsidRDefault="0003180A" w:rsidP="00400F9C">
            <w:pPr>
              <w:spacing w:line="360" w:lineRule="auto"/>
              <w:jc w:val="both"/>
              <w:rPr>
                <w:rFonts w:ascii="Times New Roman" w:hAnsi="Times New Roman"/>
                <w:sz w:val="24"/>
                <w:szCs w:val="24"/>
              </w:rPr>
            </w:pPr>
            <w:r>
              <w:rPr>
                <w:rFonts w:ascii="Times New Roman" w:hAnsi="Times New Roman"/>
                <w:sz w:val="24"/>
                <w:szCs w:val="24"/>
              </w:rPr>
              <w:t>(0,001)</w:t>
            </w:r>
          </w:p>
        </w:tc>
        <w:tc>
          <w:tcPr>
            <w:tcW w:w="1306" w:type="dxa"/>
            <w:tcBorders>
              <w:top w:val="single" w:sz="12" w:space="0" w:color="auto"/>
            </w:tcBorders>
          </w:tcPr>
          <w:p w14:paraId="2B874E29" w14:textId="77777777" w:rsidR="0003180A" w:rsidRDefault="0003180A" w:rsidP="00400F9C">
            <w:pPr>
              <w:spacing w:line="360" w:lineRule="auto"/>
              <w:jc w:val="both"/>
              <w:rPr>
                <w:rFonts w:ascii="Times New Roman" w:hAnsi="Times New Roman"/>
                <w:sz w:val="24"/>
                <w:szCs w:val="24"/>
              </w:rPr>
            </w:pPr>
            <w:r>
              <w:rPr>
                <w:rFonts w:ascii="Times New Roman" w:hAnsi="Times New Roman"/>
                <w:sz w:val="24"/>
                <w:szCs w:val="24"/>
              </w:rPr>
              <w:t>0,682</w:t>
            </w:r>
          </w:p>
          <w:p w14:paraId="40E1B465" w14:textId="00CE50B1" w:rsidR="0003180A" w:rsidRDefault="0003180A" w:rsidP="00400F9C">
            <w:pPr>
              <w:spacing w:line="360" w:lineRule="auto"/>
              <w:jc w:val="both"/>
              <w:rPr>
                <w:rFonts w:ascii="Times New Roman" w:hAnsi="Times New Roman"/>
                <w:sz w:val="24"/>
                <w:szCs w:val="24"/>
              </w:rPr>
            </w:pPr>
            <w:r>
              <w:rPr>
                <w:rFonts w:ascii="Times New Roman" w:hAnsi="Times New Roman"/>
                <w:sz w:val="24"/>
                <w:szCs w:val="24"/>
              </w:rPr>
              <w:t>(0,001)</w:t>
            </w:r>
          </w:p>
        </w:tc>
        <w:tc>
          <w:tcPr>
            <w:tcW w:w="1306" w:type="dxa"/>
            <w:tcBorders>
              <w:top w:val="single" w:sz="12" w:space="0" w:color="auto"/>
            </w:tcBorders>
          </w:tcPr>
          <w:p w14:paraId="05FA48F5" w14:textId="77777777" w:rsidR="0003180A" w:rsidRDefault="0003180A" w:rsidP="00400F9C">
            <w:pPr>
              <w:spacing w:line="360" w:lineRule="auto"/>
              <w:jc w:val="both"/>
              <w:rPr>
                <w:rFonts w:ascii="Times New Roman" w:hAnsi="Times New Roman"/>
                <w:sz w:val="24"/>
                <w:szCs w:val="24"/>
              </w:rPr>
            </w:pPr>
            <w:r>
              <w:rPr>
                <w:rFonts w:ascii="Times New Roman" w:hAnsi="Times New Roman"/>
                <w:sz w:val="24"/>
                <w:szCs w:val="24"/>
              </w:rPr>
              <w:t>0,673</w:t>
            </w:r>
          </w:p>
          <w:p w14:paraId="2DD25EBC" w14:textId="6DCD8A63" w:rsidR="0003180A" w:rsidRDefault="0003180A" w:rsidP="00400F9C">
            <w:pPr>
              <w:spacing w:line="360" w:lineRule="auto"/>
              <w:jc w:val="both"/>
              <w:rPr>
                <w:rFonts w:ascii="Times New Roman" w:hAnsi="Times New Roman"/>
                <w:sz w:val="24"/>
                <w:szCs w:val="24"/>
              </w:rPr>
            </w:pPr>
            <w:r>
              <w:rPr>
                <w:rFonts w:ascii="Times New Roman" w:hAnsi="Times New Roman"/>
                <w:sz w:val="24"/>
                <w:szCs w:val="24"/>
              </w:rPr>
              <w:t>(0,001)</w:t>
            </w:r>
          </w:p>
        </w:tc>
      </w:tr>
      <w:tr w:rsidR="00C63DC6" w14:paraId="06F64F26" w14:textId="3C5A5D87" w:rsidTr="00400F9C">
        <w:tc>
          <w:tcPr>
            <w:tcW w:w="1349" w:type="dxa"/>
          </w:tcPr>
          <w:p w14:paraId="022B6723" w14:textId="3C48E2C8" w:rsidR="00C63DC6" w:rsidRPr="00962223" w:rsidRDefault="00C63DC6" w:rsidP="00400F9C">
            <w:pPr>
              <w:spacing w:line="360" w:lineRule="auto"/>
              <w:jc w:val="both"/>
              <w:rPr>
                <w:rFonts w:ascii="Times New Roman" w:hAnsi="Times New Roman"/>
                <w:sz w:val="24"/>
                <w:szCs w:val="24"/>
                <w:highlight w:val="yellow"/>
              </w:rPr>
            </w:pPr>
            <w:r w:rsidRPr="003843DD">
              <w:rPr>
                <w:rFonts w:ascii="Times New Roman" w:hAnsi="Times New Roman"/>
                <w:sz w:val="24"/>
                <w:szCs w:val="24"/>
              </w:rPr>
              <w:t>2021</w:t>
            </w:r>
            <w:r w:rsidR="00E73855" w:rsidRPr="003843DD">
              <w:rPr>
                <w:rFonts w:ascii="Times New Roman" w:hAnsi="Times New Roman"/>
                <w:sz w:val="24"/>
                <w:szCs w:val="24"/>
              </w:rPr>
              <w:t xml:space="preserve"> (A</w:t>
            </w:r>
            <w:r w:rsidR="0003180A" w:rsidRPr="003843DD">
              <w:rPr>
                <w:rFonts w:ascii="Times New Roman" w:hAnsi="Times New Roman"/>
                <w:sz w:val="24"/>
                <w:szCs w:val="24"/>
              </w:rPr>
              <w:t>I</w:t>
            </w:r>
            <w:r w:rsidR="00E73855" w:rsidRPr="003843DD">
              <w:rPr>
                <w:rFonts w:ascii="Times New Roman" w:hAnsi="Times New Roman"/>
                <w:sz w:val="24"/>
                <w:szCs w:val="24"/>
              </w:rPr>
              <w:t>)</w:t>
            </w:r>
          </w:p>
        </w:tc>
        <w:tc>
          <w:tcPr>
            <w:tcW w:w="1180" w:type="dxa"/>
          </w:tcPr>
          <w:p w14:paraId="4BEC96A7" w14:textId="77777777" w:rsidR="00E055B5" w:rsidRDefault="009C18CF" w:rsidP="00400F9C">
            <w:pPr>
              <w:spacing w:line="360" w:lineRule="auto"/>
              <w:jc w:val="both"/>
              <w:rPr>
                <w:rFonts w:ascii="Times New Roman" w:hAnsi="Times New Roman"/>
                <w:sz w:val="24"/>
                <w:szCs w:val="24"/>
              </w:rPr>
            </w:pPr>
            <w:r>
              <w:rPr>
                <w:rFonts w:ascii="Times New Roman" w:hAnsi="Times New Roman"/>
                <w:sz w:val="24"/>
                <w:szCs w:val="24"/>
              </w:rPr>
              <w:t>0,641</w:t>
            </w:r>
          </w:p>
          <w:p w14:paraId="32DD6FE4" w14:textId="651DAC5C" w:rsidR="009C18CF" w:rsidRPr="00DA2C08" w:rsidRDefault="009C18CF" w:rsidP="00400F9C">
            <w:pPr>
              <w:spacing w:line="360" w:lineRule="auto"/>
              <w:jc w:val="both"/>
              <w:rPr>
                <w:rFonts w:ascii="Times New Roman" w:hAnsi="Times New Roman"/>
                <w:sz w:val="24"/>
                <w:szCs w:val="24"/>
              </w:rPr>
            </w:pPr>
            <w:r>
              <w:rPr>
                <w:rFonts w:ascii="Times New Roman" w:hAnsi="Times New Roman"/>
                <w:sz w:val="24"/>
                <w:szCs w:val="24"/>
              </w:rPr>
              <w:t>(0,001)</w:t>
            </w:r>
          </w:p>
        </w:tc>
        <w:tc>
          <w:tcPr>
            <w:tcW w:w="1306" w:type="dxa"/>
          </w:tcPr>
          <w:p w14:paraId="21394A10" w14:textId="77777777" w:rsidR="00E055B5" w:rsidRDefault="009C18CF" w:rsidP="00400F9C">
            <w:pPr>
              <w:spacing w:line="360" w:lineRule="auto"/>
              <w:jc w:val="both"/>
              <w:rPr>
                <w:rFonts w:ascii="Times New Roman" w:hAnsi="Times New Roman"/>
                <w:sz w:val="24"/>
                <w:szCs w:val="24"/>
              </w:rPr>
            </w:pPr>
            <w:r>
              <w:rPr>
                <w:rFonts w:ascii="Times New Roman" w:hAnsi="Times New Roman"/>
                <w:sz w:val="24"/>
                <w:szCs w:val="24"/>
              </w:rPr>
              <w:t>0,642</w:t>
            </w:r>
          </w:p>
          <w:p w14:paraId="2E6911E9" w14:textId="306BF1B3" w:rsidR="009C18CF" w:rsidRPr="00DA2C08" w:rsidRDefault="009C18CF" w:rsidP="00400F9C">
            <w:pPr>
              <w:spacing w:line="360" w:lineRule="auto"/>
              <w:jc w:val="both"/>
              <w:rPr>
                <w:rFonts w:ascii="Times New Roman" w:hAnsi="Times New Roman"/>
                <w:sz w:val="24"/>
                <w:szCs w:val="24"/>
              </w:rPr>
            </w:pPr>
            <w:r>
              <w:rPr>
                <w:rFonts w:ascii="Times New Roman" w:hAnsi="Times New Roman"/>
                <w:sz w:val="24"/>
                <w:szCs w:val="24"/>
              </w:rPr>
              <w:t>(0,001)</w:t>
            </w:r>
          </w:p>
        </w:tc>
        <w:tc>
          <w:tcPr>
            <w:tcW w:w="1088" w:type="dxa"/>
          </w:tcPr>
          <w:p w14:paraId="05331B49" w14:textId="77777777" w:rsidR="00E055B5" w:rsidRPr="009C18CF" w:rsidRDefault="009C18CF" w:rsidP="00400F9C">
            <w:pPr>
              <w:spacing w:line="360" w:lineRule="auto"/>
              <w:jc w:val="both"/>
              <w:rPr>
                <w:rFonts w:ascii="Times New Roman" w:hAnsi="Times New Roman"/>
                <w:sz w:val="24"/>
                <w:szCs w:val="24"/>
                <w:u w:val="single"/>
              </w:rPr>
            </w:pPr>
            <w:r w:rsidRPr="009C18CF">
              <w:rPr>
                <w:rFonts w:ascii="Times New Roman" w:hAnsi="Times New Roman"/>
                <w:sz w:val="24"/>
                <w:szCs w:val="24"/>
                <w:u w:val="single"/>
              </w:rPr>
              <w:t>0,647</w:t>
            </w:r>
          </w:p>
          <w:p w14:paraId="0C02005F" w14:textId="3FE5DED4" w:rsidR="009C18CF" w:rsidRPr="00DA2C08" w:rsidRDefault="009C18CF" w:rsidP="00400F9C">
            <w:pPr>
              <w:spacing w:line="360" w:lineRule="auto"/>
              <w:jc w:val="both"/>
              <w:rPr>
                <w:rFonts w:ascii="Times New Roman" w:hAnsi="Times New Roman"/>
                <w:sz w:val="24"/>
                <w:szCs w:val="24"/>
              </w:rPr>
            </w:pPr>
            <w:r>
              <w:rPr>
                <w:rFonts w:ascii="Times New Roman" w:hAnsi="Times New Roman"/>
                <w:sz w:val="24"/>
                <w:szCs w:val="24"/>
              </w:rPr>
              <w:t>(0,001)</w:t>
            </w:r>
          </w:p>
        </w:tc>
        <w:tc>
          <w:tcPr>
            <w:tcW w:w="1306" w:type="dxa"/>
          </w:tcPr>
          <w:p w14:paraId="29CB4DD6" w14:textId="77777777" w:rsidR="00E055B5" w:rsidRDefault="009C18CF" w:rsidP="00400F9C">
            <w:pPr>
              <w:spacing w:line="360" w:lineRule="auto"/>
              <w:jc w:val="both"/>
              <w:rPr>
                <w:rFonts w:ascii="Times New Roman" w:hAnsi="Times New Roman"/>
                <w:sz w:val="24"/>
                <w:szCs w:val="24"/>
              </w:rPr>
            </w:pPr>
            <w:r>
              <w:rPr>
                <w:rFonts w:ascii="Times New Roman" w:hAnsi="Times New Roman"/>
                <w:sz w:val="24"/>
                <w:szCs w:val="24"/>
              </w:rPr>
              <w:t>0,633</w:t>
            </w:r>
          </w:p>
          <w:p w14:paraId="5B7A8968" w14:textId="2C8AF142" w:rsidR="009C18CF" w:rsidRPr="00DA2C08" w:rsidRDefault="009C18CF" w:rsidP="00400F9C">
            <w:pPr>
              <w:spacing w:line="360" w:lineRule="auto"/>
              <w:jc w:val="both"/>
              <w:rPr>
                <w:rFonts w:ascii="Times New Roman" w:hAnsi="Times New Roman"/>
                <w:sz w:val="24"/>
                <w:szCs w:val="24"/>
              </w:rPr>
            </w:pPr>
            <w:r>
              <w:rPr>
                <w:rFonts w:ascii="Times New Roman" w:hAnsi="Times New Roman"/>
                <w:sz w:val="24"/>
                <w:szCs w:val="24"/>
              </w:rPr>
              <w:t>(0,001)</w:t>
            </w:r>
          </w:p>
        </w:tc>
        <w:tc>
          <w:tcPr>
            <w:tcW w:w="1306" w:type="dxa"/>
          </w:tcPr>
          <w:p w14:paraId="67FA8321" w14:textId="77777777" w:rsidR="00E055B5" w:rsidRDefault="009C18CF" w:rsidP="00400F9C">
            <w:pPr>
              <w:spacing w:line="360" w:lineRule="auto"/>
              <w:jc w:val="both"/>
              <w:rPr>
                <w:rFonts w:ascii="Times New Roman" w:hAnsi="Times New Roman"/>
                <w:sz w:val="24"/>
                <w:szCs w:val="24"/>
              </w:rPr>
            </w:pPr>
            <w:r>
              <w:rPr>
                <w:rFonts w:ascii="Times New Roman" w:hAnsi="Times New Roman"/>
                <w:sz w:val="24"/>
                <w:szCs w:val="24"/>
              </w:rPr>
              <w:t>0,618</w:t>
            </w:r>
          </w:p>
          <w:p w14:paraId="71C2EAFE" w14:textId="2A50BAAB" w:rsidR="009C18CF" w:rsidRPr="00DA2C08" w:rsidRDefault="009C18CF" w:rsidP="00400F9C">
            <w:pPr>
              <w:spacing w:line="360" w:lineRule="auto"/>
              <w:jc w:val="both"/>
              <w:rPr>
                <w:rFonts w:ascii="Times New Roman" w:hAnsi="Times New Roman"/>
                <w:sz w:val="24"/>
                <w:szCs w:val="24"/>
              </w:rPr>
            </w:pPr>
            <w:r>
              <w:rPr>
                <w:rFonts w:ascii="Times New Roman" w:hAnsi="Times New Roman"/>
                <w:sz w:val="24"/>
                <w:szCs w:val="24"/>
              </w:rPr>
              <w:t>(0,001)</w:t>
            </w:r>
          </w:p>
        </w:tc>
      </w:tr>
      <w:tr w:rsidR="0003180A" w14:paraId="621A5B51" w14:textId="77777777" w:rsidTr="00400F9C">
        <w:tc>
          <w:tcPr>
            <w:tcW w:w="1349" w:type="dxa"/>
          </w:tcPr>
          <w:p w14:paraId="3DEFA9DC" w14:textId="6EA86390" w:rsidR="0003180A" w:rsidRPr="00F22963" w:rsidRDefault="0003180A" w:rsidP="00400F9C">
            <w:pPr>
              <w:spacing w:line="360" w:lineRule="auto"/>
              <w:jc w:val="both"/>
              <w:rPr>
                <w:rFonts w:ascii="Times New Roman" w:hAnsi="Times New Roman"/>
                <w:sz w:val="24"/>
                <w:szCs w:val="24"/>
              </w:rPr>
            </w:pPr>
            <w:r w:rsidRPr="00F22963">
              <w:rPr>
                <w:rFonts w:ascii="Times New Roman" w:hAnsi="Times New Roman"/>
                <w:sz w:val="24"/>
                <w:szCs w:val="24"/>
              </w:rPr>
              <w:t>20</w:t>
            </w:r>
            <w:r>
              <w:rPr>
                <w:rFonts w:ascii="Times New Roman" w:hAnsi="Times New Roman"/>
                <w:sz w:val="24"/>
                <w:szCs w:val="24"/>
              </w:rPr>
              <w:t>21 (AF)</w:t>
            </w:r>
          </w:p>
        </w:tc>
        <w:tc>
          <w:tcPr>
            <w:tcW w:w="1180" w:type="dxa"/>
          </w:tcPr>
          <w:p w14:paraId="4D008CDD" w14:textId="77777777" w:rsidR="0003180A" w:rsidRDefault="0003180A" w:rsidP="00400F9C">
            <w:pPr>
              <w:spacing w:line="360" w:lineRule="auto"/>
              <w:jc w:val="both"/>
              <w:rPr>
                <w:rFonts w:ascii="Times New Roman" w:hAnsi="Times New Roman"/>
                <w:sz w:val="24"/>
                <w:szCs w:val="24"/>
              </w:rPr>
            </w:pPr>
            <w:r>
              <w:rPr>
                <w:rFonts w:ascii="Times New Roman" w:hAnsi="Times New Roman"/>
                <w:sz w:val="24"/>
                <w:szCs w:val="24"/>
              </w:rPr>
              <w:t>0,568</w:t>
            </w:r>
          </w:p>
          <w:p w14:paraId="2E542C59" w14:textId="2928D660" w:rsidR="0003180A" w:rsidRDefault="0003180A" w:rsidP="00400F9C">
            <w:pPr>
              <w:spacing w:line="360" w:lineRule="auto"/>
              <w:jc w:val="both"/>
              <w:rPr>
                <w:rFonts w:ascii="Times New Roman" w:hAnsi="Times New Roman"/>
                <w:sz w:val="24"/>
                <w:szCs w:val="24"/>
              </w:rPr>
            </w:pPr>
            <w:r>
              <w:rPr>
                <w:rFonts w:ascii="Times New Roman" w:hAnsi="Times New Roman"/>
                <w:sz w:val="24"/>
                <w:szCs w:val="24"/>
              </w:rPr>
              <w:t>(0,001)</w:t>
            </w:r>
          </w:p>
        </w:tc>
        <w:tc>
          <w:tcPr>
            <w:tcW w:w="1306" w:type="dxa"/>
          </w:tcPr>
          <w:p w14:paraId="1EB4DD6B" w14:textId="77777777" w:rsidR="0003180A" w:rsidRPr="00E055B5" w:rsidRDefault="0003180A" w:rsidP="00400F9C">
            <w:pPr>
              <w:spacing w:line="360" w:lineRule="auto"/>
              <w:jc w:val="both"/>
              <w:rPr>
                <w:rFonts w:ascii="Times New Roman" w:hAnsi="Times New Roman"/>
                <w:sz w:val="24"/>
                <w:szCs w:val="24"/>
                <w:u w:val="single"/>
              </w:rPr>
            </w:pPr>
            <w:r w:rsidRPr="00E055B5">
              <w:rPr>
                <w:rFonts w:ascii="Times New Roman" w:hAnsi="Times New Roman"/>
                <w:sz w:val="24"/>
                <w:szCs w:val="24"/>
                <w:u w:val="single"/>
              </w:rPr>
              <w:t>0,571</w:t>
            </w:r>
          </w:p>
          <w:p w14:paraId="6E361A7C" w14:textId="1B9F22B9" w:rsidR="0003180A" w:rsidRPr="00E055B5" w:rsidRDefault="0003180A" w:rsidP="00400F9C">
            <w:pPr>
              <w:spacing w:line="360" w:lineRule="auto"/>
              <w:jc w:val="both"/>
              <w:rPr>
                <w:rFonts w:ascii="Times New Roman" w:hAnsi="Times New Roman"/>
                <w:sz w:val="24"/>
                <w:szCs w:val="24"/>
                <w:u w:val="single"/>
              </w:rPr>
            </w:pPr>
            <w:r>
              <w:rPr>
                <w:rFonts w:ascii="Times New Roman" w:hAnsi="Times New Roman"/>
                <w:sz w:val="24"/>
                <w:szCs w:val="24"/>
              </w:rPr>
              <w:t>(0,001)</w:t>
            </w:r>
          </w:p>
        </w:tc>
        <w:tc>
          <w:tcPr>
            <w:tcW w:w="1088" w:type="dxa"/>
          </w:tcPr>
          <w:p w14:paraId="4303C64F" w14:textId="77777777" w:rsidR="0003180A" w:rsidRDefault="0003180A" w:rsidP="00400F9C">
            <w:pPr>
              <w:spacing w:line="360" w:lineRule="auto"/>
              <w:jc w:val="both"/>
              <w:rPr>
                <w:rFonts w:ascii="Times New Roman" w:hAnsi="Times New Roman"/>
                <w:sz w:val="24"/>
                <w:szCs w:val="24"/>
              </w:rPr>
            </w:pPr>
            <w:r>
              <w:rPr>
                <w:rFonts w:ascii="Times New Roman" w:hAnsi="Times New Roman"/>
                <w:sz w:val="24"/>
                <w:szCs w:val="24"/>
              </w:rPr>
              <w:t>0,562</w:t>
            </w:r>
          </w:p>
          <w:p w14:paraId="2CA3042E" w14:textId="02DB99E6" w:rsidR="0003180A" w:rsidRDefault="0003180A" w:rsidP="00400F9C">
            <w:pPr>
              <w:spacing w:line="360" w:lineRule="auto"/>
              <w:jc w:val="both"/>
              <w:rPr>
                <w:rFonts w:ascii="Times New Roman" w:hAnsi="Times New Roman"/>
                <w:sz w:val="24"/>
                <w:szCs w:val="24"/>
              </w:rPr>
            </w:pPr>
            <w:r>
              <w:rPr>
                <w:rFonts w:ascii="Times New Roman" w:hAnsi="Times New Roman"/>
                <w:sz w:val="24"/>
                <w:szCs w:val="24"/>
              </w:rPr>
              <w:t>(0,001)</w:t>
            </w:r>
          </w:p>
        </w:tc>
        <w:tc>
          <w:tcPr>
            <w:tcW w:w="1306" w:type="dxa"/>
          </w:tcPr>
          <w:p w14:paraId="3DABADD3" w14:textId="77777777" w:rsidR="0003180A" w:rsidRDefault="0003180A" w:rsidP="00400F9C">
            <w:pPr>
              <w:spacing w:line="360" w:lineRule="auto"/>
              <w:jc w:val="both"/>
              <w:rPr>
                <w:rFonts w:ascii="Times New Roman" w:hAnsi="Times New Roman"/>
                <w:sz w:val="24"/>
                <w:szCs w:val="24"/>
              </w:rPr>
            </w:pPr>
            <w:r>
              <w:rPr>
                <w:rFonts w:ascii="Times New Roman" w:hAnsi="Times New Roman"/>
                <w:sz w:val="24"/>
                <w:szCs w:val="24"/>
              </w:rPr>
              <w:t>0,555</w:t>
            </w:r>
          </w:p>
          <w:p w14:paraId="04E41961" w14:textId="7E384401" w:rsidR="0003180A" w:rsidRDefault="0003180A" w:rsidP="00400F9C">
            <w:pPr>
              <w:spacing w:line="360" w:lineRule="auto"/>
              <w:jc w:val="both"/>
              <w:rPr>
                <w:rFonts w:ascii="Times New Roman" w:hAnsi="Times New Roman"/>
                <w:sz w:val="24"/>
                <w:szCs w:val="24"/>
              </w:rPr>
            </w:pPr>
            <w:r>
              <w:rPr>
                <w:rFonts w:ascii="Times New Roman" w:hAnsi="Times New Roman"/>
                <w:sz w:val="24"/>
                <w:szCs w:val="24"/>
              </w:rPr>
              <w:t>(0,001)</w:t>
            </w:r>
          </w:p>
        </w:tc>
        <w:tc>
          <w:tcPr>
            <w:tcW w:w="1306" w:type="dxa"/>
          </w:tcPr>
          <w:p w14:paraId="4F95CEBA" w14:textId="77777777" w:rsidR="0003180A" w:rsidRDefault="0003180A" w:rsidP="00400F9C">
            <w:pPr>
              <w:spacing w:line="360" w:lineRule="auto"/>
              <w:jc w:val="both"/>
              <w:rPr>
                <w:rFonts w:ascii="Times New Roman" w:hAnsi="Times New Roman"/>
                <w:sz w:val="24"/>
                <w:szCs w:val="24"/>
              </w:rPr>
            </w:pPr>
            <w:r>
              <w:rPr>
                <w:rFonts w:ascii="Times New Roman" w:hAnsi="Times New Roman"/>
                <w:sz w:val="24"/>
                <w:szCs w:val="24"/>
              </w:rPr>
              <w:t>0,541</w:t>
            </w:r>
          </w:p>
          <w:p w14:paraId="3DAE4859" w14:textId="412892DB" w:rsidR="0003180A" w:rsidRDefault="0003180A" w:rsidP="00400F9C">
            <w:pPr>
              <w:spacing w:line="360" w:lineRule="auto"/>
              <w:jc w:val="both"/>
              <w:rPr>
                <w:rFonts w:ascii="Times New Roman" w:hAnsi="Times New Roman"/>
                <w:sz w:val="24"/>
                <w:szCs w:val="24"/>
              </w:rPr>
            </w:pPr>
            <w:r>
              <w:rPr>
                <w:rFonts w:ascii="Times New Roman" w:hAnsi="Times New Roman"/>
                <w:sz w:val="24"/>
                <w:szCs w:val="24"/>
              </w:rPr>
              <w:t>(0,001)</w:t>
            </w:r>
          </w:p>
        </w:tc>
      </w:tr>
    </w:tbl>
    <w:p w14:paraId="0F423FFA" w14:textId="06750B1B" w:rsidR="00CD3E81" w:rsidRDefault="00BB70ED" w:rsidP="00400F9C">
      <w:pPr>
        <w:spacing w:after="0" w:line="240" w:lineRule="auto"/>
        <w:jc w:val="both"/>
        <w:rPr>
          <w:rFonts w:ascii="Times New Roman" w:hAnsi="Times New Roman"/>
          <w:sz w:val="24"/>
          <w:szCs w:val="24"/>
        </w:rPr>
      </w:pPr>
      <w:r w:rsidRPr="00400F9C">
        <w:rPr>
          <w:rFonts w:ascii="Times New Roman" w:hAnsi="Times New Roman" w:cs="Times New Roman"/>
          <w:noProof/>
          <w:sz w:val="24"/>
          <w:szCs w:val="24"/>
        </w:rPr>
        <w:t>Fonte</w:t>
      </w:r>
      <w:r w:rsidR="00CD3E81" w:rsidRPr="00400F9C">
        <w:rPr>
          <w:rFonts w:ascii="Times New Roman" w:hAnsi="Times New Roman" w:cs="Times New Roman"/>
          <w:noProof/>
          <w:sz w:val="24"/>
          <w:szCs w:val="24"/>
        </w:rPr>
        <w:t xml:space="preserve">: </w:t>
      </w:r>
      <w:r w:rsidRPr="00400F9C">
        <w:rPr>
          <w:rFonts w:ascii="Times New Roman" w:hAnsi="Times New Roman" w:cs="Times New Roman"/>
          <w:noProof/>
          <w:sz w:val="24"/>
          <w:szCs w:val="24"/>
        </w:rPr>
        <w:t>INEP. Elaboração Própria</w:t>
      </w:r>
      <w:r w:rsidR="00CD3E81" w:rsidRPr="00400F9C">
        <w:rPr>
          <w:rFonts w:ascii="Times New Roman" w:hAnsi="Times New Roman" w:cs="Times New Roman"/>
          <w:noProof/>
          <w:sz w:val="24"/>
          <w:szCs w:val="24"/>
        </w:rPr>
        <w:t>. Nota: AI - Anos Iniciais, AF- Anos Finais.</w:t>
      </w:r>
      <w:r w:rsidR="00CD3E81" w:rsidRPr="00400F9C">
        <w:rPr>
          <w:rFonts w:ascii="Times New Roman" w:hAnsi="Times New Roman"/>
          <w:sz w:val="24"/>
          <w:szCs w:val="24"/>
        </w:rPr>
        <w:t xml:space="preserve"> p-valor entre parênteses, pseudo-significância, com 999 permutações</w:t>
      </w:r>
    </w:p>
    <w:p w14:paraId="5337C9AC" w14:textId="77777777" w:rsidR="00400F9C" w:rsidRPr="00400F9C" w:rsidRDefault="00400F9C" w:rsidP="00400F9C">
      <w:pPr>
        <w:spacing w:after="0" w:line="240" w:lineRule="auto"/>
        <w:jc w:val="both"/>
        <w:rPr>
          <w:rFonts w:ascii="Times New Roman" w:hAnsi="Times New Roman" w:cs="Times New Roman"/>
          <w:noProof/>
          <w:sz w:val="24"/>
          <w:szCs w:val="24"/>
        </w:rPr>
      </w:pPr>
    </w:p>
    <w:p w14:paraId="20A5AB9A" w14:textId="77777777" w:rsidR="00B54B76" w:rsidRDefault="00CD3E81" w:rsidP="003C46AE">
      <w:pPr>
        <w:spacing w:line="360" w:lineRule="auto"/>
        <w:ind w:firstLine="567"/>
        <w:jc w:val="both"/>
        <w:rPr>
          <w:rFonts w:ascii="Times New Roman" w:hAnsi="Times New Roman"/>
          <w:noProof/>
          <w:sz w:val="24"/>
          <w:szCs w:val="24"/>
        </w:rPr>
      </w:pPr>
      <w:r w:rsidRPr="00FF184F">
        <w:rPr>
          <w:rFonts w:ascii="Times New Roman" w:hAnsi="Times New Roman"/>
          <w:sz w:val="24"/>
          <w:szCs w:val="24"/>
        </w:rPr>
        <w:t>Para estimar a significância do índice I Global de Moran, foi realizado o teste de pseudo-significância, com 999 permutações. A distribuição simulada do teste resultou em valor de </w:t>
      </w:r>
      <w:r w:rsidRPr="00FF184F">
        <w:rPr>
          <w:rFonts w:ascii="Times New Roman" w:hAnsi="Times New Roman"/>
          <w:i/>
          <w:iCs/>
          <w:sz w:val="24"/>
          <w:szCs w:val="24"/>
        </w:rPr>
        <w:t>p-value</w:t>
      </w:r>
      <w:r w:rsidRPr="00FF184F">
        <w:rPr>
          <w:rFonts w:ascii="Times New Roman" w:hAnsi="Times New Roman"/>
          <w:sz w:val="24"/>
          <w:szCs w:val="24"/>
        </w:rPr>
        <w:t> = 0,001, indicando que o conjunto de dados possui significância estatística</w:t>
      </w:r>
      <w:r>
        <w:rPr>
          <w:rFonts w:ascii="Times New Roman" w:hAnsi="Times New Roman"/>
          <w:sz w:val="24"/>
          <w:szCs w:val="24"/>
        </w:rPr>
        <w:t xml:space="preserve">. Dessa forma, </w:t>
      </w:r>
      <w:r w:rsidRPr="00FF184F">
        <w:rPr>
          <w:rFonts w:ascii="Times New Roman" w:hAnsi="Times New Roman"/>
          <w:sz w:val="24"/>
          <w:szCs w:val="24"/>
        </w:rPr>
        <w:t>rejeita</w:t>
      </w:r>
      <w:r>
        <w:rPr>
          <w:rFonts w:ascii="Times New Roman" w:hAnsi="Times New Roman"/>
          <w:sz w:val="24"/>
          <w:szCs w:val="24"/>
        </w:rPr>
        <w:t>-se</w:t>
      </w:r>
      <w:r w:rsidRPr="00FF184F">
        <w:rPr>
          <w:rFonts w:ascii="Times New Roman" w:hAnsi="Times New Roman"/>
          <w:sz w:val="24"/>
          <w:szCs w:val="24"/>
        </w:rPr>
        <w:t xml:space="preserve"> a hipótese nula quanto </w:t>
      </w:r>
      <w:r>
        <w:rPr>
          <w:rFonts w:ascii="Times New Roman" w:hAnsi="Times New Roman"/>
          <w:sz w:val="24"/>
          <w:szCs w:val="24"/>
        </w:rPr>
        <w:t>de aleatoriedade espacial, indicando autocorrelação espacial.</w:t>
      </w:r>
      <w:r w:rsidRPr="0023156B">
        <w:rPr>
          <w:rFonts w:ascii="Times New Roman" w:hAnsi="Times New Roman"/>
          <w:sz w:val="24"/>
          <w:szCs w:val="24"/>
        </w:rPr>
        <w:t xml:space="preserve"> </w:t>
      </w:r>
      <w:r>
        <w:rPr>
          <w:rFonts w:ascii="Times New Roman" w:hAnsi="Times New Roman"/>
          <w:sz w:val="24"/>
          <w:szCs w:val="24"/>
        </w:rPr>
        <w:t xml:space="preserve"> </w:t>
      </w:r>
      <w:r w:rsidRPr="00CC527F">
        <w:rPr>
          <w:rFonts w:ascii="Times New Roman" w:hAnsi="Times New Roman"/>
          <w:sz w:val="24"/>
          <w:szCs w:val="24"/>
        </w:rPr>
        <w:t>Parte-se então</w:t>
      </w:r>
      <w:r>
        <w:rPr>
          <w:rFonts w:ascii="Times New Roman" w:hAnsi="Times New Roman"/>
          <w:b/>
          <w:bCs/>
          <w:noProof/>
          <w:sz w:val="24"/>
          <w:szCs w:val="24"/>
        </w:rPr>
        <w:t xml:space="preserve"> </w:t>
      </w:r>
      <w:r w:rsidRPr="00CC527F">
        <w:rPr>
          <w:rFonts w:ascii="Times New Roman" w:hAnsi="Times New Roman"/>
          <w:noProof/>
          <w:sz w:val="24"/>
          <w:szCs w:val="24"/>
        </w:rPr>
        <w:t xml:space="preserve">para </w:t>
      </w:r>
      <w:r>
        <w:rPr>
          <w:rFonts w:ascii="Times New Roman" w:hAnsi="Times New Roman"/>
          <w:noProof/>
          <w:sz w:val="24"/>
          <w:szCs w:val="24"/>
        </w:rPr>
        <w:t>a verificação desses valores na forma do diagrama de dispersão do I de Moran Global univariado, conforme a figura 2.</w:t>
      </w:r>
      <w:r w:rsidR="00E64B28">
        <w:rPr>
          <w:rFonts w:ascii="Times New Roman" w:hAnsi="Times New Roman"/>
          <w:noProof/>
          <w:sz w:val="24"/>
          <w:szCs w:val="24"/>
        </w:rPr>
        <w:t xml:space="preserve"> </w:t>
      </w:r>
    </w:p>
    <w:p w14:paraId="3BA59F47" w14:textId="01821B17" w:rsidR="00410E44" w:rsidRDefault="00410E44" w:rsidP="003C46AE">
      <w:pPr>
        <w:spacing w:line="360" w:lineRule="auto"/>
        <w:ind w:firstLine="567"/>
        <w:jc w:val="both"/>
        <w:rPr>
          <w:rFonts w:ascii="Times New Roman" w:hAnsi="Times New Roman"/>
          <w:sz w:val="24"/>
          <w:szCs w:val="24"/>
        </w:rPr>
      </w:pPr>
      <w:r w:rsidRPr="0068483A">
        <w:rPr>
          <w:rFonts w:ascii="Times New Roman" w:hAnsi="Times New Roman"/>
          <w:sz w:val="24"/>
          <w:szCs w:val="24"/>
        </w:rPr>
        <w:t xml:space="preserve">Os valores calculados para </w:t>
      </w:r>
      <w:r>
        <w:rPr>
          <w:rFonts w:ascii="Times New Roman" w:hAnsi="Times New Roman"/>
          <w:sz w:val="24"/>
          <w:szCs w:val="24"/>
        </w:rPr>
        <w:t>ambos</w:t>
      </w:r>
      <w:r w:rsidRPr="0068483A">
        <w:rPr>
          <w:rFonts w:ascii="Times New Roman" w:hAnsi="Times New Roman"/>
          <w:sz w:val="24"/>
          <w:szCs w:val="24"/>
        </w:rPr>
        <w:t xml:space="preserve"> </w:t>
      </w:r>
      <w:r>
        <w:rPr>
          <w:rFonts w:ascii="Times New Roman" w:hAnsi="Times New Roman"/>
          <w:sz w:val="24"/>
          <w:szCs w:val="24"/>
        </w:rPr>
        <w:t>os anos</w:t>
      </w:r>
      <w:r w:rsidRPr="0068483A">
        <w:rPr>
          <w:rFonts w:ascii="Times New Roman" w:hAnsi="Times New Roman"/>
          <w:sz w:val="24"/>
          <w:szCs w:val="24"/>
        </w:rPr>
        <w:t xml:space="preserve"> foram positivos, revelando que </w:t>
      </w:r>
      <w:r>
        <w:rPr>
          <w:rFonts w:ascii="Times New Roman" w:hAnsi="Times New Roman"/>
          <w:sz w:val="24"/>
          <w:szCs w:val="24"/>
        </w:rPr>
        <w:t xml:space="preserve">o Ideb </w:t>
      </w:r>
      <w:r w:rsidRPr="0068483A">
        <w:rPr>
          <w:rFonts w:ascii="Times New Roman" w:hAnsi="Times New Roman"/>
          <w:sz w:val="24"/>
          <w:szCs w:val="24"/>
        </w:rPr>
        <w:t>est</w:t>
      </w:r>
      <w:r>
        <w:rPr>
          <w:rFonts w:ascii="Times New Roman" w:hAnsi="Times New Roman"/>
          <w:sz w:val="24"/>
          <w:szCs w:val="24"/>
        </w:rPr>
        <w:t xml:space="preserve">á </w:t>
      </w:r>
      <w:r w:rsidRPr="0068483A">
        <w:rPr>
          <w:rFonts w:ascii="Times New Roman" w:hAnsi="Times New Roman"/>
          <w:sz w:val="24"/>
          <w:szCs w:val="24"/>
        </w:rPr>
        <w:t>autocorrelacionad</w:t>
      </w:r>
      <w:r>
        <w:rPr>
          <w:rFonts w:ascii="Times New Roman" w:hAnsi="Times New Roman"/>
          <w:sz w:val="24"/>
          <w:szCs w:val="24"/>
        </w:rPr>
        <w:t>o</w:t>
      </w:r>
      <w:r w:rsidRPr="0068483A">
        <w:rPr>
          <w:rFonts w:ascii="Times New Roman" w:hAnsi="Times New Roman"/>
          <w:sz w:val="24"/>
          <w:szCs w:val="24"/>
        </w:rPr>
        <w:t xml:space="preserve"> positivamente</w:t>
      </w:r>
      <w:r>
        <w:rPr>
          <w:rFonts w:ascii="Times New Roman" w:hAnsi="Times New Roman"/>
          <w:sz w:val="24"/>
          <w:szCs w:val="24"/>
        </w:rPr>
        <w:t xml:space="preserve"> </w:t>
      </w:r>
      <w:r w:rsidRPr="0068483A">
        <w:rPr>
          <w:rFonts w:ascii="Times New Roman" w:hAnsi="Times New Roman"/>
          <w:sz w:val="24"/>
          <w:szCs w:val="24"/>
        </w:rPr>
        <w:t>no espaço</w:t>
      </w:r>
      <w:r>
        <w:rPr>
          <w:rFonts w:ascii="Times New Roman" w:hAnsi="Times New Roman"/>
          <w:sz w:val="24"/>
          <w:szCs w:val="24"/>
        </w:rPr>
        <w:t>, ou seja, está ocorrendo uma concentração da qualidade da educação pública no território brasileiro, de forma que locais com alto (ou baixo) Ideb estão cercados por regiões com comportamento semelhante, formando áreas homogêneas.</w:t>
      </w:r>
    </w:p>
    <w:p w14:paraId="7755E039" w14:textId="3487E49E" w:rsidR="003C46AE" w:rsidRDefault="003C46AE" w:rsidP="003C46AE">
      <w:pPr>
        <w:spacing w:line="360" w:lineRule="auto"/>
        <w:jc w:val="both"/>
        <w:rPr>
          <w:rFonts w:ascii="Times New Roman" w:hAnsi="Times New Roman"/>
          <w:sz w:val="24"/>
          <w:szCs w:val="24"/>
        </w:rPr>
      </w:pPr>
    </w:p>
    <w:p w14:paraId="5C5A54CB" w14:textId="77777777" w:rsidR="003C46AE" w:rsidRDefault="003C46AE" w:rsidP="003C46AE">
      <w:pPr>
        <w:spacing w:line="360" w:lineRule="auto"/>
        <w:ind w:firstLine="567"/>
        <w:jc w:val="both"/>
        <w:rPr>
          <w:rFonts w:ascii="Times New Roman" w:hAnsi="Times New Roman"/>
          <w:noProof/>
          <w:sz w:val="24"/>
          <w:szCs w:val="24"/>
        </w:rPr>
      </w:pPr>
    </w:p>
    <w:p w14:paraId="71FAC4CD" w14:textId="076CFBE9" w:rsidR="00410E44" w:rsidRPr="00E64B28" w:rsidRDefault="00410E44" w:rsidP="00410E44">
      <w:pPr>
        <w:spacing w:line="360" w:lineRule="auto"/>
        <w:jc w:val="both"/>
        <w:rPr>
          <w:rFonts w:ascii="Times New Roman" w:hAnsi="Times New Roman"/>
          <w:noProof/>
          <w:sz w:val="24"/>
          <w:szCs w:val="24"/>
        </w:rPr>
      </w:pPr>
      <w:r w:rsidRPr="00E64B28">
        <w:rPr>
          <w:rFonts w:ascii="Times New Roman" w:hAnsi="Times New Roman"/>
          <w:sz w:val="24"/>
          <w:szCs w:val="24"/>
        </w:rPr>
        <w:t>Figura 2 - Dispersão do I de Moran Global para o Ideb nos anos finais e iniciais de 2011-2021</w:t>
      </w:r>
    </w:p>
    <w:p w14:paraId="577C9A9A" w14:textId="1DA8F94E" w:rsidR="00410E44" w:rsidRPr="00410E44" w:rsidRDefault="00410E44" w:rsidP="00410E44">
      <w:pPr>
        <w:spacing w:after="0" w:line="360" w:lineRule="auto"/>
        <w:jc w:val="both"/>
        <w:rPr>
          <w:rFonts w:ascii="Times New Roman" w:hAnsi="Times New Roman"/>
          <w:sz w:val="20"/>
          <w:szCs w:val="20"/>
        </w:rPr>
      </w:pPr>
      <w:r>
        <w:rPr>
          <w:rFonts w:ascii="Times New Roman" w:hAnsi="Times New Roman"/>
          <w:noProof/>
          <w:sz w:val="24"/>
          <w:szCs w:val="24"/>
        </w:rPr>
        <w:drawing>
          <wp:inline distT="0" distB="0" distL="0" distR="0" wp14:anchorId="0A793589" wp14:editId="15643AFA">
            <wp:extent cx="4572000" cy="5257800"/>
            <wp:effectExtent l="19050" t="19050" r="19050" b="19050"/>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l="7208" t="3071" r="4067" b="2730"/>
                    <a:stretch/>
                  </pic:blipFill>
                  <pic:spPr bwMode="auto">
                    <a:xfrm>
                      <a:off x="0" y="0"/>
                      <a:ext cx="4572000" cy="5257800"/>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p>
    <w:p w14:paraId="0AEBAAB4" w14:textId="60B1242B" w:rsidR="00B4330A" w:rsidRDefault="006B2E06" w:rsidP="00410E44">
      <w:pPr>
        <w:spacing w:after="0" w:line="360" w:lineRule="auto"/>
        <w:rPr>
          <w:rFonts w:ascii="Times New Roman" w:hAnsi="Times New Roman" w:cs="Times New Roman"/>
          <w:noProof/>
          <w:sz w:val="24"/>
          <w:szCs w:val="24"/>
        </w:rPr>
      </w:pPr>
      <w:r w:rsidRPr="00410E44">
        <w:rPr>
          <w:rFonts w:ascii="Times New Roman" w:hAnsi="Times New Roman" w:cs="Times New Roman"/>
          <w:noProof/>
          <w:sz w:val="24"/>
          <w:szCs w:val="24"/>
        </w:rPr>
        <w:t>Fonte: Elaborado pelos autores</w:t>
      </w:r>
    </w:p>
    <w:p w14:paraId="06C5672E" w14:textId="77777777" w:rsidR="00B215DA" w:rsidRPr="00410E44" w:rsidRDefault="00B215DA" w:rsidP="00410E44">
      <w:pPr>
        <w:spacing w:after="0" w:line="360" w:lineRule="auto"/>
        <w:rPr>
          <w:rFonts w:ascii="Times New Roman" w:hAnsi="Times New Roman" w:cs="Times New Roman"/>
          <w:noProof/>
          <w:sz w:val="24"/>
          <w:szCs w:val="24"/>
        </w:rPr>
      </w:pPr>
    </w:p>
    <w:p w14:paraId="68BCA148" w14:textId="58579184" w:rsidR="00F20CDE" w:rsidRDefault="00687525" w:rsidP="003C46AE">
      <w:pPr>
        <w:spacing w:line="360" w:lineRule="auto"/>
        <w:ind w:firstLine="567"/>
        <w:jc w:val="both"/>
        <w:rPr>
          <w:rFonts w:ascii="Times New Roman" w:hAnsi="Times New Roman"/>
          <w:sz w:val="24"/>
          <w:szCs w:val="24"/>
        </w:rPr>
      </w:pPr>
      <w:r w:rsidRPr="006E3194">
        <w:rPr>
          <w:rFonts w:ascii="Times New Roman" w:hAnsi="Times New Roman"/>
          <w:sz w:val="24"/>
          <w:szCs w:val="24"/>
        </w:rPr>
        <w:t>Um ponto interessante a se destacar é que o ano de 2011 apresentou um valor maior do Índice de Moran para ambas as etapas de ensino analisadas, enquanto que 2021 apresenta valores menores, indicando uma diminuição da concentração da qualidade da educação pública no período recente.</w:t>
      </w:r>
      <w:r w:rsidR="00E64B28">
        <w:rPr>
          <w:rFonts w:ascii="Times New Roman" w:hAnsi="Times New Roman"/>
          <w:sz w:val="24"/>
          <w:szCs w:val="24"/>
        </w:rPr>
        <w:t xml:space="preserve"> </w:t>
      </w:r>
      <w:r w:rsidR="00155413">
        <w:rPr>
          <w:rFonts w:ascii="Times New Roman" w:hAnsi="Times New Roman"/>
          <w:noProof/>
          <w:sz w:val="24"/>
          <w:szCs w:val="24"/>
        </w:rPr>
        <w:t xml:space="preserve">Dessa forma, a fim de verificar os padrões espaciais e as regiões de maior concentração da qualidade da educação pública,  a figura  3 </w:t>
      </w:r>
      <w:r w:rsidR="00155413">
        <w:rPr>
          <w:rFonts w:ascii="Times New Roman" w:hAnsi="Times New Roman"/>
          <w:sz w:val="24"/>
          <w:szCs w:val="24"/>
        </w:rPr>
        <w:t xml:space="preserve">mostra o Índice de Moran Local Univariado, apresentadas nos mapas de </w:t>
      </w:r>
      <w:r w:rsidR="00155413" w:rsidRPr="00273FC1">
        <w:rPr>
          <w:rFonts w:ascii="Times New Roman" w:hAnsi="Times New Roman"/>
          <w:i/>
          <w:iCs/>
          <w:sz w:val="24"/>
          <w:szCs w:val="24"/>
        </w:rPr>
        <w:t>cluster</w:t>
      </w:r>
      <w:r w:rsidR="00155413">
        <w:rPr>
          <w:rFonts w:ascii="Times New Roman" w:hAnsi="Times New Roman"/>
          <w:sz w:val="24"/>
          <w:szCs w:val="24"/>
        </w:rPr>
        <w:t xml:space="preserve"> LISA.</w:t>
      </w:r>
      <w:r w:rsidR="00C82885">
        <w:rPr>
          <w:rFonts w:ascii="Times New Roman" w:hAnsi="Times New Roman"/>
          <w:sz w:val="24"/>
          <w:szCs w:val="24"/>
        </w:rPr>
        <w:t xml:space="preserve"> </w:t>
      </w:r>
    </w:p>
    <w:p w14:paraId="0B5B6D0A" w14:textId="236C4E81" w:rsidR="00CD6ACD" w:rsidRDefault="00C82885" w:rsidP="003C46AE">
      <w:pPr>
        <w:spacing w:line="360" w:lineRule="auto"/>
        <w:ind w:firstLine="567"/>
        <w:jc w:val="both"/>
        <w:rPr>
          <w:rFonts w:ascii="Times New Roman" w:hAnsi="Times New Roman"/>
          <w:sz w:val="24"/>
          <w:szCs w:val="24"/>
        </w:rPr>
      </w:pPr>
      <w:r w:rsidRPr="00C82885">
        <w:rPr>
          <w:rFonts w:ascii="Times New Roman" w:hAnsi="Times New Roman"/>
          <w:sz w:val="24"/>
          <w:szCs w:val="24"/>
        </w:rPr>
        <w:lastRenderedPageBreak/>
        <w:t xml:space="preserve">Os </w:t>
      </w:r>
      <w:r w:rsidRPr="00C82885">
        <w:rPr>
          <w:rFonts w:ascii="Times New Roman" w:hAnsi="Times New Roman"/>
          <w:i/>
          <w:iCs/>
          <w:sz w:val="24"/>
          <w:szCs w:val="24"/>
        </w:rPr>
        <w:t xml:space="preserve">clusters </w:t>
      </w:r>
      <w:r w:rsidRPr="00C82885">
        <w:rPr>
          <w:rFonts w:ascii="Times New Roman" w:hAnsi="Times New Roman"/>
          <w:sz w:val="24"/>
          <w:szCs w:val="24"/>
        </w:rPr>
        <w:t>podem ser formados a partir de quatro tipos de padrões diferentes: alto-alto,</w:t>
      </w:r>
      <w:r>
        <w:rPr>
          <w:rFonts w:ascii="Times New Roman" w:hAnsi="Times New Roman"/>
          <w:sz w:val="24"/>
          <w:szCs w:val="24"/>
        </w:rPr>
        <w:t xml:space="preserve"> </w:t>
      </w:r>
      <w:r w:rsidRPr="00C82885">
        <w:rPr>
          <w:rFonts w:ascii="Times New Roman" w:hAnsi="Times New Roman"/>
          <w:sz w:val="24"/>
          <w:szCs w:val="24"/>
        </w:rPr>
        <w:t>baixo-baixo, alto-baixo e baixo-alto</w:t>
      </w:r>
      <w:r>
        <w:rPr>
          <w:rFonts w:ascii="Times New Roman" w:hAnsi="Times New Roman"/>
          <w:sz w:val="24"/>
          <w:szCs w:val="24"/>
        </w:rPr>
        <w:t xml:space="preserve">. </w:t>
      </w:r>
      <w:r w:rsidRPr="00C82885">
        <w:rPr>
          <w:rFonts w:ascii="Times New Roman" w:hAnsi="Times New Roman"/>
          <w:sz w:val="24"/>
          <w:szCs w:val="24"/>
        </w:rPr>
        <w:t>As aglomerações do tipo alto-alto indicam que, por</w:t>
      </w:r>
      <w:r>
        <w:rPr>
          <w:rFonts w:ascii="Times New Roman" w:hAnsi="Times New Roman"/>
          <w:sz w:val="24"/>
          <w:szCs w:val="24"/>
        </w:rPr>
        <w:t xml:space="preserve"> </w:t>
      </w:r>
      <w:r w:rsidRPr="00C82885">
        <w:rPr>
          <w:rFonts w:ascii="Times New Roman" w:hAnsi="Times New Roman"/>
          <w:sz w:val="24"/>
          <w:szCs w:val="24"/>
        </w:rPr>
        <w:t>exemplo, regiões com alt</w:t>
      </w:r>
      <w:r>
        <w:rPr>
          <w:rFonts w:ascii="Times New Roman" w:hAnsi="Times New Roman"/>
          <w:sz w:val="24"/>
          <w:szCs w:val="24"/>
        </w:rPr>
        <w:t xml:space="preserve">o valor do Ideb </w:t>
      </w:r>
      <w:r w:rsidRPr="00C82885">
        <w:rPr>
          <w:rFonts w:ascii="Times New Roman" w:hAnsi="Times New Roman"/>
          <w:sz w:val="24"/>
          <w:szCs w:val="24"/>
        </w:rPr>
        <w:t>estão próximas de</w:t>
      </w:r>
      <w:r>
        <w:rPr>
          <w:rFonts w:ascii="Times New Roman" w:hAnsi="Times New Roman"/>
          <w:sz w:val="24"/>
          <w:szCs w:val="24"/>
        </w:rPr>
        <w:t xml:space="preserve"> </w:t>
      </w:r>
      <w:r w:rsidRPr="00C82885">
        <w:rPr>
          <w:rFonts w:ascii="Times New Roman" w:hAnsi="Times New Roman"/>
          <w:sz w:val="24"/>
          <w:szCs w:val="24"/>
        </w:rPr>
        <w:t>outras regiões com alt</w:t>
      </w:r>
      <w:r>
        <w:rPr>
          <w:rFonts w:ascii="Times New Roman" w:hAnsi="Times New Roman"/>
          <w:sz w:val="24"/>
          <w:szCs w:val="24"/>
        </w:rPr>
        <w:t>o valor do indicador</w:t>
      </w:r>
      <w:r w:rsidRPr="00C82885">
        <w:rPr>
          <w:rFonts w:ascii="Times New Roman" w:hAnsi="Times New Roman"/>
          <w:sz w:val="24"/>
          <w:szCs w:val="24"/>
        </w:rPr>
        <w:t>. O contrário ocorre nos casos de padrões baixo</w:t>
      </w:r>
      <w:r>
        <w:rPr>
          <w:rFonts w:ascii="Times New Roman" w:hAnsi="Times New Roman"/>
          <w:sz w:val="24"/>
          <w:szCs w:val="24"/>
        </w:rPr>
        <w:t>-</w:t>
      </w:r>
      <w:r w:rsidRPr="00C82885">
        <w:rPr>
          <w:rFonts w:ascii="Times New Roman" w:hAnsi="Times New Roman"/>
          <w:sz w:val="24"/>
          <w:szCs w:val="24"/>
        </w:rPr>
        <w:t>baixo, onde regiões com baix</w:t>
      </w:r>
      <w:r>
        <w:rPr>
          <w:rFonts w:ascii="Times New Roman" w:hAnsi="Times New Roman"/>
          <w:sz w:val="24"/>
          <w:szCs w:val="24"/>
        </w:rPr>
        <w:t xml:space="preserve">a qualidade educacional </w:t>
      </w:r>
      <w:r w:rsidRPr="00C82885">
        <w:rPr>
          <w:rFonts w:ascii="Times New Roman" w:hAnsi="Times New Roman"/>
          <w:sz w:val="24"/>
          <w:szCs w:val="24"/>
        </w:rPr>
        <w:t>estão também próximas de</w:t>
      </w:r>
      <w:r>
        <w:rPr>
          <w:rFonts w:ascii="Times New Roman" w:hAnsi="Times New Roman"/>
          <w:sz w:val="24"/>
          <w:szCs w:val="24"/>
        </w:rPr>
        <w:t xml:space="preserve"> </w:t>
      </w:r>
      <w:r w:rsidRPr="00C82885">
        <w:rPr>
          <w:rFonts w:ascii="Times New Roman" w:hAnsi="Times New Roman"/>
          <w:sz w:val="24"/>
          <w:szCs w:val="24"/>
        </w:rPr>
        <w:t>regiões</w:t>
      </w:r>
      <w:r>
        <w:rPr>
          <w:rFonts w:ascii="Times New Roman" w:hAnsi="Times New Roman"/>
          <w:sz w:val="24"/>
          <w:szCs w:val="24"/>
        </w:rPr>
        <w:t xml:space="preserve"> que apresentam baixa qualidade educacional</w:t>
      </w:r>
      <w:r w:rsidRPr="00C82885">
        <w:rPr>
          <w:rFonts w:ascii="Times New Roman" w:hAnsi="Times New Roman"/>
          <w:sz w:val="24"/>
          <w:szCs w:val="24"/>
        </w:rPr>
        <w:t>. Já os padrões alto-baixo e</w:t>
      </w:r>
      <w:r>
        <w:rPr>
          <w:rFonts w:ascii="Times New Roman" w:hAnsi="Times New Roman"/>
          <w:sz w:val="24"/>
          <w:szCs w:val="24"/>
        </w:rPr>
        <w:t xml:space="preserve"> </w:t>
      </w:r>
      <w:r w:rsidRPr="00C82885">
        <w:rPr>
          <w:rFonts w:ascii="Times New Roman" w:hAnsi="Times New Roman"/>
          <w:sz w:val="24"/>
          <w:szCs w:val="24"/>
        </w:rPr>
        <w:t>baixo-alto indicam regiões com alt</w:t>
      </w:r>
      <w:r>
        <w:rPr>
          <w:rFonts w:ascii="Times New Roman" w:hAnsi="Times New Roman"/>
          <w:sz w:val="24"/>
          <w:szCs w:val="24"/>
        </w:rPr>
        <w:t>o</w:t>
      </w:r>
      <w:r w:rsidRPr="00C82885">
        <w:rPr>
          <w:rFonts w:ascii="Times New Roman" w:hAnsi="Times New Roman"/>
          <w:sz w:val="24"/>
          <w:szCs w:val="24"/>
        </w:rPr>
        <w:t xml:space="preserve"> </w:t>
      </w:r>
      <w:r>
        <w:rPr>
          <w:rFonts w:ascii="Times New Roman" w:hAnsi="Times New Roman"/>
          <w:sz w:val="24"/>
          <w:szCs w:val="24"/>
        </w:rPr>
        <w:t>Ideb</w:t>
      </w:r>
      <w:r w:rsidRPr="00C82885">
        <w:rPr>
          <w:rFonts w:ascii="Times New Roman" w:hAnsi="Times New Roman"/>
          <w:sz w:val="24"/>
          <w:szCs w:val="24"/>
        </w:rPr>
        <w:t xml:space="preserve"> estão aproximadas de outras regiões</w:t>
      </w:r>
      <w:r>
        <w:rPr>
          <w:rFonts w:ascii="Times New Roman" w:hAnsi="Times New Roman"/>
          <w:sz w:val="24"/>
          <w:szCs w:val="24"/>
        </w:rPr>
        <w:t xml:space="preserve"> </w:t>
      </w:r>
      <w:r w:rsidRPr="00C82885">
        <w:rPr>
          <w:rFonts w:ascii="Times New Roman" w:hAnsi="Times New Roman"/>
          <w:sz w:val="24"/>
          <w:szCs w:val="24"/>
        </w:rPr>
        <w:t>com baix</w:t>
      </w:r>
      <w:r>
        <w:rPr>
          <w:rFonts w:ascii="Times New Roman" w:hAnsi="Times New Roman"/>
          <w:sz w:val="24"/>
          <w:szCs w:val="24"/>
        </w:rPr>
        <w:t>o Ideb</w:t>
      </w:r>
      <w:r w:rsidRPr="00C82885">
        <w:rPr>
          <w:rFonts w:ascii="Times New Roman" w:hAnsi="Times New Roman"/>
          <w:sz w:val="24"/>
          <w:szCs w:val="24"/>
        </w:rPr>
        <w:t>, e vice-versa</w:t>
      </w:r>
      <w:r>
        <w:rPr>
          <w:rFonts w:ascii="Times New Roman" w:hAnsi="Times New Roman"/>
          <w:sz w:val="24"/>
          <w:szCs w:val="24"/>
        </w:rPr>
        <w:t>.</w:t>
      </w:r>
    </w:p>
    <w:p w14:paraId="111E557D" w14:textId="3622D913" w:rsidR="00973938" w:rsidRDefault="00CD7A9D" w:rsidP="003C46AE">
      <w:pPr>
        <w:spacing w:line="360" w:lineRule="auto"/>
        <w:ind w:firstLine="567"/>
        <w:jc w:val="both"/>
        <w:rPr>
          <w:rFonts w:ascii="Times New Roman" w:hAnsi="Times New Roman"/>
          <w:i/>
          <w:iCs/>
          <w:sz w:val="24"/>
          <w:szCs w:val="24"/>
        </w:rPr>
      </w:pPr>
      <w:r>
        <w:rPr>
          <w:rFonts w:ascii="Times New Roman" w:hAnsi="Times New Roman"/>
          <w:sz w:val="24"/>
          <w:szCs w:val="24"/>
        </w:rPr>
        <w:t xml:space="preserve">No mapa abaixo apresentado, como pode ser observado, em ambos os anos e etapas de ensino analisados, obteve-se a formação dos quatro diferentes tipos de padrões de </w:t>
      </w:r>
      <w:r w:rsidRPr="00CD7A9D">
        <w:rPr>
          <w:rFonts w:ascii="Times New Roman" w:hAnsi="Times New Roman"/>
          <w:i/>
          <w:iCs/>
          <w:sz w:val="24"/>
          <w:szCs w:val="24"/>
        </w:rPr>
        <w:t>cluster</w:t>
      </w:r>
      <w:r>
        <w:rPr>
          <w:rFonts w:ascii="Times New Roman" w:hAnsi="Times New Roman"/>
          <w:sz w:val="24"/>
          <w:szCs w:val="24"/>
        </w:rPr>
        <w:t>. No entanto, o padrão do tipo alto-alto, representado pela cor vermelha, e o padrão do tipo baixo-baixo, representado</w:t>
      </w:r>
      <w:r w:rsidRPr="00CD7A9D">
        <w:rPr>
          <w:rFonts w:ascii="Times New Roman" w:hAnsi="Times New Roman"/>
          <w:sz w:val="24"/>
          <w:szCs w:val="24"/>
        </w:rPr>
        <w:t xml:space="preserve"> </w:t>
      </w:r>
      <w:r>
        <w:rPr>
          <w:rFonts w:ascii="Times New Roman" w:hAnsi="Times New Roman"/>
          <w:sz w:val="24"/>
          <w:szCs w:val="24"/>
        </w:rPr>
        <w:t>pela cor azul, foram os que mais se descaram em quantidade, evidenciando novamente forte concentração da qualidade da educação pública no Brasil.</w:t>
      </w:r>
      <w:r w:rsidR="00002B9E" w:rsidRPr="00002B9E">
        <w:rPr>
          <w:rFonts w:ascii="TimesNewRomanPSMT" w:hAnsi="TimesNewRomanPSMT"/>
          <w:color w:val="000000"/>
          <w:sz w:val="24"/>
          <w:szCs w:val="24"/>
        </w:rPr>
        <w:t xml:space="preserve"> </w:t>
      </w:r>
      <w:r w:rsidR="00002B9E" w:rsidRPr="00002B9E">
        <w:rPr>
          <w:rFonts w:ascii="Times New Roman" w:hAnsi="Times New Roman"/>
          <w:sz w:val="24"/>
          <w:szCs w:val="24"/>
        </w:rPr>
        <w:t xml:space="preserve">A cor cinza indica ausência de </w:t>
      </w:r>
      <w:r w:rsidR="00002B9E" w:rsidRPr="00002B9E">
        <w:rPr>
          <w:rFonts w:ascii="Times New Roman" w:hAnsi="Times New Roman"/>
          <w:i/>
          <w:iCs/>
          <w:sz w:val="24"/>
          <w:szCs w:val="24"/>
        </w:rPr>
        <w:t>clusters</w:t>
      </w:r>
      <w:r w:rsidR="00002B9E">
        <w:rPr>
          <w:rFonts w:ascii="Times New Roman" w:hAnsi="Times New Roman"/>
          <w:i/>
          <w:iCs/>
          <w:sz w:val="24"/>
          <w:szCs w:val="24"/>
        </w:rPr>
        <w:t>.</w:t>
      </w:r>
    </w:p>
    <w:p w14:paraId="5F029ECB" w14:textId="69702176" w:rsidR="008D5526" w:rsidRPr="008D5526" w:rsidRDefault="008D5526" w:rsidP="008D5526">
      <w:pPr>
        <w:spacing w:after="0" w:line="360" w:lineRule="auto"/>
        <w:jc w:val="both"/>
        <w:rPr>
          <w:rFonts w:ascii="Times New Roman" w:hAnsi="Times New Roman"/>
          <w:sz w:val="24"/>
          <w:szCs w:val="24"/>
        </w:rPr>
      </w:pPr>
      <w:r w:rsidRPr="008D5526">
        <w:rPr>
          <w:rFonts w:ascii="Times New Roman" w:hAnsi="Times New Roman"/>
          <w:sz w:val="24"/>
          <w:szCs w:val="24"/>
        </w:rPr>
        <w:t xml:space="preserve">Figura 3 - </w:t>
      </w:r>
      <w:r w:rsidRPr="008D5526">
        <w:rPr>
          <w:rFonts w:ascii="Times New Roman" w:hAnsi="Times New Roman" w:cs="Times New Roman"/>
          <w:noProof/>
          <w:sz w:val="24"/>
          <w:szCs w:val="24"/>
        </w:rPr>
        <w:t>Análise espacial do Índice I de Moran</w:t>
      </w:r>
    </w:p>
    <w:p w14:paraId="0650495D" w14:textId="613AE403" w:rsidR="00FA0A2D" w:rsidRDefault="008D5526" w:rsidP="008D5526">
      <w:pPr>
        <w:spacing w:after="0" w:line="360" w:lineRule="auto"/>
        <w:jc w:val="both"/>
        <w:rPr>
          <w:rFonts w:ascii="Times New Roman" w:hAnsi="Times New Roman" w:cs="Times New Roman"/>
          <w:noProof/>
          <w:sz w:val="20"/>
          <w:szCs w:val="20"/>
        </w:rPr>
      </w:pPr>
      <w:r>
        <w:rPr>
          <w:rFonts w:ascii="Times New Roman" w:hAnsi="Times New Roman"/>
          <w:i/>
          <w:iCs/>
          <w:noProof/>
          <w:sz w:val="24"/>
          <w:szCs w:val="24"/>
        </w:rPr>
        <w:drawing>
          <wp:inline distT="0" distB="0" distL="0" distR="0" wp14:anchorId="471D6E3F" wp14:editId="7A28D502">
            <wp:extent cx="5657850" cy="4743450"/>
            <wp:effectExtent l="0" t="0" r="0" b="0"/>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l="1656" t="2439" b="4128"/>
                    <a:stretch/>
                  </pic:blipFill>
                  <pic:spPr bwMode="auto">
                    <a:xfrm>
                      <a:off x="0" y="0"/>
                      <a:ext cx="5657850" cy="4743450"/>
                    </a:xfrm>
                    <a:prstGeom prst="rect">
                      <a:avLst/>
                    </a:prstGeom>
                    <a:noFill/>
                    <a:ln>
                      <a:noFill/>
                    </a:ln>
                    <a:extLst>
                      <a:ext uri="{53640926-AAD7-44D8-BBD7-CCE9431645EC}">
                        <a14:shadowObscured xmlns:a14="http://schemas.microsoft.com/office/drawing/2010/main"/>
                      </a:ext>
                    </a:extLst>
                  </pic:spPr>
                </pic:pic>
              </a:graphicData>
            </a:graphic>
          </wp:inline>
        </w:drawing>
      </w:r>
      <w:r w:rsidRPr="008D5526">
        <w:rPr>
          <w:rFonts w:ascii="Times New Roman" w:hAnsi="Times New Roman" w:cs="Times New Roman"/>
          <w:noProof/>
          <w:sz w:val="24"/>
          <w:szCs w:val="24"/>
        </w:rPr>
        <w:t>Fonte: INEP. Elaboração Própria</w:t>
      </w:r>
      <w:r w:rsidR="00FA0A2D">
        <w:rPr>
          <w:rFonts w:ascii="Times New Roman" w:hAnsi="Times New Roman" w:cs="Times New Roman"/>
          <w:noProof/>
          <w:sz w:val="20"/>
          <w:szCs w:val="20"/>
        </w:rPr>
        <w:t xml:space="preserve">                             </w:t>
      </w:r>
    </w:p>
    <w:p w14:paraId="231FAA5D" w14:textId="5ACED296" w:rsidR="006243C3" w:rsidRPr="00420CB2" w:rsidRDefault="00906D7E" w:rsidP="003C46AE">
      <w:pPr>
        <w:spacing w:line="360" w:lineRule="auto"/>
        <w:ind w:firstLine="567"/>
        <w:jc w:val="both"/>
        <w:rPr>
          <w:rFonts w:ascii="Times New Roman" w:hAnsi="Times New Roman" w:cs="Times New Roman"/>
          <w:noProof/>
          <w:sz w:val="24"/>
          <w:szCs w:val="24"/>
        </w:rPr>
      </w:pPr>
      <w:r w:rsidRPr="00906D7E">
        <w:rPr>
          <w:rFonts w:ascii="Times New Roman" w:hAnsi="Times New Roman" w:cs="Times New Roman"/>
          <w:noProof/>
          <w:sz w:val="24"/>
          <w:szCs w:val="24"/>
        </w:rPr>
        <w:lastRenderedPageBreak/>
        <w:t>Os cluster b</w:t>
      </w:r>
      <w:r>
        <w:rPr>
          <w:rFonts w:ascii="Times New Roman" w:hAnsi="Times New Roman" w:cs="Times New Roman"/>
          <w:noProof/>
          <w:sz w:val="24"/>
          <w:szCs w:val="24"/>
        </w:rPr>
        <w:t>a</w:t>
      </w:r>
      <w:r w:rsidRPr="00906D7E">
        <w:rPr>
          <w:rFonts w:ascii="Times New Roman" w:hAnsi="Times New Roman" w:cs="Times New Roman"/>
          <w:noProof/>
          <w:sz w:val="24"/>
          <w:szCs w:val="24"/>
        </w:rPr>
        <w:t xml:space="preserve">ixo-baixo caracterizam </w:t>
      </w:r>
      <w:r w:rsidR="00002B9E">
        <w:rPr>
          <w:rFonts w:ascii="Times New Roman" w:hAnsi="Times New Roman" w:cs="Times New Roman"/>
          <w:noProof/>
          <w:sz w:val="24"/>
          <w:szCs w:val="24"/>
        </w:rPr>
        <w:t xml:space="preserve">as regiões com baixo valor do Ideb que estão cercadas por outras regiões possuem comportamento semelhante, ou seja, que também possuem baixo Ideb, como destacado anteriormente. As localidades que compõen esses cluster estão, em sua grande maioria, concentradas nas regiões norte e nordeste do país e pode ser obesevada para ambos os anos e etapas de ensino analisadas. Salienta-se que </w:t>
      </w:r>
      <w:r w:rsidR="00FF70DE">
        <w:rPr>
          <w:rFonts w:ascii="Times New Roman" w:hAnsi="Times New Roman" w:cs="Times New Roman"/>
          <w:noProof/>
          <w:sz w:val="24"/>
          <w:szCs w:val="24"/>
        </w:rPr>
        <w:t xml:space="preserve">essas regiões que apresentam conglomerados baixo-baixo converge com o PIB </w:t>
      </w:r>
      <w:r w:rsidR="00FF70DE" w:rsidRPr="00B97D9C">
        <w:rPr>
          <w:rFonts w:ascii="Times New Roman" w:hAnsi="Times New Roman" w:cs="Times New Roman"/>
          <w:i/>
          <w:iCs/>
          <w:noProof/>
          <w:sz w:val="24"/>
          <w:szCs w:val="24"/>
        </w:rPr>
        <w:t>per capta</w:t>
      </w:r>
      <w:r w:rsidR="00FF70DE">
        <w:rPr>
          <w:rFonts w:ascii="Times New Roman" w:hAnsi="Times New Roman" w:cs="Times New Roman"/>
          <w:noProof/>
          <w:sz w:val="24"/>
          <w:szCs w:val="24"/>
        </w:rPr>
        <w:t xml:space="preserve"> dessas regiões, que também é </w:t>
      </w:r>
      <w:r w:rsidR="00FF70DE" w:rsidRPr="00967263">
        <w:rPr>
          <w:rFonts w:ascii="Times New Roman" w:hAnsi="Times New Roman" w:cs="Times New Roman"/>
          <w:noProof/>
          <w:sz w:val="24"/>
          <w:szCs w:val="24"/>
        </w:rPr>
        <w:t>baixo (</w:t>
      </w:r>
      <w:r w:rsidR="001271EC" w:rsidRPr="00967263">
        <w:rPr>
          <w:rFonts w:ascii="Times New Roman" w:hAnsi="Times New Roman" w:cs="Times New Roman"/>
          <w:noProof/>
          <w:sz w:val="24"/>
          <w:szCs w:val="24"/>
        </w:rPr>
        <w:t>SIQUEIRA; BECKER; FREITAS</w:t>
      </w:r>
      <w:r w:rsidR="00FF70DE" w:rsidRPr="00967263">
        <w:rPr>
          <w:rFonts w:ascii="Times New Roman" w:hAnsi="Times New Roman" w:cs="Times New Roman"/>
          <w:noProof/>
          <w:sz w:val="24"/>
          <w:szCs w:val="24"/>
        </w:rPr>
        <w:t>,2022</w:t>
      </w:r>
      <w:r w:rsidR="001271EC" w:rsidRPr="00967263">
        <w:rPr>
          <w:rFonts w:ascii="Times New Roman" w:hAnsi="Times New Roman" w:cs="Times New Roman"/>
          <w:noProof/>
          <w:sz w:val="24"/>
          <w:szCs w:val="24"/>
        </w:rPr>
        <w:t>; BECKER,2020; BECKER, 2022</w:t>
      </w:r>
      <w:r w:rsidR="00FF70DE" w:rsidRPr="00967263">
        <w:rPr>
          <w:rFonts w:ascii="Times New Roman" w:hAnsi="Times New Roman" w:cs="Times New Roman"/>
          <w:noProof/>
          <w:sz w:val="24"/>
          <w:szCs w:val="24"/>
        </w:rPr>
        <w:t>).</w:t>
      </w:r>
      <w:r w:rsidR="00FF70DE">
        <w:rPr>
          <w:rFonts w:ascii="Times New Roman" w:hAnsi="Times New Roman" w:cs="Times New Roman"/>
          <w:noProof/>
          <w:sz w:val="24"/>
          <w:szCs w:val="24"/>
        </w:rPr>
        <w:t xml:space="preserve"> </w:t>
      </w:r>
    </w:p>
    <w:p w14:paraId="49EB2286" w14:textId="05DEA3B3" w:rsidR="00FF70DE" w:rsidRDefault="00FF70DE" w:rsidP="003C46AE">
      <w:pPr>
        <w:spacing w:line="360" w:lineRule="auto"/>
        <w:ind w:firstLine="567"/>
        <w:jc w:val="both"/>
        <w:rPr>
          <w:rFonts w:ascii="Times New Roman" w:hAnsi="Times New Roman" w:cs="Times New Roman"/>
          <w:noProof/>
          <w:sz w:val="24"/>
          <w:szCs w:val="24"/>
        </w:rPr>
      </w:pPr>
      <w:r>
        <w:rPr>
          <w:rFonts w:ascii="Times New Roman" w:hAnsi="Times New Roman" w:cs="Times New Roman"/>
          <w:noProof/>
          <w:sz w:val="24"/>
          <w:szCs w:val="24"/>
        </w:rPr>
        <w:t>Enquanto isso</w:t>
      </w:r>
      <w:r w:rsidR="002B53DE">
        <w:rPr>
          <w:rFonts w:ascii="Times New Roman" w:hAnsi="Times New Roman" w:cs="Times New Roman"/>
          <w:noProof/>
          <w:sz w:val="24"/>
          <w:szCs w:val="24"/>
        </w:rPr>
        <w:t xml:space="preserve">, </w:t>
      </w:r>
      <w:r w:rsidR="00B97D9C">
        <w:rPr>
          <w:rFonts w:ascii="Times New Roman" w:hAnsi="Times New Roman" w:cs="Times New Roman"/>
          <w:noProof/>
          <w:sz w:val="24"/>
          <w:szCs w:val="24"/>
        </w:rPr>
        <w:t xml:space="preserve">as regiões que compuseram os </w:t>
      </w:r>
      <w:r w:rsidR="00B97D9C" w:rsidRPr="00B97D9C">
        <w:rPr>
          <w:rFonts w:ascii="Times New Roman" w:hAnsi="Times New Roman" w:cs="Times New Roman"/>
          <w:i/>
          <w:iCs/>
          <w:noProof/>
          <w:sz w:val="24"/>
          <w:szCs w:val="24"/>
        </w:rPr>
        <w:t>cluster</w:t>
      </w:r>
      <w:r w:rsidR="00B97D9C">
        <w:rPr>
          <w:rFonts w:ascii="Times New Roman" w:hAnsi="Times New Roman" w:cs="Times New Roman"/>
          <w:noProof/>
          <w:sz w:val="24"/>
          <w:szCs w:val="24"/>
        </w:rPr>
        <w:t xml:space="preserve"> do tipo alto-alto estão, </w:t>
      </w:r>
      <w:r w:rsidR="00B97D9C" w:rsidRPr="00B97D9C">
        <w:rPr>
          <w:rFonts w:ascii="Times New Roman" w:hAnsi="Times New Roman" w:cs="Times New Roman"/>
          <w:noProof/>
          <w:sz w:val="24"/>
          <w:szCs w:val="24"/>
        </w:rPr>
        <w:t>em sua grande parte</w:t>
      </w:r>
      <w:r w:rsidR="00B97D9C">
        <w:rPr>
          <w:rFonts w:ascii="Times New Roman" w:hAnsi="Times New Roman" w:cs="Times New Roman"/>
          <w:noProof/>
          <w:sz w:val="24"/>
          <w:szCs w:val="24"/>
        </w:rPr>
        <w:t>,</w:t>
      </w:r>
      <w:r w:rsidR="00B97D9C" w:rsidRPr="00B97D9C">
        <w:rPr>
          <w:rFonts w:ascii="Times New Roman" w:hAnsi="Times New Roman" w:cs="Times New Roman"/>
          <w:noProof/>
          <w:sz w:val="24"/>
          <w:szCs w:val="24"/>
        </w:rPr>
        <w:t xml:space="preserve"> distribuídas na</w:t>
      </w:r>
      <w:r w:rsidR="00B97D9C">
        <w:rPr>
          <w:rFonts w:ascii="Times New Roman" w:hAnsi="Times New Roman" w:cs="Times New Roman"/>
          <w:noProof/>
          <w:sz w:val="24"/>
          <w:szCs w:val="24"/>
        </w:rPr>
        <w:t xml:space="preserve"> </w:t>
      </w:r>
      <w:r w:rsidR="00B97D9C" w:rsidRPr="00B97D9C">
        <w:rPr>
          <w:rFonts w:ascii="Times New Roman" w:hAnsi="Times New Roman" w:cs="Times New Roman"/>
          <w:noProof/>
          <w:sz w:val="24"/>
          <w:szCs w:val="24"/>
        </w:rPr>
        <w:t xml:space="preserve">região </w:t>
      </w:r>
      <w:r w:rsidR="00B97D9C">
        <w:rPr>
          <w:rFonts w:ascii="Times New Roman" w:hAnsi="Times New Roman" w:cs="Times New Roman"/>
          <w:noProof/>
          <w:sz w:val="24"/>
          <w:szCs w:val="24"/>
        </w:rPr>
        <w:t>S</w:t>
      </w:r>
      <w:r w:rsidR="00B97D9C" w:rsidRPr="00B97D9C">
        <w:rPr>
          <w:rFonts w:ascii="Times New Roman" w:hAnsi="Times New Roman" w:cs="Times New Roman"/>
          <w:noProof/>
          <w:sz w:val="24"/>
          <w:szCs w:val="24"/>
        </w:rPr>
        <w:t xml:space="preserve">ul </w:t>
      </w:r>
      <w:r w:rsidR="00B97D9C">
        <w:rPr>
          <w:rFonts w:ascii="Times New Roman" w:hAnsi="Times New Roman" w:cs="Times New Roman"/>
          <w:noProof/>
          <w:sz w:val="24"/>
          <w:szCs w:val="24"/>
        </w:rPr>
        <w:t xml:space="preserve">e Sudeste </w:t>
      </w:r>
      <w:r w:rsidR="00B97D9C" w:rsidRPr="00B97D9C">
        <w:rPr>
          <w:rFonts w:ascii="Times New Roman" w:hAnsi="Times New Roman" w:cs="Times New Roman"/>
          <w:noProof/>
          <w:sz w:val="24"/>
          <w:szCs w:val="24"/>
        </w:rPr>
        <w:t>do país</w:t>
      </w:r>
      <w:r w:rsidR="00B97D9C">
        <w:rPr>
          <w:rFonts w:ascii="Times New Roman" w:hAnsi="Times New Roman" w:cs="Times New Roman"/>
          <w:noProof/>
          <w:sz w:val="24"/>
          <w:szCs w:val="24"/>
        </w:rPr>
        <w:t>.</w:t>
      </w:r>
      <w:r w:rsidR="00FB6D01">
        <w:rPr>
          <w:rFonts w:ascii="Times New Roman" w:hAnsi="Times New Roman" w:cs="Times New Roman"/>
          <w:noProof/>
          <w:sz w:val="24"/>
          <w:szCs w:val="24"/>
        </w:rPr>
        <w:t xml:space="preserve"> É possível que esses resultados estejam associados ao dinâmismo ecônomico e desenvolvimento das regiões, que proporciona maior acesso a escolas e recursos necessários para maior qualificação. No entanto, percebe-se que </w:t>
      </w:r>
      <w:r w:rsidR="00FB6D01" w:rsidRPr="00FB6D01">
        <w:rPr>
          <w:rFonts w:ascii="Times New Roman" w:hAnsi="Times New Roman" w:cs="Times New Roman"/>
          <w:noProof/>
          <w:sz w:val="24"/>
          <w:szCs w:val="24"/>
        </w:rPr>
        <w:t xml:space="preserve">esse aglomerado </w:t>
      </w:r>
      <w:r w:rsidR="00FB6D01">
        <w:rPr>
          <w:rFonts w:ascii="Times New Roman" w:hAnsi="Times New Roman" w:cs="Times New Roman"/>
          <w:noProof/>
          <w:sz w:val="24"/>
          <w:szCs w:val="24"/>
        </w:rPr>
        <w:t xml:space="preserve">se </w:t>
      </w:r>
      <w:r w:rsidR="00FB6D01" w:rsidRPr="00FB6D01">
        <w:rPr>
          <w:rFonts w:ascii="Times New Roman" w:hAnsi="Times New Roman" w:cs="Times New Roman"/>
          <w:noProof/>
          <w:sz w:val="24"/>
          <w:szCs w:val="24"/>
        </w:rPr>
        <w:t>dispers</w:t>
      </w:r>
      <w:r w:rsidR="00FB6D01">
        <w:rPr>
          <w:rFonts w:ascii="Times New Roman" w:hAnsi="Times New Roman" w:cs="Times New Roman"/>
          <w:noProof/>
          <w:sz w:val="24"/>
          <w:szCs w:val="24"/>
        </w:rPr>
        <w:t>a nessa região, de modo que em 2021</w:t>
      </w:r>
      <w:r w:rsidR="006D3495">
        <w:rPr>
          <w:rFonts w:ascii="Times New Roman" w:hAnsi="Times New Roman" w:cs="Times New Roman"/>
          <w:noProof/>
          <w:sz w:val="24"/>
          <w:szCs w:val="24"/>
        </w:rPr>
        <w:t xml:space="preserve"> </w:t>
      </w:r>
      <w:r w:rsidR="00FB6D01" w:rsidRPr="00FB6D01">
        <w:rPr>
          <w:rFonts w:ascii="Times New Roman" w:hAnsi="Times New Roman" w:cs="Times New Roman"/>
          <w:noProof/>
          <w:sz w:val="24"/>
          <w:szCs w:val="24"/>
        </w:rPr>
        <w:t xml:space="preserve">verificou-se uma proporção visivelmente menor </w:t>
      </w:r>
      <w:r w:rsidR="00FB6D01">
        <w:rPr>
          <w:rFonts w:ascii="Times New Roman" w:hAnsi="Times New Roman" w:cs="Times New Roman"/>
          <w:noProof/>
          <w:sz w:val="24"/>
          <w:szCs w:val="24"/>
        </w:rPr>
        <w:t xml:space="preserve">em comparação com 2011. </w:t>
      </w:r>
    </w:p>
    <w:p w14:paraId="64C5020B" w14:textId="321FAEDC" w:rsidR="006D3495" w:rsidRDefault="00FB6D01" w:rsidP="003C46AE">
      <w:pPr>
        <w:pStyle w:val="NormalWeb"/>
        <w:spacing w:before="0" w:beforeAutospacing="0" w:after="160" w:afterAutospacing="0" w:line="360" w:lineRule="auto"/>
        <w:ind w:firstLine="567"/>
        <w:jc w:val="both"/>
        <w:rPr>
          <w:color w:val="000000"/>
        </w:rPr>
      </w:pPr>
      <w:r>
        <w:rPr>
          <w:noProof/>
        </w:rPr>
        <w:t xml:space="preserve">Destaca-se o </w:t>
      </w:r>
      <w:r w:rsidRPr="00FB6D01">
        <w:rPr>
          <w:i/>
          <w:iCs/>
          <w:noProof/>
        </w:rPr>
        <w:t xml:space="preserve">cluster </w:t>
      </w:r>
      <w:r>
        <w:rPr>
          <w:noProof/>
        </w:rPr>
        <w:t xml:space="preserve">do tipo alto-alto que surge em 2021 na região do estado cearense, que apesar de </w:t>
      </w:r>
      <w:r w:rsidRPr="00FB6D01">
        <w:rPr>
          <w:noProof/>
        </w:rPr>
        <w:t>estar entre os mais pobres do Brasil, seus resultados educacionais estão entre os mais altos do país.</w:t>
      </w:r>
      <w:r>
        <w:rPr>
          <w:noProof/>
        </w:rPr>
        <w:t xml:space="preserve"> </w:t>
      </w:r>
      <w:r>
        <w:rPr>
          <w:color w:val="000000"/>
        </w:rPr>
        <w:t>Em 2021, o Ideb das escolas públicas do Ceará ficou entre as melhores do país em todas as redes de ensino. Nos anos iniciais do ensino fundamental o indicador foi de 6,1, colocando o estado em 2° lugar no Brasil. Para os anos finais do ensino fundamental o estado ficou em 1° lugar, com índice de 5,3. Já para o ensino médio, o estado alcançou o 3° lugar com índice de 4,4 para as escolas estaduais (INEP, 2021).</w:t>
      </w:r>
    </w:p>
    <w:p w14:paraId="539D1412" w14:textId="2011C526" w:rsidR="00FB6D01" w:rsidRDefault="00FB6D01" w:rsidP="003C46AE">
      <w:pPr>
        <w:pStyle w:val="NormalWeb"/>
        <w:spacing w:before="0" w:beforeAutospacing="0" w:after="160" w:afterAutospacing="0" w:line="360" w:lineRule="auto"/>
        <w:ind w:firstLine="567"/>
        <w:jc w:val="both"/>
      </w:pPr>
      <w:r>
        <w:rPr>
          <w:color w:val="000000"/>
        </w:rPr>
        <w:t xml:space="preserve"> Mas nem sempre foi assim, em 2005, o Ceará estava entre a metade inferior dos estados brasileiros na avaliação nacional da qualidade da educação. No entanto, tornou-se uma referência mundial em educação pública, visto que teve um avanço considerável nos últimos anos nos indicadores de proficiência escolar, fruto de políticas públicas e medidas de gestão eficientes e assertivas.  </w:t>
      </w:r>
    </w:p>
    <w:p w14:paraId="47BEEB49" w14:textId="020D9ED5" w:rsidR="008A010F" w:rsidRDefault="00FB6D01" w:rsidP="003C46AE">
      <w:pPr>
        <w:pStyle w:val="NormalWeb"/>
        <w:spacing w:before="0" w:beforeAutospacing="0" w:after="160" w:afterAutospacing="0" w:line="360" w:lineRule="auto"/>
        <w:ind w:firstLine="567"/>
        <w:jc w:val="both"/>
        <w:rPr>
          <w:color w:val="000000"/>
        </w:rPr>
      </w:pPr>
      <w:r>
        <w:rPr>
          <w:color w:val="000000"/>
        </w:rPr>
        <w:t xml:space="preserve">Em 2020, o Banco Mundial publicou o chamado “Getting Education Right: State and Municipal Success in Reform for Universal Literacy in Brazil”, destacando os altos índices da educação pública do estado do Ceará no </w:t>
      </w:r>
      <w:r w:rsidR="00C01CC4">
        <w:rPr>
          <w:color w:val="000000"/>
        </w:rPr>
        <w:t>Ideb</w:t>
      </w:r>
      <w:hyperlink r:id="rId12" w:history="1"/>
      <w:r>
        <w:rPr>
          <w:color w:val="000000"/>
        </w:rPr>
        <w:t xml:space="preserve">. O relatório mostra que o município de Sobral foi pioneiro nas reformas que inspiraram melhorias na educação em todo o estado. Sendo assim, o documento afirma que o Ceará fornece um modelo para reformar a educação, por meio de liderança política focada combinada com uma série iterativa de reformas educacionais ao longo de mais de uma </w:t>
      </w:r>
      <w:r w:rsidRPr="008A010F">
        <w:rPr>
          <w:color w:val="000000"/>
        </w:rPr>
        <w:t>década (</w:t>
      </w:r>
      <w:r w:rsidR="008A010F" w:rsidRPr="008A010F">
        <w:rPr>
          <w:color w:val="000000"/>
        </w:rPr>
        <w:t>EVANS; LOUREIRO</w:t>
      </w:r>
      <w:r w:rsidRPr="008A010F">
        <w:rPr>
          <w:color w:val="000000"/>
        </w:rPr>
        <w:t>, 2020).</w:t>
      </w:r>
    </w:p>
    <w:p w14:paraId="478CB4CD" w14:textId="51E86F8E" w:rsidR="00CD7A9D" w:rsidRPr="008C33B7" w:rsidRDefault="00FB6D01" w:rsidP="003C46AE">
      <w:pPr>
        <w:pStyle w:val="NormalWeb"/>
        <w:spacing w:before="0" w:beforeAutospacing="0" w:after="160" w:afterAutospacing="0" w:line="360" w:lineRule="auto"/>
        <w:ind w:firstLine="567"/>
        <w:jc w:val="both"/>
        <w:rPr>
          <w:color w:val="000000"/>
        </w:rPr>
      </w:pPr>
      <w:r>
        <w:rPr>
          <w:color w:val="000000"/>
        </w:rPr>
        <w:lastRenderedPageBreak/>
        <w:t>Em Sobral, as medidas se organizaram em três grandes áreas: no campo pedagógico, em 2001, antes de se tornar uma prática nacional, ampliou-se em um ano o Ensino Fundamental, com foco na alfabetização; foi desenvolvido um material didático unificado; criou-se uma escola para professores em 2005</w:t>
      </w:r>
      <w:r w:rsidR="00C01CC4">
        <w:rPr>
          <w:color w:val="000000"/>
        </w:rPr>
        <w:t xml:space="preserve"> e,</w:t>
      </w:r>
      <w:r>
        <w:rPr>
          <w:color w:val="000000"/>
        </w:rPr>
        <w:t xml:space="preserve"> a prefeitura de Sobral também passou a pagar salários maiores que o piso nacional, valorizando o magistério. Na área administrativa, a prefeitura instituiu uma nova seleção de diretores, buscando basear suas escolhas em critérios técnicos. Em relação a avaliação, Sobral criou um sistema próprio, onde cada aluno da rede pública faz duas avaliações externas por ano e, a prefeitura começou a pagar bônus mensais aos professores e uma premiação anual baseados nos rendimentos dos alunos e das </w:t>
      </w:r>
      <w:r w:rsidRPr="008C33B7">
        <w:rPr>
          <w:color w:val="000000"/>
        </w:rPr>
        <w:t>escolas (</w:t>
      </w:r>
      <w:r w:rsidR="008C33B7" w:rsidRPr="008C33B7">
        <w:rPr>
          <w:color w:val="000000"/>
        </w:rPr>
        <w:t>ROCHA, MENEZES-FILHO; KOMATSU</w:t>
      </w:r>
      <w:r w:rsidRPr="008C33B7">
        <w:rPr>
          <w:color w:val="000000"/>
        </w:rPr>
        <w:t>, 2018)</w:t>
      </w:r>
    </w:p>
    <w:p w14:paraId="7E624F06" w14:textId="61E359C3" w:rsidR="002C38DC" w:rsidRDefault="002C38DC" w:rsidP="003C46AE">
      <w:pPr>
        <w:spacing w:line="360" w:lineRule="auto"/>
        <w:jc w:val="both"/>
        <w:rPr>
          <w:rFonts w:ascii="Times New Roman" w:hAnsi="Times New Roman" w:cs="Times New Roman"/>
          <w:b/>
          <w:bCs/>
          <w:sz w:val="24"/>
          <w:szCs w:val="24"/>
        </w:rPr>
      </w:pPr>
      <w:r w:rsidRPr="006B4A82">
        <w:rPr>
          <w:rFonts w:ascii="Times New Roman" w:hAnsi="Times New Roman" w:cs="Times New Roman"/>
          <w:b/>
          <w:bCs/>
          <w:sz w:val="24"/>
          <w:szCs w:val="24"/>
        </w:rPr>
        <w:t xml:space="preserve">5 </w:t>
      </w:r>
      <w:r w:rsidR="00D87F1D" w:rsidRPr="006B4A82">
        <w:rPr>
          <w:rFonts w:ascii="Times New Roman" w:hAnsi="Times New Roman" w:cs="Times New Roman"/>
          <w:b/>
          <w:bCs/>
          <w:sz w:val="24"/>
          <w:szCs w:val="24"/>
        </w:rPr>
        <w:t>CONCLUSÃO</w:t>
      </w:r>
      <w:r w:rsidR="00D87F1D">
        <w:rPr>
          <w:rFonts w:ascii="Times New Roman" w:hAnsi="Times New Roman" w:cs="Times New Roman"/>
          <w:b/>
          <w:bCs/>
          <w:sz w:val="24"/>
          <w:szCs w:val="24"/>
        </w:rPr>
        <w:t xml:space="preserve"> </w:t>
      </w:r>
    </w:p>
    <w:p w14:paraId="7CCC115D" w14:textId="4C46DC6D" w:rsidR="00420CB2" w:rsidRDefault="00420CB2" w:rsidP="003C46AE">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Por meio do estudo econométrico </w:t>
      </w:r>
      <w:r w:rsidR="00147ECE">
        <w:rPr>
          <w:rFonts w:ascii="Times New Roman" w:hAnsi="Times New Roman" w:cs="Times New Roman"/>
          <w:sz w:val="24"/>
          <w:szCs w:val="24"/>
        </w:rPr>
        <w:t xml:space="preserve">espacial </w:t>
      </w:r>
      <w:r>
        <w:rPr>
          <w:rFonts w:ascii="Times New Roman" w:hAnsi="Times New Roman" w:cs="Times New Roman"/>
          <w:sz w:val="24"/>
          <w:szCs w:val="24"/>
        </w:rPr>
        <w:t xml:space="preserve">conduzido, foi possível atingir os objetivos propostos, observando </w:t>
      </w:r>
      <w:r w:rsidR="00AE5B41">
        <w:rPr>
          <w:rFonts w:ascii="Times New Roman" w:hAnsi="Times New Roman" w:cs="Times New Roman"/>
          <w:sz w:val="24"/>
          <w:szCs w:val="24"/>
        </w:rPr>
        <w:t>uma indicação da deterioração</w:t>
      </w:r>
      <w:r>
        <w:rPr>
          <w:rFonts w:ascii="Times New Roman" w:hAnsi="Times New Roman" w:cs="Times New Roman"/>
          <w:sz w:val="24"/>
          <w:szCs w:val="24"/>
        </w:rPr>
        <w:t xml:space="preserve"> da educação Brasileira nos últimos dez anos abrangendo tanto os anos iniciais quanto os anos finais</w:t>
      </w:r>
      <w:r w:rsidR="006B4A82">
        <w:rPr>
          <w:rFonts w:ascii="Times New Roman" w:hAnsi="Times New Roman" w:cs="Times New Roman"/>
          <w:sz w:val="24"/>
          <w:szCs w:val="24"/>
        </w:rPr>
        <w:t>, observado na redução dos clusters alto-alto</w:t>
      </w:r>
      <w:r>
        <w:rPr>
          <w:rFonts w:ascii="Times New Roman" w:hAnsi="Times New Roman" w:cs="Times New Roman"/>
          <w:sz w:val="24"/>
          <w:szCs w:val="24"/>
        </w:rPr>
        <w:t xml:space="preserve">. Identificou-se também </w:t>
      </w:r>
      <w:r w:rsidR="00AE5B41">
        <w:rPr>
          <w:rFonts w:ascii="Times New Roman" w:hAnsi="Times New Roman" w:cs="Times New Roman"/>
          <w:sz w:val="24"/>
          <w:szCs w:val="24"/>
        </w:rPr>
        <w:t>a</w:t>
      </w:r>
      <w:r>
        <w:rPr>
          <w:rFonts w:ascii="Times New Roman" w:hAnsi="Times New Roman" w:cs="Times New Roman"/>
          <w:sz w:val="24"/>
          <w:szCs w:val="24"/>
        </w:rPr>
        <w:t xml:space="preserve"> correlação espacial, apontando para um potencial transbordando no campo da educação, ou seja, regiões próximas tendem a ter um comportamento similar. </w:t>
      </w:r>
    </w:p>
    <w:p w14:paraId="35B34162" w14:textId="55832B18" w:rsidR="00750E26" w:rsidRDefault="00750E26" w:rsidP="003C46AE">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Observou-se uma grande disparidade no quesito educação entre as regiões norte e nordeste em relação as regiões sul e sudeste. Enquanto na parte superior do país predominaram clusters de baixo índice de educação, na região inferior do país predominam clusters de alto índice de educação. De qualquer maneira, observou-se uma forte redução dos clusters alto-alto no país, especialmente nos anos finais, passando de 1163 em 2011 para 720 em 2021. Esse dado levanta uma grande preocupação e aponta para o deterioramento da educação dos anos finais no país. </w:t>
      </w:r>
    </w:p>
    <w:p w14:paraId="485CAF42" w14:textId="24192E55" w:rsidR="00750E26" w:rsidRDefault="00750E26" w:rsidP="003C46AE">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Um raro outlier no presente estudo é o estado do Ceará. O mesmo apresentou uma evidente melhora na educação e criou um cluster alto-alto na região nordeste. Este caso deve ser avaliado com mais detalh</w:t>
      </w:r>
      <w:r w:rsidR="00B52087">
        <w:rPr>
          <w:rFonts w:ascii="Times New Roman" w:hAnsi="Times New Roman" w:cs="Times New Roman"/>
          <w:sz w:val="24"/>
          <w:szCs w:val="24"/>
        </w:rPr>
        <w:t>amento</w:t>
      </w:r>
      <w:r>
        <w:rPr>
          <w:rFonts w:ascii="Times New Roman" w:hAnsi="Times New Roman" w:cs="Times New Roman"/>
          <w:sz w:val="24"/>
          <w:szCs w:val="24"/>
        </w:rPr>
        <w:t xml:space="preserve"> para que se possa replicá-lo em outras regiões, tendo em vista o sucesso observado a partir deste estudo. </w:t>
      </w:r>
    </w:p>
    <w:p w14:paraId="026688BD" w14:textId="75133AF5" w:rsidR="00750E26" w:rsidRDefault="00750E26" w:rsidP="003C46AE">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 partir dos resultados obtidos, faz-se extremamente relevante revisar o sistema educacional Brasileiro. Nos anos de 2011, onde havia uma situação melhor, o Brasil já obtinha resultados ruins se comparado a outros países tendo como referência a prova do PISA. De lá </w:t>
      </w:r>
      <w:r>
        <w:rPr>
          <w:rFonts w:ascii="Times New Roman" w:hAnsi="Times New Roman" w:cs="Times New Roman"/>
          <w:sz w:val="24"/>
          <w:szCs w:val="24"/>
        </w:rPr>
        <w:lastRenderedPageBreak/>
        <w:t xml:space="preserve">pra cá observou-se uma deterioração, o que ressalta a urgência de se tomar atitudes e de se revisar o formato atual da educação brasileira. </w:t>
      </w:r>
    </w:p>
    <w:p w14:paraId="58308736" w14:textId="7DC9BF2A" w:rsidR="001E13DB" w:rsidRPr="001E13DB" w:rsidRDefault="00750E26" w:rsidP="003C46AE">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 fim de obter mais avanços neste campo, recomenda-se que estudos futuros identifiquem os fatores que estão causando tal deterioramento e que, baseado no caso do Ceará, proponha mudanças no sistema educacional brasileiro a fim de que </w:t>
      </w:r>
      <w:r w:rsidR="00306DAE">
        <w:rPr>
          <w:rFonts w:ascii="Times New Roman" w:hAnsi="Times New Roman" w:cs="Times New Roman"/>
          <w:sz w:val="24"/>
          <w:szCs w:val="24"/>
        </w:rPr>
        <w:t>o novo cluster alto-alto identificado nesta região possa ser observado em mais regiões, especialmente nas que historicamente apresentam resultados insatisfatório</w:t>
      </w:r>
    </w:p>
    <w:sdt>
      <w:sdtPr>
        <w:rPr>
          <w:rFonts w:asciiTheme="minorHAnsi" w:eastAsiaTheme="minorHAnsi" w:hAnsiTheme="minorHAnsi" w:cstheme="minorBidi"/>
          <w:color w:val="auto"/>
          <w:sz w:val="22"/>
          <w:szCs w:val="22"/>
          <w:lang w:eastAsia="en-US"/>
        </w:rPr>
        <w:id w:val="680860471"/>
        <w:docPartObj>
          <w:docPartGallery w:val="Bibliographies"/>
          <w:docPartUnique/>
        </w:docPartObj>
      </w:sdtPr>
      <w:sdtContent>
        <w:p w14:paraId="574788B2" w14:textId="3D38AD6B" w:rsidR="00354CA6" w:rsidRPr="00464DBE" w:rsidRDefault="00354CA6" w:rsidP="00464DBE">
          <w:pPr>
            <w:pStyle w:val="Ttulo1"/>
            <w:spacing w:line="360" w:lineRule="auto"/>
            <w:jc w:val="both"/>
            <w:rPr>
              <w:rFonts w:ascii="Times New Roman" w:hAnsi="Times New Roman" w:cs="Times New Roman"/>
              <w:b/>
              <w:bCs/>
              <w:color w:val="auto"/>
              <w:sz w:val="24"/>
              <w:szCs w:val="24"/>
            </w:rPr>
          </w:pPr>
          <w:r w:rsidRPr="006B5EDE">
            <w:rPr>
              <w:rFonts w:ascii="Times New Roman" w:hAnsi="Times New Roman" w:cs="Times New Roman"/>
              <w:b/>
              <w:bCs/>
              <w:color w:val="auto"/>
              <w:sz w:val="24"/>
              <w:szCs w:val="24"/>
            </w:rPr>
            <w:t>REFERÊNCIAS</w:t>
          </w:r>
        </w:p>
        <w:sdt>
          <w:sdtPr>
            <w:id w:val="-573587230"/>
            <w:bibliography/>
          </w:sdtPr>
          <w:sdtContent>
            <w:p w14:paraId="39641B57" w14:textId="77777777" w:rsidR="008C33B7" w:rsidRPr="008C33B7" w:rsidRDefault="008522A9" w:rsidP="007367C5">
              <w:pPr>
                <w:pStyle w:val="Bibliografia"/>
                <w:spacing w:before="240" w:after="0" w:line="240" w:lineRule="auto"/>
                <w:jc w:val="both"/>
                <w:rPr>
                  <w:rFonts w:ascii="Times New Roman" w:hAnsi="Times New Roman" w:cs="Times New Roman"/>
                  <w:noProof/>
                  <w:sz w:val="24"/>
                  <w:szCs w:val="24"/>
                </w:rPr>
              </w:pPr>
              <w:r w:rsidRPr="008C33B7">
                <w:rPr>
                  <w:rFonts w:ascii="Times New Roman" w:hAnsi="Times New Roman" w:cs="Times New Roman"/>
                  <w:sz w:val="24"/>
                  <w:szCs w:val="24"/>
                </w:rPr>
                <w:fldChar w:fldCharType="begin"/>
              </w:r>
              <w:r w:rsidRPr="008C33B7">
                <w:rPr>
                  <w:rFonts w:ascii="Times New Roman" w:hAnsi="Times New Roman" w:cs="Times New Roman"/>
                  <w:sz w:val="24"/>
                  <w:szCs w:val="24"/>
                </w:rPr>
                <w:instrText>BIBLIOGRAPHY</w:instrText>
              </w:r>
              <w:r w:rsidRPr="008C33B7">
                <w:rPr>
                  <w:rFonts w:ascii="Times New Roman" w:hAnsi="Times New Roman" w:cs="Times New Roman"/>
                  <w:sz w:val="24"/>
                  <w:szCs w:val="24"/>
                </w:rPr>
                <w:fldChar w:fldCharType="separate"/>
              </w:r>
              <w:r w:rsidR="008C33B7" w:rsidRPr="008C33B7">
                <w:rPr>
                  <w:rFonts w:ascii="Times New Roman" w:hAnsi="Times New Roman" w:cs="Times New Roman"/>
                  <w:noProof/>
                  <w:sz w:val="24"/>
                  <w:szCs w:val="24"/>
                </w:rPr>
                <w:t xml:space="preserve">ANNEGUES, A. C.; JÚNIOR, S. P.; FIGUEIREDO, E. Tamanho da Turma e Desempenho Acadêmico dos Universitários: evidência para a UFPB. </w:t>
              </w:r>
              <w:r w:rsidR="008C33B7" w:rsidRPr="008C33B7">
                <w:rPr>
                  <w:rFonts w:ascii="Times New Roman" w:hAnsi="Times New Roman" w:cs="Times New Roman"/>
                  <w:b/>
                  <w:bCs/>
                  <w:noProof/>
                  <w:sz w:val="24"/>
                  <w:szCs w:val="24"/>
                </w:rPr>
                <w:t xml:space="preserve">Estudos Econômicos </w:t>
              </w:r>
              <w:r w:rsidR="008C33B7" w:rsidRPr="008C33B7">
                <w:rPr>
                  <w:rFonts w:ascii="Times New Roman" w:hAnsi="Times New Roman" w:cs="Times New Roman"/>
                  <w:noProof/>
                  <w:sz w:val="24"/>
                  <w:szCs w:val="24"/>
                </w:rPr>
                <w:t>, São Paulo , v. 50, n. 1, p. 99-124, jan-mar 2020.</w:t>
              </w:r>
            </w:p>
            <w:p w14:paraId="5079A388" w14:textId="77777777" w:rsidR="008C33B7" w:rsidRPr="008C33B7" w:rsidRDefault="008C33B7" w:rsidP="007367C5">
              <w:pPr>
                <w:pStyle w:val="Bibliografia"/>
                <w:spacing w:before="240" w:after="0" w:line="240" w:lineRule="auto"/>
                <w:jc w:val="both"/>
                <w:rPr>
                  <w:rFonts w:ascii="Times New Roman" w:hAnsi="Times New Roman" w:cs="Times New Roman"/>
                  <w:noProof/>
                  <w:sz w:val="24"/>
                  <w:szCs w:val="24"/>
                </w:rPr>
              </w:pPr>
              <w:r w:rsidRPr="008C33B7">
                <w:rPr>
                  <w:rFonts w:ascii="Times New Roman" w:hAnsi="Times New Roman" w:cs="Times New Roman"/>
                  <w:noProof/>
                  <w:sz w:val="24"/>
                  <w:szCs w:val="24"/>
                </w:rPr>
                <w:t xml:space="preserve">ASSINK, M. et al. </w:t>
              </w:r>
              <w:r w:rsidRPr="008C33B7">
                <w:rPr>
                  <w:rFonts w:ascii="Times New Roman" w:hAnsi="Times New Roman" w:cs="Times New Roman"/>
                  <w:noProof/>
                  <w:sz w:val="24"/>
                  <w:szCs w:val="24"/>
                  <w:lang w:val="en-US"/>
                </w:rPr>
                <w:t xml:space="preserve">Risk factors for persistent delinquent behavior among juveniles: A meta-analytic review. </w:t>
              </w:r>
              <w:r w:rsidRPr="008C33B7">
                <w:rPr>
                  <w:rFonts w:ascii="Times New Roman" w:hAnsi="Times New Roman" w:cs="Times New Roman"/>
                  <w:b/>
                  <w:bCs/>
                  <w:noProof/>
                  <w:sz w:val="24"/>
                  <w:szCs w:val="24"/>
                </w:rPr>
                <w:t>Clinical psychology review</w:t>
              </w:r>
              <w:r w:rsidRPr="008C33B7">
                <w:rPr>
                  <w:rFonts w:ascii="Times New Roman" w:hAnsi="Times New Roman" w:cs="Times New Roman"/>
                  <w:noProof/>
                  <w:sz w:val="24"/>
                  <w:szCs w:val="24"/>
                </w:rPr>
                <w:t>, v. 42, p. 47-61, 2015.</w:t>
              </w:r>
            </w:p>
            <w:p w14:paraId="65838AD2" w14:textId="77777777" w:rsidR="008C33B7" w:rsidRPr="008C33B7" w:rsidRDefault="008C33B7" w:rsidP="007367C5">
              <w:pPr>
                <w:pStyle w:val="Bibliografia"/>
                <w:spacing w:before="240" w:after="0" w:line="240" w:lineRule="auto"/>
                <w:jc w:val="both"/>
                <w:rPr>
                  <w:rFonts w:ascii="Times New Roman" w:hAnsi="Times New Roman" w:cs="Times New Roman"/>
                  <w:noProof/>
                  <w:sz w:val="24"/>
                  <w:szCs w:val="24"/>
                </w:rPr>
              </w:pPr>
              <w:r w:rsidRPr="008C33B7">
                <w:rPr>
                  <w:rFonts w:ascii="Times New Roman" w:hAnsi="Times New Roman" w:cs="Times New Roman"/>
                  <w:noProof/>
                  <w:sz w:val="24"/>
                  <w:szCs w:val="24"/>
                </w:rPr>
                <w:t xml:space="preserve">ATLAS BRASIL. </w:t>
              </w:r>
              <w:r w:rsidRPr="008C33B7">
                <w:rPr>
                  <w:rFonts w:ascii="Times New Roman" w:hAnsi="Times New Roman" w:cs="Times New Roman"/>
                  <w:b/>
                  <w:bCs/>
                  <w:noProof/>
                  <w:sz w:val="24"/>
                  <w:szCs w:val="24"/>
                </w:rPr>
                <w:t>Atlas do Desenvolvimento Humano no Brasil</w:t>
              </w:r>
              <w:r w:rsidRPr="008C33B7">
                <w:rPr>
                  <w:rFonts w:ascii="Times New Roman" w:hAnsi="Times New Roman" w:cs="Times New Roman"/>
                  <w:noProof/>
                  <w:sz w:val="24"/>
                  <w:szCs w:val="24"/>
                </w:rPr>
                <w:t>, 2017. Disponivel em: &lt;http://www.atlasbrasil.org.br/&gt;. Acesso em: 21 setembro 2022.</w:t>
              </w:r>
            </w:p>
            <w:p w14:paraId="02718225" w14:textId="77777777" w:rsidR="008C33B7" w:rsidRPr="008C33B7" w:rsidRDefault="008C33B7" w:rsidP="007367C5">
              <w:pPr>
                <w:pStyle w:val="Bibliografia"/>
                <w:spacing w:before="240" w:after="0" w:line="240" w:lineRule="auto"/>
                <w:jc w:val="both"/>
                <w:rPr>
                  <w:rFonts w:ascii="Times New Roman" w:hAnsi="Times New Roman" w:cs="Times New Roman"/>
                  <w:noProof/>
                  <w:sz w:val="24"/>
                  <w:szCs w:val="24"/>
                </w:rPr>
              </w:pPr>
              <w:r w:rsidRPr="008C33B7">
                <w:rPr>
                  <w:rFonts w:ascii="Times New Roman" w:hAnsi="Times New Roman" w:cs="Times New Roman"/>
                  <w:noProof/>
                  <w:sz w:val="24"/>
                  <w:szCs w:val="24"/>
                </w:rPr>
                <w:t xml:space="preserve">BARROS, A. R. </w:t>
              </w:r>
              <w:r w:rsidRPr="008C33B7">
                <w:rPr>
                  <w:rFonts w:ascii="Times New Roman" w:hAnsi="Times New Roman" w:cs="Times New Roman"/>
                  <w:b/>
                  <w:bCs/>
                  <w:noProof/>
                  <w:sz w:val="24"/>
                  <w:szCs w:val="24"/>
                </w:rPr>
                <w:t>Desigualdades regionais no Brasil.</w:t>
              </w:r>
              <w:r w:rsidRPr="008C33B7">
                <w:rPr>
                  <w:rFonts w:ascii="Times New Roman" w:hAnsi="Times New Roman" w:cs="Times New Roman"/>
                  <w:noProof/>
                  <w:sz w:val="24"/>
                  <w:szCs w:val="24"/>
                </w:rPr>
                <w:t xml:space="preserve"> Rio de Janeiro: Elsevier, 2011.</w:t>
              </w:r>
            </w:p>
            <w:p w14:paraId="579A6F7A" w14:textId="77777777" w:rsidR="008C33B7" w:rsidRPr="008C33B7" w:rsidRDefault="008C33B7" w:rsidP="007367C5">
              <w:pPr>
                <w:pStyle w:val="Bibliografia"/>
                <w:spacing w:before="240" w:after="0" w:line="240" w:lineRule="auto"/>
                <w:jc w:val="both"/>
                <w:rPr>
                  <w:rFonts w:ascii="Times New Roman" w:hAnsi="Times New Roman" w:cs="Times New Roman"/>
                  <w:noProof/>
                  <w:sz w:val="24"/>
                  <w:szCs w:val="24"/>
                </w:rPr>
              </w:pPr>
              <w:r w:rsidRPr="008C33B7">
                <w:rPr>
                  <w:rFonts w:ascii="Times New Roman" w:hAnsi="Times New Roman" w:cs="Times New Roman"/>
                  <w:noProof/>
                  <w:sz w:val="24"/>
                  <w:szCs w:val="24"/>
                </w:rPr>
                <w:t xml:space="preserve">BARTZ, M. L.; QUARTIER, E. D. S.; QUEIROZ., V. D. S. Fatores que afetam a prática de violência por alunos dentro do ambiente escolar no estado de Minas Gerais. </w:t>
              </w:r>
              <w:r w:rsidRPr="008C33B7">
                <w:rPr>
                  <w:rFonts w:ascii="Times New Roman" w:hAnsi="Times New Roman" w:cs="Times New Roman"/>
                  <w:b/>
                  <w:bCs/>
                  <w:noProof/>
                  <w:sz w:val="24"/>
                  <w:szCs w:val="24"/>
                </w:rPr>
                <w:t>Revista Brasileira de Segurança Pública</w:t>
              </w:r>
              <w:r w:rsidRPr="008C33B7">
                <w:rPr>
                  <w:rFonts w:ascii="Times New Roman" w:hAnsi="Times New Roman" w:cs="Times New Roman"/>
                  <w:noProof/>
                  <w:sz w:val="24"/>
                  <w:szCs w:val="24"/>
                </w:rPr>
                <w:t>, v. 13, n. 2, p. 142-157, 2019.</w:t>
              </w:r>
            </w:p>
            <w:p w14:paraId="5AB37157" w14:textId="77777777" w:rsidR="008C33B7" w:rsidRPr="008C33B7" w:rsidRDefault="008C33B7" w:rsidP="007367C5">
              <w:pPr>
                <w:pStyle w:val="Bibliografia"/>
                <w:spacing w:before="240" w:after="0" w:line="240" w:lineRule="auto"/>
                <w:jc w:val="both"/>
                <w:rPr>
                  <w:rFonts w:ascii="Times New Roman" w:hAnsi="Times New Roman" w:cs="Times New Roman"/>
                  <w:noProof/>
                  <w:sz w:val="24"/>
                  <w:szCs w:val="24"/>
                </w:rPr>
              </w:pPr>
              <w:r w:rsidRPr="008C33B7">
                <w:rPr>
                  <w:rFonts w:ascii="Times New Roman" w:hAnsi="Times New Roman" w:cs="Times New Roman"/>
                  <w:noProof/>
                  <w:sz w:val="24"/>
                  <w:szCs w:val="24"/>
                </w:rPr>
                <w:t xml:space="preserve">BARTZ, M. L.; QUARTIERI, E. D. S.; FREITAS, T. A. D. Indisciplina e violência ecolar: uma análise das escolas públicas do Rio Grande do Sul. </w:t>
              </w:r>
              <w:r w:rsidRPr="008C33B7">
                <w:rPr>
                  <w:rFonts w:ascii="Times New Roman" w:hAnsi="Times New Roman" w:cs="Times New Roman"/>
                  <w:b/>
                  <w:bCs/>
                  <w:noProof/>
                  <w:sz w:val="24"/>
                  <w:szCs w:val="24"/>
                </w:rPr>
                <w:t>Estudo e Debate</w:t>
              </w:r>
              <w:r w:rsidRPr="008C33B7">
                <w:rPr>
                  <w:rFonts w:ascii="Times New Roman" w:hAnsi="Times New Roman" w:cs="Times New Roman"/>
                  <w:noProof/>
                  <w:sz w:val="24"/>
                  <w:szCs w:val="24"/>
                </w:rPr>
                <w:t>, Lajeado, v. 24, p. 241-263, Outubro 2017.</w:t>
              </w:r>
            </w:p>
            <w:p w14:paraId="310FF52B" w14:textId="77777777" w:rsidR="008C33B7" w:rsidRPr="008C33B7" w:rsidRDefault="008C33B7" w:rsidP="007367C5">
              <w:pPr>
                <w:pStyle w:val="Bibliografia"/>
                <w:spacing w:before="240" w:after="0" w:line="240" w:lineRule="auto"/>
                <w:jc w:val="both"/>
                <w:rPr>
                  <w:rFonts w:ascii="Times New Roman" w:hAnsi="Times New Roman" w:cs="Times New Roman"/>
                  <w:noProof/>
                  <w:sz w:val="24"/>
                  <w:szCs w:val="24"/>
                </w:rPr>
              </w:pPr>
              <w:r w:rsidRPr="008C33B7">
                <w:rPr>
                  <w:rFonts w:ascii="Times New Roman" w:hAnsi="Times New Roman" w:cs="Times New Roman"/>
                  <w:noProof/>
                  <w:sz w:val="24"/>
                  <w:szCs w:val="24"/>
                </w:rPr>
                <w:t xml:space="preserve">BECKER, K. L. O efeito da interação social entre os jovens nas decisões de consumo de álcool, cigarros e outras drogas ilícitas. </w:t>
              </w:r>
              <w:r w:rsidRPr="008C33B7">
                <w:rPr>
                  <w:rFonts w:ascii="Times New Roman" w:hAnsi="Times New Roman" w:cs="Times New Roman"/>
                  <w:b/>
                  <w:bCs/>
                  <w:noProof/>
                  <w:sz w:val="24"/>
                  <w:szCs w:val="24"/>
                </w:rPr>
                <w:t xml:space="preserve">Estudos Econômicos </w:t>
              </w:r>
              <w:r w:rsidRPr="008C33B7">
                <w:rPr>
                  <w:rFonts w:ascii="Times New Roman" w:hAnsi="Times New Roman" w:cs="Times New Roman"/>
                  <w:noProof/>
                  <w:sz w:val="24"/>
                  <w:szCs w:val="24"/>
                </w:rPr>
                <w:t>, São Paulo , v. 47, n. 1, p. 65-92, jan-mar 2017.</w:t>
              </w:r>
            </w:p>
            <w:p w14:paraId="4C3D2EF0" w14:textId="6712C3FE" w:rsidR="008C33B7" w:rsidRPr="008C33B7" w:rsidRDefault="008C33B7" w:rsidP="007367C5">
              <w:pPr>
                <w:pStyle w:val="Bibliografia"/>
                <w:spacing w:before="240" w:after="0" w:line="240" w:lineRule="auto"/>
                <w:jc w:val="both"/>
                <w:rPr>
                  <w:rFonts w:ascii="Times New Roman" w:hAnsi="Times New Roman" w:cs="Times New Roman"/>
                  <w:noProof/>
                  <w:sz w:val="24"/>
                  <w:szCs w:val="24"/>
                  <w:lang w:val="en-US"/>
                </w:rPr>
              </w:pPr>
              <w:r w:rsidRPr="008C33B7">
                <w:rPr>
                  <w:rFonts w:ascii="Times New Roman" w:hAnsi="Times New Roman" w:cs="Times New Roman"/>
                  <w:noProof/>
                  <w:sz w:val="24"/>
                  <w:szCs w:val="24"/>
                </w:rPr>
                <w:t xml:space="preserve">BECKER, K. L. </w:t>
              </w:r>
              <w:r w:rsidR="00341FBF" w:rsidRPr="00341FBF">
                <w:rPr>
                  <w:rFonts w:ascii="Times New Roman" w:hAnsi="Times New Roman" w:cs="Times New Roman"/>
                  <w:noProof/>
                  <w:sz w:val="24"/>
                  <w:szCs w:val="24"/>
                </w:rPr>
                <w:t>Qualidade da educação no brasil: uma análise da distribuição regional do ideb em 2007 e 2017</w:t>
              </w:r>
              <w:r w:rsidRPr="00341FBF">
                <w:rPr>
                  <w:rFonts w:ascii="Times New Roman" w:hAnsi="Times New Roman" w:cs="Times New Roman"/>
                  <w:noProof/>
                  <w:sz w:val="24"/>
                  <w:szCs w:val="24"/>
                </w:rPr>
                <w:t>.</w:t>
              </w:r>
              <w:r w:rsidRPr="008C33B7">
                <w:rPr>
                  <w:rFonts w:ascii="Times New Roman" w:hAnsi="Times New Roman" w:cs="Times New Roman"/>
                  <w:noProof/>
                  <w:sz w:val="24"/>
                  <w:szCs w:val="24"/>
                </w:rPr>
                <w:t xml:space="preserve"> </w:t>
              </w:r>
              <w:r w:rsidRPr="00341FBF">
                <w:rPr>
                  <w:rFonts w:ascii="Times New Roman" w:hAnsi="Times New Roman" w:cs="Times New Roman"/>
                  <w:b/>
                  <w:bCs/>
                  <w:noProof/>
                  <w:sz w:val="24"/>
                  <w:szCs w:val="24"/>
                </w:rPr>
                <w:t>Boletim Regional, Urbano e Ambiental n°22</w:t>
              </w:r>
              <w:r w:rsidRPr="008C33B7">
                <w:rPr>
                  <w:rFonts w:ascii="Times New Roman" w:hAnsi="Times New Roman" w:cs="Times New Roman"/>
                  <w:noProof/>
                  <w:sz w:val="24"/>
                  <w:szCs w:val="24"/>
                </w:rPr>
                <w:t xml:space="preserve">. DOI: http://dx.doi.org/10.38116/brua22art15. </w:t>
              </w:r>
              <w:r w:rsidRPr="008C33B7">
                <w:rPr>
                  <w:rFonts w:ascii="Times New Roman" w:hAnsi="Times New Roman" w:cs="Times New Roman"/>
                  <w:noProof/>
                  <w:sz w:val="24"/>
                  <w:szCs w:val="24"/>
                  <w:lang w:val="en-US"/>
                </w:rPr>
                <w:t>2020.</w:t>
              </w:r>
            </w:p>
            <w:p w14:paraId="623E8F7E" w14:textId="77777777" w:rsidR="008C33B7" w:rsidRPr="008C33B7" w:rsidRDefault="008C33B7" w:rsidP="007367C5">
              <w:pPr>
                <w:pStyle w:val="Bibliografia"/>
                <w:spacing w:before="240" w:after="0" w:line="240" w:lineRule="auto"/>
                <w:jc w:val="both"/>
                <w:rPr>
                  <w:rFonts w:ascii="Times New Roman" w:hAnsi="Times New Roman" w:cs="Times New Roman"/>
                  <w:noProof/>
                  <w:sz w:val="24"/>
                  <w:szCs w:val="24"/>
                </w:rPr>
              </w:pPr>
              <w:r w:rsidRPr="008C33B7">
                <w:rPr>
                  <w:rFonts w:ascii="Times New Roman" w:hAnsi="Times New Roman" w:cs="Times New Roman"/>
                  <w:noProof/>
                  <w:sz w:val="24"/>
                  <w:szCs w:val="24"/>
                  <w:lang w:val="en-US"/>
                </w:rPr>
                <w:t xml:space="preserve">BECKER, K. L. An analysis of Fundeb's contribution to the quality of public education in Brazilian municipalities. </w:t>
              </w:r>
              <w:r w:rsidRPr="008C33B7">
                <w:rPr>
                  <w:rFonts w:ascii="Times New Roman" w:hAnsi="Times New Roman" w:cs="Times New Roman"/>
                  <w:b/>
                  <w:bCs/>
                  <w:noProof/>
                  <w:sz w:val="24"/>
                  <w:szCs w:val="24"/>
                </w:rPr>
                <w:t>Review of Development Economics</w:t>
              </w:r>
              <w:r w:rsidRPr="008C33B7">
                <w:rPr>
                  <w:rFonts w:ascii="Times New Roman" w:hAnsi="Times New Roman" w:cs="Times New Roman"/>
                  <w:noProof/>
                  <w:sz w:val="24"/>
                  <w:szCs w:val="24"/>
                </w:rPr>
                <w:t>, 2022.</w:t>
              </w:r>
            </w:p>
            <w:p w14:paraId="1513BA9B" w14:textId="1797B817" w:rsidR="008C33B7" w:rsidRDefault="008C33B7" w:rsidP="007367C5">
              <w:pPr>
                <w:pStyle w:val="Bibliografia"/>
                <w:spacing w:before="240" w:after="0" w:line="240" w:lineRule="auto"/>
                <w:jc w:val="both"/>
                <w:rPr>
                  <w:rFonts w:ascii="Times New Roman" w:hAnsi="Times New Roman" w:cs="Times New Roman"/>
                  <w:noProof/>
                  <w:sz w:val="24"/>
                  <w:szCs w:val="24"/>
                  <w:lang w:val="en-US"/>
                </w:rPr>
              </w:pPr>
              <w:r w:rsidRPr="008C33B7">
                <w:rPr>
                  <w:rFonts w:ascii="Times New Roman" w:hAnsi="Times New Roman" w:cs="Times New Roman"/>
                  <w:noProof/>
                  <w:sz w:val="24"/>
                  <w:szCs w:val="24"/>
                </w:rPr>
                <w:t xml:space="preserve">CENSO ESCOLAR. Ministério da Educação. </w:t>
              </w:r>
              <w:r w:rsidRPr="008C33B7">
                <w:rPr>
                  <w:rFonts w:ascii="Times New Roman" w:hAnsi="Times New Roman" w:cs="Times New Roman"/>
                  <w:b/>
                  <w:bCs/>
                  <w:noProof/>
                  <w:sz w:val="24"/>
                  <w:szCs w:val="24"/>
                </w:rPr>
                <w:t>Censo Escolar Resulados</w:t>
              </w:r>
              <w:r w:rsidRPr="008C33B7">
                <w:rPr>
                  <w:rFonts w:ascii="Times New Roman" w:hAnsi="Times New Roman" w:cs="Times New Roman"/>
                  <w:noProof/>
                  <w:sz w:val="24"/>
                  <w:szCs w:val="24"/>
                </w:rPr>
                <w:t xml:space="preserve">, 2021. Disponivel em: &lt;https://www.gov.br/inep/pt-br/areas-de-atuacao/pesquisas-estatisticas-e-indicadores/censo-escolar/resultados&gt;. </w:t>
              </w:r>
              <w:r w:rsidRPr="008C33B7">
                <w:rPr>
                  <w:rFonts w:ascii="Times New Roman" w:hAnsi="Times New Roman" w:cs="Times New Roman"/>
                  <w:noProof/>
                  <w:sz w:val="24"/>
                  <w:szCs w:val="24"/>
                  <w:lang w:val="en-US"/>
                </w:rPr>
                <w:t>Acesso em: 29 setembro 2022.</w:t>
              </w:r>
            </w:p>
            <w:p w14:paraId="327DFF2E" w14:textId="77777777" w:rsidR="00551C90" w:rsidRPr="00551C90" w:rsidRDefault="00551C90" w:rsidP="007367C5">
              <w:pPr>
                <w:spacing w:line="240" w:lineRule="auto"/>
                <w:jc w:val="both"/>
                <w:rPr>
                  <w:lang w:val="en-US"/>
                </w:rPr>
              </w:pPr>
            </w:p>
            <w:p w14:paraId="6134C23C" w14:textId="1EC0613D" w:rsidR="00791F80" w:rsidRPr="00791F80" w:rsidRDefault="00791F80" w:rsidP="007367C5">
              <w:pPr>
                <w:spacing w:after="0" w:line="240" w:lineRule="auto"/>
                <w:jc w:val="both"/>
                <w:rPr>
                  <w:rFonts w:ascii="Times New Roman" w:hAnsi="Times New Roman" w:cs="Times New Roman"/>
                  <w:sz w:val="24"/>
                  <w:szCs w:val="24"/>
                  <w:lang w:val="en-US"/>
                </w:rPr>
              </w:pPr>
              <w:r w:rsidRPr="00791F80">
                <w:rPr>
                  <w:rFonts w:ascii="Times New Roman" w:hAnsi="Times New Roman" w:cs="Times New Roman"/>
                  <w:sz w:val="24"/>
                  <w:szCs w:val="24"/>
                  <w:lang w:val="en-US"/>
                </w:rPr>
                <w:lastRenderedPageBreak/>
                <w:t xml:space="preserve">DATTA, B. A study of Quality of Higher Education: Quality of Faculty in the Departments of Economics in Kerala. </w:t>
              </w:r>
              <w:r w:rsidRPr="00791F80">
                <w:rPr>
                  <w:rFonts w:ascii="Times New Roman" w:hAnsi="Times New Roman" w:cs="Times New Roman"/>
                  <w:b/>
                  <w:bCs/>
                  <w:sz w:val="24"/>
                  <w:szCs w:val="24"/>
                  <w:lang w:val="en-US"/>
                </w:rPr>
                <w:t>Kerala State Planning Board</w:t>
              </w:r>
              <w:r w:rsidRPr="00791F80">
                <w:rPr>
                  <w:rFonts w:ascii="Times New Roman" w:hAnsi="Times New Roman" w:cs="Times New Roman"/>
                  <w:sz w:val="24"/>
                  <w:szCs w:val="24"/>
                  <w:lang w:val="en-US"/>
                </w:rPr>
                <w:t xml:space="preserve">. 2017. </w:t>
              </w:r>
              <w:r w:rsidRPr="003B1D23">
                <w:rPr>
                  <w:rFonts w:ascii="Times New Roman" w:hAnsi="Times New Roman" w:cs="Times New Roman"/>
                  <w:sz w:val="24"/>
                  <w:szCs w:val="24"/>
                  <w:lang w:val="en-US"/>
                </w:rPr>
                <w:t>Disponível em:</w:t>
              </w:r>
              <w:r w:rsidR="00551C90" w:rsidRPr="003B1D23">
                <w:rPr>
                  <w:rFonts w:ascii="Times New Roman" w:hAnsi="Times New Roman" w:cs="Times New Roman"/>
                  <w:sz w:val="24"/>
                  <w:szCs w:val="24"/>
                  <w:lang w:val="en-US"/>
                </w:rPr>
                <w:t xml:space="preserve"> </w:t>
              </w:r>
              <w:r w:rsidRPr="003B1D23">
                <w:rPr>
                  <w:rFonts w:ascii="Times New Roman" w:hAnsi="Times New Roman" w:cs="Times New Roman"/>
                  <w:sz w:val="24"/>
                  <w:szCs w:val="24"/>
                  <w:lang w:val="en-US"/>
                </w:rPr>
                <w:t>&lt;https://spb.kerala.gov.in/sites/default/files/inline-files/Study</w:t>
              </w:r>
              <w:r w:rsidR="00551C90" w:rsidRPr="003B1D23">
                <w:rPr>
                  <w:rFonts w:ascii="Times New Roman" w:hAnsi="Times New Roman" w:cs="Times New Roman"/>
                  <w:sz w:val="24"/>
                  <w:szCs w:val="24"/>
                  <w:lang w:val="en-US"/>
                </w:rPr>
                <w:t xml:space="preserve"> </w:t>
              </w:r>
              <w:r w:rsidRPr="003B1D23">
                <w:rPr>
                  <w:rFonts w:ascii="Times New Roman" w:hAnsi="Times New Roman" w:cs="Times New Roman"/>
                  <w:sz w:val="24"/>
                  <w:szCs w:val="24"/>
                  <w:lang w:val="en-US"/>
                </w:rPr>
                <w:t xml:space="preserve">QualityOfHigherEducation.pdf&gt;. </w:t>
              </w:r>
              <w:r w:rsidRPr="00791F80">
                <w:rPr>
                  <w:rFonts w:ascii="Times New Roman" w:hAnsi="Times New Roman" w:cs="Times New Roman"/>
                  <w:sz w:val="24"/>
                  <w:szCs w:val="24"/>
                  <w:lang w:val="en-US"/>
                </w:rPr>
                <w:t>Acesso em 10 jan. 2023</w:t>
              </w:r>
            </w:p>
            <w:p w14:paraId="4E41C211" w14:textId="07FA44B2" w:rsidR="00821BD8" w:rsidRPr="00F15136" w:rsidRDefault="008C33B7" w:rsidP="00F15136">
              <w:pPr>
                <w:pStyle w:val="Bibliografia"/>
                <w:spacing w:before="240" w:after="0" w:line="240" w:lineRule="auto"/>
                <w:jc w:val="both"/>
                <w:rPr>
                  <w:rFonts w:ascii="Times New Roman" w:hAnsi="Times New Roman" w:cs="Times New Roman"/>
                  <w:noProof/>
                  <w:sz w:val="24"/>
                  <w:szCs w:val="24"/>
                  <w:lang w:val="en-US"/>
                </w:rPr>
              </w:pPr>
              <w:r w:rsidRPr="008C33B7">
                <w:rPr>
                  <w:rFonts w:ascii="Times New Roman" w:hAnsi="Times New Roman" w:cs="Times New Roman"/>
                  <w:noProof/>
                  <w:sz w:val="24"/>
                  <w:szCs w:val="24"/>
                  <w:lang w:val="en-US"/>
                </w:rPr>
                <w:t xml:space="preserve">EVANS, D. K.; LOUREIRO, A. </w:t>
              </w:r>
              <w:r w:rsidRPr="008C33B7">
                <w:rPr>
                  <w:rFonts w:ascii="Times New Roman" w:hAnsi="Times New Roman" w:cs="Times New Roman"/>
                  <w:b/>
                  <w:bCs/>
                  <w:noProof/>
                  <w:sz w:val="24"/>
                  <w:szCs w:val="24"/>
                  <w:lang w:val="en-US"/>
                </w:rPr>
                <w:t>Getting Education Right: State and Municipal Success in Reform for Universal Literacy in Brazil.</w:t>
              </w:r>
              <w:r w:rsidRPr="008C33B7">
                <w:rPr>
                  <w:rFonts w:ascii="Times New Roman" w:hAnsi="Times New Roman" w:cs="Times New Roman"/>
                  <w:noProof/>
                  <w:sz w:val="24"/>
                  <w:szCs w:val="24"/>
                  <w:lang w:val="en-US"/>
                </w:rPr>
                <w:t xml:space="preserve"> World Bank Group. [S.l.]. 2020.</w:t>
              </w:r>
            </w:p>
            <w:p w14:paraId="2E57BDA7" w14:textId="77777777" w:rsidR="008C33B7" w:rsidRPr="008C33B7" w:rsidRDefault="008C33B7" w:rsidP="007367C5">
              <w:pPr>
                <w:pStyle w:val="Bibliografia"/>
                <w:spacing w:before="240" w:after="0" w:line="240" w:lineRule="auto"/>
                <w:jc w:val="both"/>
                <w:rPr>
                  <w:rFonts w:ascii="Times New Roman" w:hAnsi="Times New Roman" w:cs="Times New Roman"/>
                  <w:noProof/>
                  <w:sz w:val="24"/>
                  <w:szCs w:val="24"/>
                  <w:lang w:val="en-US"/>
                </w:rPr>
              </w:pPr>
              <w:r w:rsidRPr="008C33B7">
                <w:rPr>
                  <w:rFonts w:ascii="Times New Roman" w:hAnsi="Times New Roman" w:cs="Times New Roman"/>
                  <w:noProof/>
                  <w:sz w:val="24"/>
                  <w:szCs w:val="24"/>
                  <w:lang w:val="en-US"/>
                </w:rPr>
                <w:t xml:space="preserve">HENRICH, C. C. et al. The association of community violence exposure with middle-school achievement: A prospective study. </w:t>
              </w:r>
              <w:r w:rsidRPr="008C33B7">
                <w:rPr>
                  <w:rFonts w:ascii="Times New Roman" w:hAnsi="Times New Roman" w:cs="Times New Roman"/>
                  <w:b/>
                  <w:bCs/>
                  <w:noProof/>
                  <w:sz w:val="24"/>
                  <w:szCs w:val="24"/>
                  <w:lang w:val="en-US"/>
                </w:rPr>
                <w:t>Journal of applied developmental psychology</w:t>
              </w:r>
              <w:r w:rsidRPr="008C33B7">
                <w:rPr>
                  <w:rFonts w:ascii="Times New Roman" w:hAnsi="Times New Roman" w:cs="Times New Roman"/>
                  <w:noProof/>
                  <w:sz w:val="24"/>
                  <w:szCs w:val="24"/>
                  <w:lang w:val="en-US"/>
                </w:rPr>
                <w:t>, v. 25, n. 3, p. 327-348, 2004.</w:t>
              </w:r>
            </w:p>
            <w:p w14:paraId="77136D1B" w14:textId="77777777" w:rsidR="008C33B7" w:rsidRPr="008C33B7" w:rsidRDefault="008C33B7" w:rsidP="007367C5">
              <w:pPr>
                <w:pStyle w:val="Bibliografia"/>
                <w:spacing w:before="240" w:after="0" w:line="240" w:lineRule="auto"/>
                <w:jc w:val="both"/>
                <w:rPr>
                  <w:rFonts w:ascii="Times New Roman" w:hAnsi="Times New Roman" w:cs="Times New Roman"/>
                  <w:noProof/>
                  <w:sz w:val="24"/>
                  <w:szCs w:val="24"/>
                </w:rPr>
              </w:pPr>
              <w:r w:rsidRPr="008C33B7">
                <w:rPr>
                  <w:rFonts w:ascii="Times New Roman" w:hAnsi="Times New Roman" w:cs="Times New Roman"/>
                  <w:noProof/>
                  <w:sz w:val="24"/>
                  <w:szCs w:val="24"/>
                  <w:lang w:val="en-US"/>
                </w:rPr>
                <w:t xml:space="preserve">INSTITUTO DATASENADO. </w:t>
              </w:r>
              <w:r w:rsidRPr="008C33B7">
                <w:rPr>
                  <w:rFonts w:ascii="Times New Roman" w:hAnsi="Times New Roman" w:cs="Times New Roman"/>
                  <w:noProof/>
                  <w:sz w:val="24"/>
                  <w:szCs w:val="24"/>
                </w:rPr>
                <w:t xml:space="preserve">Impactos da pandemia na educação no Brasil. </w:t>
              </w:r>
              <w:r w:rsidRPr="008C33B7">
                <w:rPr>
                  <w:rFonts w:ascii="Times New Roman" w:hAnsi="Times New Roman" w:cs="Times New Roman"/>
                  <w:b/>
                  <w:bCs/>
                  <w:noProof/>
                  <w:sz w:val="24"/>
                  <w:szCs w:val="24"/>
                </w:rPr>
                <w:t>Senado Federal</w:t>
              </w:r>
              <w:r w:rsidRPr="008C33B7">
                <w:rPr>
                  <w:rFonts w:ascii="Times New Roman" w:hAnsi="Times New Roman" w:cs="Times New Roman"/>
                  <w:noProof/>
                  <w:sz w:val="24"/>
                  <w:szCs w:val="24"/>
                </w:rPr>
                <w:t>, 2022. Disponivel em: &lt;https://www12.senado.leg.br/institucional/datasenado/materias/pesquisas/impactos-da-pandemia-na-educacao-no-brasil&gt;. Acesso em: 29 setembro 29.</w:t>
              </w:r>
            </w:p>
            <w:p w14:paraId="3F4DA2EA" w14:textId="77777777" w:rsidR="008C33B7" w:rsidRPr="008C33B7" w:rsidRDefault="008C33B7" w:rsidP="007367C5">
              <w:pPr>
                <w:pStyle w:val="Bibliografia"/>
                <w:spacing w:before="240" w:after="0" w:line="240" w:lineRule="auto"/>
                <w:jc w:val="both"/>
                <w:rPr>
                  <w:rFonts w:ascii="Times New Roman" w:hAnsi="Times New Roman" w:cs="Times New Roman"/>
                  <w:noProof/>
                  <w:sz w:val="24"/>
                  <w:szCs w:val="24"/>
                </w:rPr>
              </w:pPr>
              <w:r w:rsidRPr="008C33B7">
                <w:rPr>
                  <w:rFonts w:ascii="Times New Roman" w:hAnsi="Times New Roman" w:cs="Times New Roman"/>
                  <w:noProof/>
                  <w:sz w:val="24"/>
                  <w:szCs w:val="24"/>
                </w:rPr>
                <w:t xml:space="preserve">INSTITUTO NACIONAL DE ESTUDOS E PESQUISAS EDUCACIONAIS ANÍSIO TEIXEIRA. </w:t>
              </w:r>
              <w:r w:rsidRPr="008C33B7">
                <w:rPr>
                  <w:rFonts w:ascii="Times New Roman" w:hAnsi="Times New Roman" w:cs="Times New Roman"/>
                  <w:b/>
                  <w:bCs/>
                  <w:noProof/>
                  <w:sz w:val="24"/>
                  <w:szCs w:val="24"/>
                </w:rPr>
                <w:t>Ministério da Educação</w:t>
              </w:r>
              <w:r w:rsidRPr="008C33B7">
                <w:rPr>
                  <w:rFonts w:ascii="Times New Roman" w:hAnsi="Times New Roman" w:cs="Times New Roman"/>
                  <w:noProof/>
                  <w:sz w:val="24"/>
                  <w:szCs w:val="24"/>
                </w:rPr>
                <w:t>, 2021. Disponivel em: &lt;https://www.gov.br/inep/pt-br&gt;. Acesso em: 21 setembro 2022.</w:t>
              </w:r>
            </w:p>
            <w:p w14:paraId="206FB976" w14:textId="55D2FEF0" w:rsidR="008C33B7" w:rsidRPr="008C33B7" w:rsidRDefault="008C33B7" w:rsidP="007367C5">
              <w:pPr>
                <w:pStyle w:val="Bibliografia"/>
                <w:spacing w:before="240" w:after="0" w:line="240" w:lineRule="auto"/>
                <w:jc w:val="both"/>
                <w:rPr>
                  <w:rFonts w:ascii="Times New Roman" w:hAnsi="Times New Roman" w:cs="Times New Roman"/>
                  <w:noProof/>
                  <w:sz w:val="24"/>
                  <w:szCs w:val="24"/>
                </w:rPr>
              </w:pPr>
              <w:r w:rsidRPr="008C33B7">
                <w:rPr>
                  <w:rFonts w:ascii="Times New Roman" w:hAnsi="Times New Roman" w:cs="Times New Roman"/>
                  <w:noProof/>
                  <w:sz w:val="24"/>
                  <w:szCs w:val="24"/>
                </w:rPr>
                <w:t xml:space="preserve">INSTITUTO UNIBANCO. NOTA TÉCNICA IDEB 2021 – </w:t>
              </w:r>
              <w:r w:rsidR="00F15136" w:rsidRPr="00F15136">
                <w:rPr>
                  <w:rFonts w:ascii="Times New Roman" w:hAnsi="Times New Roman" w:cs="Times New Roman"/>
                  <w:b/>
                  <w:bCs/>
                  <w:noProof/>
                  <w:sz w:val="24"/>
                  <w:szCs w:val="24"/>
                </w:rPr>
                <w:t>Instituto Unibanco</w:t>
              </w:r>
              <w:r w:rsidRPr="008C33B7">
                <w:rPr>
                  <w:rFonts w:ascii="Times New Roman" w:hAnsi="Times New Roman" w:cs="Times New Roman"/>
                  <w:noProof/>
                  <w:sz w:val="24"/>
                  <w:szCs w:val="24"/>
                </w:rPr>
                <w:t>, 2022. Disponivel em: &lt;https://www.institutounibanco.org.br/conteudo/nota-tecnica-ideb-2021-instituto-unibanco/&gt;. Acesso em: 29 setembro 2022.</w:t>
              </w:r>
            </w:p>
            <w:p w14:paraId="792A9E29" w14:textId="3F5F53C6" w:rsidR="008C33B7" w:rsidRDefault="008C33B7" w:rsidP="007367C5">
              <w:pPr>
                <w:pStyle w:val="Bibliografia"/>
                <w:spacing w:before="240" w:after="0" w:line="240" w:lineRule="auto"/>
                <w:jc w:val="both"/>
                <w:rPr>
                  <w:rFonts w:ascii="Times New Roman" w:hAnsi="Times New Roman" w:cs="Times New Roman"/>
                  <w:noProof/>
                  <w:sz w:val="24"/>
                  <w:szCs w:val="24"/>
                  <w:lang w:val="en-US"/>
                </w:rPr>
              </w:pPr>
              <w:r w:rsidRPr="008C33B7">
                <w:rPr>
                  <w:rFonts w:ascii="Times New Roman" w:hAnsi="Times New Roman" w:cs="Times New Roman"/>
                  <w:noProof/>
                  <w:sz w:val="24"/>
                  <w:szCs w:val="24"/>
                </w:rPr>
                <w:t xml:space="preserve">MACEDO, R. M. D. A.; BOMFIM, M. D. C. A. Violências na escola. </w:t>
              </w:r>
              <w:r w:rsidRPr="00E31340">
                <w:rPr>
                  <w:rFonts w:ascii="Times New Roman" w:hAnsi="Times New Roman" w:cs="Times New Roman"/>
                  <w:b/>
                  <w:bCs/>
                  <w:noProof/>
                  <w:sz w:val="24"/>
                  <w:szCs w:val="24"/>
                  <w:lang w:val="en-US"/>
                </w:rPr>
                <w:t>Revista Diálogo Educacional</w:t>
              </w:r>
              <w:r w:rsidRPr="00E31340">
                <w:rPr>
                  <w:rFonts w:ascii="Times New Roman" w:hAnsi="Times New Roman" w:cs="Times New Roman"/>
                  <w:noProof/>
                  <w:sz w:val="24"/>
                  <w:szCs w:val="24"/>
                  <w:lang w:val="en-US"/>
                </w:rPr>
                <w:t>, v. 9, n. 28, p. 605-618, 2009.</w:t>
              </w:r>
            </w:p>
            <w:p w14:paraId="471DB7EF" w14:textId="77777777" w:rsidR="00551C90" w:rsidRPr="00551C90" w:rsidRDefault="00551C90" w:rsidP="007367C5">
              <w:pPr>
                <w:spacing w:line="240" w:lineRule="auto"/>
                <w:jc w:val="both"/>
                <w:rPr>
                  <w:lang w:val="en-US"/>
                </w:rPr>
              </w:pPr>
            </w:p>
            <w:p w14:paraId="730270DF" w14:textId="77777777" w:rsidR="008C33B7" w:rsidRPr="008C33B7" w:rsidRDefault="008C33B7" w:rsidP="007367C5">
              <w:pPr>
                <w:pStyle w:val="Bibliografia"/>
                <w:spacing w:line="240" w:lineRule="auto"/>
                <w:jc w:val="both"/>
                <w:rPr>
                  <w:rFonts w:ascii="Times New Roman" w:hAnsi="Times New Roman" w:cs="Times New Roman"/>
                  <w:noProof/>
                  <w:sz w:val="24"/>
                  <w:szCs w:val="24"/>
                </w:rPr>
              </w:pPr>
              <w:r w:rsidRPr="008C33B7">
                <w:rPr>
                  <w:rFonts w:ascii="Times New Roman" w:hAnsi="Times New Roman" w:cs="Times New Roman"/>
                  <w:noProof/>
                  <w:sz w:val="24"/>
                  <w:szCs w:val="24"/>
                  <w:lang w:val="en-US"/>
                </w:rPr>
                <w:t xml:space="preserve">MEINCK; FRAILLON; STRIETHOLT. The Impact of the COVID-19 Pandemic on Education: International Evidence from the Responses to Educational Disruption Survey (REDS). </w:t>
              </w:r>
              <w:r w:rsidRPr="008C33B7">
                <w:rPr>
                  <w:rFonts w:ascii="Times New Roman" w:hAnsi="Times New Roman" w:cs="Times New Roman"/>
                  <w:b/>
                  <w:bCs/>
                  <w:noProof/>
                  <w:sz w:val="24"/>
                  <w:szCs w:val="24"/>
                </w:rPr>
                <w:t>International Association for the Evaluation of Educational Achievement</w:t>
              </w:r>
              <w:r w:rsidRPr="008C33B7">
                <w:rPr>
                  <w:rFonts w:ascii="Times New Roman" w:hAnsi="Times New Roman" w:cs="Times New Roman"/>
                  <w:noProof/>
                  <w:sz w:val="24"/>
                  <w:szCs w:val="24"/>
                </w:rPr>
                <w:t>, 2022.</w:t>
              </w:r>
            </w:p>
            <w:p w14:paraId="3FB0FD18" w14:textId="77777777" w:rsidR="008C33B7" w:rsidRPr="008C33B7" w:rsidRDefault="008C33B7" w:rsidP="007367C5">
              <w:pPr>
                <w:pStyle w:val="Bibliografia"/>
                <w:spacing w:before="240" w:line="240" w:lineRule="auto"/>
                <w:jc w:val="both"/>
                <w:rPr>
                  <w:rFonts w:ascii="Times New Roman" w:hAnsi="Times New Roman" w:cs="Times New Roman"/>
                  <w:noProof/>
                  <w:sz w:val="24"/>
                  <w:szCs w:val="24"/>
                  <w:lang w:val="en-US"/>
                </w:rPr>
              </w:pPr>
              <w:r w:rsidRPr="008C33B7">
                <w:rPr>
                  <w:rFonts w:ascii="Times New Roman" w:hAnsi="Times New Roman" w:cs="Times New Roman"/>
                  <w:noProof/>
                  <w:sz w:val="24"/>
                  <w:szCs w:val="24"/>
                </w:rPr>
                <w:t xml:space="preserve">OLIVEIRA, V. R. D.; SOUZA, W. P. S. D. F.; ANNEGUES, A. C. Eficiência e Autonomia Escolar: Evidências para o período 2007-2013. </w:t>
              </w:r>
              <w:r w:rsidRPr="008C33B7">
                <w:rPr>
                  <w:rFonts w:ascii="Times New Roman" w:hAnsi="Times New Roman" w:cs="Times New Roman"/>
                  <w:b/>
                  <w:bCs/>
                  <w:noProof/>
                  <w:sz w:val="24"/>
                  <w:szCs w:val="24"/>
                  <w:lang w:val="en-US"/>
                </w:rPr>
                <w:t>Economia Aplicada</w:t>
              </w:r>
              <w:r w:rsidRPr="008C33B7">
                <w:rPr>
                  <w:rFonts w:ascii="Times New Roman" w:hAnsi="Times New Roman" w:cs="Times New Roman"/>
                  <w:noProof/>
                  <w:sz w:val="24"/>
                  <w:szCs w:val="24"/>
                  <w:lang w:val="en-US"/>
                </w:rPr>
                <w:t>, v. 22, n. 2, p. 197-238, 2018.</w:t>
              </w:r>
            </w:p>
            <w:p w14:paraId="03EA52B8" w14:textId="77777777" w:rsidR="008C33B7" w:rsidRPr="008C33B7" w:rsidRDefault="008C33B7" w:rsidP="007367C5">
              <w:pPr>
                <w:pStyle w:val="Bibliografia"/>
                <w:spacing w:before="240" w:line="240" w:lineRule="auto"/>
                <w:jc w:val="both"/>
                <w:rPr>
                  <w:rFonts w:ascii="Times New Roman" w:hAnsi="Times New Roman" w:cs="Times New Roman"/>
                  <w:noProof/>
                  <w:sz w:val="24"/>
                  <w:szCs w:val="24"/>
                </w:rPr>
              </w:pPr>
              <w:r w:rsidRPr="008C33B7">
                <w:rPr>
                  <w:rFonts w:ascii="Times New Roman" w:hAnsi="Times New Roman" w:cs="Times New Roman"/>
                  <w:noProof/>
                  <w:sz w:val="24"/>
                  <w:szCs w:val="24"/>
                  <w:lang w:val="en-US"/>
                </w:rPr>
                <w:t xml:space="preserve">ORGANISATION FOR ECONOMIC CO-OPERATION AND DEVELOPMENT (OCDE). </w:t>
              </w:r>
              <w:r w:rsidRPr="008C33B7">
                <w:rPr>
                  <w:rFonts w:ascii="Times New Roman" w:hAnsi="Times New Roman" w:cs="Times New Roman"/>
                  <w:b/>
                  <w:bCs/>
                  <w:noProof/>
                  <w:sz w:val="24"/>
                  <w:szCs w:val="24"/>
                </w:rPr>
                <w:t>PISA 2018 Results</w:t>
              </w:r>
              <w:r w:rsidRPr="008C33B7">
                <w:rPr>
                  <w:rFonts w:ascii="Times New Roman" w:hAnsi="Times New Roman" w:cs="Times New Roman"/>
                  <w:noProof/>
                  <w:sz w:val="24"/>
                  <w:szCs w:val="24"/>
                </w:rPr>
                <w:t>. OCDE.. 2019.</w:t>
              </w:r>
            </w:p>
            <w:p w14:paraId="4F741DE2" w14:textId="77777777" w:rsidR="008C33B7" w:rsidRPr="008C33B7" w:rsidRDefault="008C33B7" w:rsidP="007367C5">
              <w:pPr>
                <w:pStyle w:val="Bibliografia"/>
                <w:spacing w:before="240" w:line="240" w:lineRule="auto"/>
                <w:jc w:val="both"/>
                <w:rPr>
                  <w:rFonts w:ascii="Times New Roman" w:hAnsi="Times New Roman" w:cs="Times New Roman"/>
                  <w:noProof/>
                  <w:sz w:val="24"/>
                  <w:szCs w:val="24"/>
                </w:rPr>
              </w:pPr>
              <w:r w:rsidRPr="008C33B7">
                <w:rPr>
                  <w:rFonts w:ascii="Times New Roman" w:hAnsi="Times New Roman" w:cs="Times New Roman"/>
                  <w:noProof/>
                  <w:sz w:val="24"/>
                  <w:szCs w:val="24"/>
                </w:rPr>
                <w:t xml:space="preserve">RAPOSO, I. P. D. A.; GONÇALVES, M. B. C. A Saúde dos Amigos de Sala de Aula Interfere no Desempenho Escolar do Aluno? </w:t>
              </w:r>
              <w:r w:rsidRPr="008C33B7">
                <w:rPr>
                  <w:rFonts w:ascii="Times New Roman" w:hAnsi="Times New Roman" w:cs="Times New Roman"/>
                  <w:b/>
                  <w:bCs/>
                  <w:noProof/>
                  <w:sz w:val="24"/>
                  <w:szCs w:val="24"/>
                </w:rPr>
                <w:t xml:space="preserve">Estudos Econônicos </w:t>
              </w:r>
              <w:r w:rsidRPr="008C33B7">
                <w:rPr>
                  <w:rFonts w:ascii="Times New Roman" w:hAnsi="Times New Roman" w:cs="Times New Roman"/>
                  <w:noProof/>
                  <w:sz w:val="24"/>
                  <w:szCs w:val="24"/>
                </w:rPr>
                <w:t>, São Paulo , v. 48, n. 2, p. 311-337, abr-jun 2018.</w:t>
              </w:r>
            </w:p>
            <w:p w14:paraId="34AB340E" w14:textId="2ACB831D" w:rsidR="008C33B7" w:rsidRPr="00B52087" w:rsidRDefault="008C33B7" w:rsidP="007367C5">
              <w:pPr>
                <w:pStyle w:val="Bibliografia"/>
                <w:spacing w:before="240" w:line="240" w:lineRule="auto"/>
                <w:jc w:val="both"/>
                <w:rPr>
                  <w:rFonts w:ascii="Times New Roman" w:hAnsi="Times New Roman" w:cs="Times New Roman"/>
                  <w:noProof/>
                  <w:sz w:val="24"/>
                  <w:szCs w:val="24"/>
                  <w:lang w:val="en-US"/>
                </w:rPr>
              </w:pPr>
              <w:r w:rsidRPr="008C33B7">
                <w:rPr>
                  <w:rFonts w:ascii="Times New Roman" w:hAnsi="Times New Roman" w:cs="Times New Roman"/>
                  <w:noProof/>
                  <w:sz w:val="24"/>
                  <w:szCs w:val="24"/>
                </w:rPr>
                <w:t xml:space="preserve">ROCHA, R. H.; MENEZES-FILHO, N.; KOMATSU, B. K. AVALIANDO O IMPACTO DAS POLÍTICAS EDUCACIONAIS EM SOBRAL. </w:t>
              </w:r>
              <w:r w:rsidRPr="00B52087">
                <w:rPr>
                  <w:rFonts w:ascii="Times New Roman" w:hAnsi="Times New Roman" w:cs="Times New Roman"/>
                  <w:b/>
                  <w:bCs/>
                  <w:noProof/>
                  <w:sz w:val="24"/>
                  <w:szCs w:val="24"/>
                  <w:lang w:val="en-US"/>
                </w:rPr>
                <w:t>Economia Aplicada</w:t>
              </w:r>
              <w:r w:rsidRPr="00B52087">
                <w:rPr>
                  <w:rFonts w:ascii="Times New Roman" w:hAnsi="Times New Roman" w:cs="Times New Roman"/>
                  <w:noProof/>
                  <w:sz w:val="24"/>
                  <w:szCs w:val="24"/>
                  <w:lang w:val="en-US"/>
                </w:rPr>
                <w:t>, v. 22, n. 4, p. 5-30, 2018.</w:t>
              </w:r>
            </w:p>
            <w:p w14:paraId="5C71A901" w14:textId="2E1B2EAD" w:rsidR="001C06BC" w:rsidRPr="00F15136" w:rsidRDefault="001C06BC" w:rsidP="007367C5">
              <w:pPr>
                <w:spacing w:line="240" w:lineRule="auto"/>
                <w:jc w:val="both"/>
                <w:rPr>
                  <w:rFonts w:ascii="Times New Roman" w:hAnsi="Times New Roman" w:cs="Times New Roman"/>
                  <w:sz w:val="24"/>
                  <w:szCs w:val="24"/>
                </w:rPr>
              </w:pPr>
              <w:r w:rsidRPr="001C06BC">
                <w:rPr>
                  <w:rFonts w:ascii="Times New Roman" w:hAnsi="Times New Roman" w:cs="Times New Roman"/>
                  <w:sz w:val="24"/>
                  <w:szCs w:val="24"/>
                  <w:lang w:val="en-US"/>
                </w:rPr>
                <w:t xml:space="preserve">RUDENKO, E.; BACHIEVA, R.; ALIGADZHIEVA, A.; TEMIRHANOVA, Z.; ARCHILAEVA, A. Distance learning during the pandemic: managing the challenges. </w:t>
              </w:r>
              <w:r>
                <w:rPr>
                  <w:rFonts w:ascii="Times New Roman" w:hAnsi="Times New Roman" w:cs="Times New Roman"/>
                  <w:sz w:val="24"/>
                  <w:szCs w:val="24"/>
                </w:rPr>
                <w:t>Disponível em: &lt;</w:t>
              </w:r>
              <w:r w:rsidRPr="001C06BC">
                <w:rPr>
                  <w:rFonts w:ascii="Times New Roman" w:hAnsi="Times New Roman" w:cs="Times New Roman"/>
                  <w:sz w:val="24"/>
                  <w:szCs w:val="24"/>
                </w:rPr>
                <w:t>https://www.e3s-conferences.org/articles/e3sconf/pdf/2020/70/e3sconf_itse2020_18038.pdf</w:t>
              </w:r>
              <w:r>
                <w:rPr>
                  <w:rFonts w:ascii="Times New Roman" w:hAnsi="Times New Roman" w:cs="Times New Roman"/>
                  <w:sz w:val="24"/>
                  <w:szCs w:val="24"/>
                </w:rPr>
                <w:t>&gt; Acesso em: 11 jan. 2023.</w:t>
              </w:r>
            </w:p>
            <w:p w14:paraId="26F8C578" w14:textId="77777777" w:rsidR="008C33B7" w:rsidRPr="008C33B7" w:rsidRDefault="008C33B7" w:rsidP="007367C5">
              <w:pPr>
                <w:pStyle w:val="Bibliografia"/>
                <w:spacing w:before="240" w:line="240" w:lineRule="auto"/>
                <w:jc w:val="both"/>
                <w:rPr>
                  <w:rFonts w:ascii="Times New Roman" w:hAnsi="Times New Roman" w:cs="Times New Roman"/>
                  <w:noProof/>
                  <w:sz w:val="24"/>
                  <w:szCs w:val="24"/>
                </w:rPr>
              </w:pPr>
              <w:r w:rsidRPr="008C33B7">
                <w:rPr>
                  <w:rFonts w:ascii="Times New Roman" w:hAnsi="Times New Roman" w:cs="Times New Roman"/>
                  <w:noProof/>
                  <w:sz w:val="24"/>
                  <w:szCs w:val="24"/>
                </w:rPr>
                <w:lastRenderedPageBreak/>
                <w:t xml:space="preserve">SANTO, M. M. D.; MARIANO, F. Z.; COSTA, E. M. Efeitos da Educação dos Pais sobre o Rendimento Escolar dos Filhos via Mediação das Condições Socioeconômicas. </w:t>
              </w:r>
              <w:r w:rsidRPr="008C33B7">
                <w:rPr>
                  <w:rFonts w:ascii="Times New Roman" w:hAnsi="Times New Roman" w:cs="Times New Roman"/>
                  <w:b/>
                  <w:bCs/>
                  <w:noProof/>
                  <w:sz w:val="24"/>
                  <w:szCs w:val="24"/>
                </w:rPr>
                <w:t>Economia Aplicada</w:t>
              </w:r>
              <w:r w:rsidRPr="008C33B7">
                <w:rPr>
                  <w:rFonts w:ascii="Times New Roman" w:hAnsi="Times New Roman" w:cs="Times New Roman"/>
                  <w:noProof/>
                  <w:sz w:val="24"/>
                  <w:szCs w:val="24"/>
                </w:rPr>
                <w:t>, v. 23, n. 2, p. 145-182, 2019.</w:t>
              </w:r>
            </w:p>
            <w:p w14:paraId="30BC51E7" w14:textId="13B873D9" w:rsidR="008C33B7" w:rsidRPr="008C33B7" w:rsidRDefault="008C33B7" w:rsidP="007367C5">
              <w:pPr>
                <w:pStyle w:val="Bibliografia"/>
                <w:spacing w:before="240" w:line="240" w:lineRule="auto"/>
                <w:jc w:val="both"/>
                <w:rPr>
                  <w:rFonts w:ascii="Times New Roman" w:hAnsi="Times New Roman" w:cs="Times New Roman"/>
                  <w:noProof/>
                  <w:sz w:val="24"/>
                  <w:szCs w:val="24"/>
                </w:rPr>
              </w:pPr>
              <w:r w:rsidRPr="008C33B7">
                <w:rPr>
                  <w:rFonts w:ascii="Times New Roman" w:hAnsi="Times New Roman" w:cs="Times New Roman"/>
                  <w:noProof/>
                  <w:sz w:val="24"/>
                  <w:szCs w:val="24"/>
                </w:rPr>
                <w:t xml:space="preserve">SIQUEIRA, W. L.; BECKER, K. L.; FREITAS, C. A. D. Determinantes da proficiência dos alunos das escolas públicas brasileiras. </w:t>
              </w:r>
              <w:r w:rsidR="00F15136" w:rsidRPr="008C33B7">
                <w:rPr>
                  <w:rFonts w:ascii="Times New Roman" w:hAnsi="Times New Roman" w:cs="Times New Roman"/>
                  <w:b/>
                  <w:bCs/>
                  <w:noProof/>
                  <w:sz w:val="24"/>
                  <w:szCs w:val="24"/>
                </w:rPr>
                <w:t xml:space="preserve">Anpec </w:t>
              </w:r>
              <w:r w:rsidR="00F15136">
                <w:rPr>
                  <w:rFonts w:ascii="Times New Roman" w:hAnsi="Times New Roman" w:cs="Times New Roman"/>
                  <w:b/>
                  <w:bCs/>
                  <w:noProof/>
                  <w:sz w:val="24"/>
                  <w:szCs w:val="24"/>
                </w:rPr>
                <w:t>N</w:t>
              </w:r>
              <w:r w:rsidR="00F15136" w:rsidRPr="008C33B7">
                <w:rPr>
                  <w:rFonts w:ascii="Times New Roman" w:hAnsi="Times New Roman" w:cs="Times New Roman"/>
                  <w:b/>
                  <w:bCs/>
                  <w:noProof/>
                  <w:sz w:val="24"/>
                  <w:szCs w:val="24"/>
                </w:rPr>
                <w:t>acional</w:t>
              </w:r>
              <w:r w:rsidRPr="008C33B7">
                <w:rPr>
                  <w:rFonts w:ascii="Times New Roman" w:hAnsi="Times New Roman" w:cs="Times New Roman"/>
                  <w:noProof/>
                  <w:sz w:val="24"/>
                  <w:szCs w:val="24"/>
                </w:rPr>
                <w:t>, 2022.</w:t>
              </w:r>
            </w:p>
            <w:p w14:paraId="7F3F6F92" w14:textId="3FB79955" w:rsidR="00842D7B" w:rsidRPr="003C46AE" w:rsidRDefault="008522A9" w:rsidP="003C46AE">
              <w:pPr>
                <w:spacing w:before="240" w:line="360" w:lineRule="auto"/>
                <w:jc w:val="both"/>
              </w:pPr>
              <w:r w:rsidRPr="008C33B7">
                <w:rPr>
                  <w:rFonts w:ascii="Times New Roman" w:hAnsi="Times New Roman" w:cs="Times New Roman"/>
                  <w:b/>
                  <w:bCs/>
                  <w:sz w:val="24"/>
                  <w:szCs w:val="24"/>
                </w:rPr>
                <w:fldChar w:fldCharType="end"/>
              </w:r>
            </w:p>
          </w:sdtContent>
        </w:sdt>
      </w:sdtContent>
    </w:sdt>
    <w:sectPr w:rsidR="00842D7B" w:rsidRPr="003C46AE" w:rsidSect="005D396B">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91B07" w14:textId="77777777" w:rsidR="00A21420" w:rsidRDefault="00A21420" w:rsidP="00932C3E">
      <w:pPr>
        <w:spacing w:after="0" w:line="240" w:lineRule="auto"/>
      </w:pPr>
      <w:r>
        <w:separator/>
      </w:r>
    </w:p>
  </w:endnote>
  <w:endnote w:type="continuationSeparator" w:id="0">
    <w:p w14:paraId="3C33FCC9" w14:textId="77777777" w:rsidR="00A21420" w:rsidRDefault="00A21420" w:rsidP="00932C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MT">
    <w:altName w:val="MS Mincho"/>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74D23" w14:textId="77777777" w:rsidR="00A21420" w:rsidRDefault="00A21420" w:rsidP="00932C3E">
      <w:pPr>
        <w:spacing w:after="0" w:line="240" w:lineRule="auto"/>
      </w:pPr>
      <w:r>
        <w:separator/>
      </w:r>
    </w:p>
  </w:footnote>
  <w:footnote w:type="continuationSeparator" w:id="0">
    <w:p w14:paraId="7D33A178" w14:textId="77777777" w:rsidR="00A21420" w:rsidRDefault="00A21420" w:rsidP="00932C3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7ED"/>
    <w:rsid w:val="00002B9E"/>
    <w:rsid w:val="0001770C"/>
    <w:rsid w:val="00030A42"/>
    <w:rsid w:val="0003180A"/>
    <w:rsid w:val="00036E40"/>
    <w:rsid w:val="00042D83"/>
    <w:rsid w:val="0005712F"/>
    <w:rsid w:val="00071820"/>
    <w:rsid w:val="00083F89"/>
    <w:rsid w:val="00085212"/>
    <w:rsid w:val="000C276F"/>
    <w:rsid w:val="000F3737"/>
    <w:rsid w:val="00104A87"/>
    <w:rsid w:val="001229AE"/>
    <w:rsid w:val="001271EC"/>
    <w:rsid w:val="00133652"/>
    <w:rsid w:val="0013533B"/>
    <w:rsid w:val="00135E35"/>
    <w:rsid w:val="00147ECE"/>
    <w:rsid w:val="00154006"/>
    <w:rsid w:val="00155413"/>
    <w:rsid w:val="001572FD"/>
    <w:rsid w:val="00162ECD"/>
    <w:rsid w:val="00170B7C"/>
    <w:rsid w:val="00173924"/>
    <w:rsid w:val="001A7AC5"/>
    <w:rsid w:val="001C06BC"/>
    <w:rsid w:val="001C4902"/>
    <w:rsid w:val="001D6109"/>
    <w:rsid w:val="001E01E8"/>
    <w:rsid w:val="001E13DB"/>
    <w:rsid w:val="001F71DD"/>
    <w:rsid w:val="00202CF1"/>
    <w:rsid w:val="0020718E"/>
    <w:rsid w:val="002409DA"/>
    <w:rsid w:val="00241513"/>
    <w:rsid w:val="00274830"/>
    <w:rsid w:val="00293237"/>
    <w:rsid w:val="002A13F8"/>
    <w:rsid w:val="002A2DEC"/>
    <w:rsid w:val="002A3A06"/>
    <w:rsid w:val="002B53DE"/>
    <w:rsid w:val="002B7D1C"/>
    <w:rsid w:val="002C370E"/>
    <w:rsid w:val="002C38DC"/>
    <w:rsid w:val="002D4487"/>
    <w:rsid w:val="002F10D8"/>
    <w:rsid w:val="002F2EB4"/>
    <w:rsid w:val="00306DAE"/>
    <w:rsid w:val="0031109D"/>
    <w:rsid w:val="003138A7"/>
    <w:rsid w:val="00341FBF"/>
    <w:rsid w:val="00346081"/>
    <w:rsid w:val="00354CA6"/>
    <w:rsid w:val="003578CA"/>
    <w:rsid w:val="00370411"/>
    <w:rsid w:val="003843DD"/>
    <w:rsid w:val="003868E5"/>
    <w:rsid w:val="003A2A6E"/>
    <w:rsid w:val="003A34E6"/>
    <w:rsid w:val="003A589B"/>
    <w:rsid w:val="003B1D23"/>
    <w:rsid w:val="003B3CBB"/>
    <w:rsid w:val="003C0406"/>
    <w:rsid w:val="003C2B00"/>
    <w:rsid w:val="003C46AE"/>
    <w:rsid w:val="00400F9C"/>
    <w:rsid w:val="00410E44"/>
    <w:rsid w:val="00411E5B"/>
    <w:rsid w:val="00420CB2"/>
    <w:rsid w:val="00423040"/>
    <w:rsid w:val="00442DCF"/>
    <w:rsid w:val="00464CBA"/>
    <w:rsid w:val="00464DBE"/>
    <w:rsid w:val="0047132F"/>
    <w:rsid w:val="004A39B6"/>
    <w:rsid w:val="00512FB1"/>
    <w:rsid w:val="00513F9D"/>
    <w:rsid w:val="00531511"/>
    <w:rsid w:val="005512ED"/>
    <w:rsid w:val="00551C90"/>
    <w:rsid w:val="00562754"/>
    <w:rsid w:val="0057651D"/>
    <w:rsid w:val="00581F12"/>
    <w:rsid w:val="00586074"/>
    <w:rsid w:val="005944CE"/>
    <w:rsid w:val="005D396B"/>
    <w:rsid w:val="005D79F3"/>
    <w:rsid w:val="005E21FF"/>
    <w:rsid w:val="0060086F"/>
    <w:rsid w:val="006178A4"/>
    <w:rsid w:val="00621085"/>
    <w:rsid w:val="006243C3"/>
    <w:rsid w:val="00634267"/>
    <w:rsid w:val="00637D94"/>
    <w:rsid w:val="00652385"/>
    <w:rsid w:val="0066371F"/>
    <w:rsid w:val="00687525"/>
    <w:rsid w:val="00692753"/>
    <w:rsid w:val="0069379E"/>
    <w:rsid w:val="006A5716"/>
    <w:rsid w:val="006B2C48"/>
    <w:rsid w:val="006B2E06"/>
    <w:rsid w:val="006B4A82"/>
    <w:rsid w:val="006B5EDE"/>
    <w:rsid w:val="006C3164"/>
    <w:rsid w:val="006C4100"/>
    <w:rsid w:val="006D2E5D"/>
    <w:rsid w:val="006D3495"/>
    <w:rsid w:val="006E0E52"/>
    <w:rsid w:val="006E3194"/>
    <w:rsid w:val="006E396B"/>
    <w:rsid w:val="006F6552"/>
    <w:rsid w:val="0071352E"/>
    <w:rsid w:val="00715AB9"/>
    <w:rsid w:val="00726832"/>
    <w:rsid w:val="007367C5"/>
    <w:rsid w:val="00750E26"/>
    <w:rsid w:val="00753EDC"/>
    <w:rsid w:val="007645AE"/>
    <w:rsid w:val="00770E06"/>
    <w:rsid w:val="00773B32"/>
    <w:rsid w:val="00783BD4"/>
    <w:rsid w:val="00785368"/>
    <w:rsid w:val="00791F80"/>
    <w:rsid w:val="007C18FF"/>
    <w:rsid w:val="007C216F"/>
    <w:rsid w:val="008020E8"/>
    <w:rsid w:val="008053D2"/>
    <w:rsid w:val="00821BD8"/>
    <w:rsid w:val="00837C30"/>
    <w:rsid w:val="008417BE"/>
    <w:rsid w:val="00842D7B"/>
    <w:rsid w:val="008522A9"/>
    <w:rsid w:val="00852DF3"/>
    <w:rsid w:val="00860B6C"/>
    <w:rsid w:val="00863487"/>
    <w:rsid w:val="00866530"/>
    <w:rsid w:val="00867A59"/>
    <w:rsid w:val="008730C2"/>
    <w:rsid w:val="008753A5"/>
    <w:rsid w:val="0088584F"/>
    <w:rsid w:val="00895931"/>
    <w:rsid w:val="008A010F"/>
    <w:rsid w:val="008C33B7"/>
    <w:rsid w:val="008D5526"/>
    <w:rsid w:val="008E46B7"/>
    <w:rsid w:val="00906D7E"/>
    <w:rsid w:val="0093046D"/>
    <w:rsid w:val="00932C3E"/>
    <w:rsid w:val="0094082D"/>
    <w:rsid w:val="009437DC"/>
    <w:rsid w:val="00945BD8"/>
    <w:rsid w:val="009531BA"/>
    <w:rsid w:val="00962223"/>
    <w:rsid w:val="009663B9"/>
    <w:rsid w:val="00967263"/>
    <w:rsid w:val="00973938"/>
    <w:rsid w:val="0097721E"/>
    <w:rsid w:val="00977E25"/>
    <w:rsid w:val="00982B43"/>
    <w:rsid w:val="00994C3F"/>
    <w:rsid w:val="009A7476"/>
    <w:rsid w:val="009C18CF"/>
    <w:rsid w:val="009C7C78"/>
    <w:rsid w:val="009D161E"/>
    <w:rsid w:val="009D3A98"/>
    <w:rsid w:val="009D4399"/>
    <w:rsid w:val="009F3206"/>
    <w:rsid w:val="00A202D7"/>
    <w:rsid w:val="00A21420"/>
    <w:rsid w:val="00A25143"/>
    <w:rsid w:val="00A44EDE"/>
    <w:rsid w:val="00A455A5"/>
    <w:rsid w:val="00A60FFF"/>
    <w:rsid w:val="00AA02BA"/>
    <w:rsid w:val="00AC39DF"/>
    <w:rsid w:val="00AC67ED"/>
    <w:rsid w:val="00AD0A98"/>
    <w:rsid w:val="00AD0AB4"/>
    <w:rsid w:val="00AE5B41"/>
    <w:rsid w:val="00B00F36"/>
    <w:rsid w:val="00B1691F"/>
    <w:rsid w:val="00B215DA"/>
    <w:rsid w:val="00B237F6"/>
    <w:rsid w:val="00B24300"/>
    <w:rsid w:val="00B32341"/>
    <w:rsid w:val="00B4330A"/>
    <w:rsid w:val="00B52087"/>
    <w:rsid w:val="00B5216A"/>
    <w:rsid w:val="00B529BB"/>
    <w:rsid w:val="00B54B76"/>
    <w:rsid w:val="00B738A8"/>
    <w:rsid w:val="00B87AF3"/>
    <w:rsid w:val="00B909F8"/>
    <w:rsid w:val="00B91985"/>
    <w:rsid w:val="00B97D9C"/>
    <w:rsid w:val="00BA2719"/>
    <w:rsid w:val="00BA2A7E"/>
    <w:rsid w:val="00BB2151"/>
    <w:rsid w:val="00BB70ED"/>
    <w:rsid w:val="00BC4594"/>
    <w:rsid w:val="00BE7558"/>
    <w:rsid w:val="00BF4EB2"/>
    <w:rsid w:val="00BF68FD"/>
    <w:rsid w:val="00C01CC4"/>
    <w:rsid w:val="00C01F96"/>
    <w:rsid w:val="00C1772E"/>
    <w:rsid w:val="00C2614B"/>
    <w:rsid w:val="00C2624A"/>
    <w:rsid w:val="00C271F4"/>
    <w:rsid w:val="00C351D7"/>
    <w:rsid w:val="00C460E3"/>
    <w:rsid w:val="00C5153A"/>
    <w:rsid w:val="00C63DC6"/>
    <w:rsid w:val="00C82885"/>
    <w:rsid w:val="00CA421F"/>
    <w:rsid w:val="00CD3E81"/>
    <w:rsid w:val="00CD6ACD"/>
    <w:rsid w:val="00CD7A9D"/>
    <w:rsid w:val="00D077CD"/>
    <w:rsid w:val="00D14736"/>
    <w:rsid w:val="00D4235E"/>
    <w:rsid w:val="00D47340"/>
    <w:rsid w:val="00D60BB9"/>
    <w:rsid w:val="00D67560"/>
    <w:rsid w:val="00D87F1D"/>
    <w:rsid w:val="00DC26A7"/>
    <w:rsid w:val="00DC449D"/>
    <w:rsid w:val="00DD2B22"/>
    <w:rsid w:val="00DE2917"/>
    <w:rsid w:val="00DE29D0"/>
    <w:rsid w:val="00DF0414"/>
    <w:rsid w:val="00E055B5"/>
    <w:rsid w:val="00E31299"/>
    <w:rsid w:val="00E31340"/>
    <w:rsid w:val="00E42C41"/>
    <w:rsid w:val="00E46BED"/>
    <w:rsid w:val="00E55E85"/>
    <w:rsid w:val="00E64B28"/>
    <w:rsid w:val="00E73855"/>
    <w:rsid w:val="00E81D6E"/>
    <w:rsid w:val="00E97FD5"/>
    <w:rsid w:val="00EB2787"/>
    <w:rsid w:val="00EB6B29"/>
    <w:rsid w:val="00EC4C0A"/>
    <w:rsid w:val="00EF6678"/>
    <w:rsid w:val="00EF667D"/>
    <w:rsid w:val="00F1337B"/>
    <w:rsid w:val="00F15136"/>
    <w:rsid w:val="00F20CDE"/>
    <w:rsid w:val="00F24FA0"/>
    <w:rsid w:val="00F53FEB"/>
    <w:rsid w:val="00F73145"/>
    <w:rsid w:val="00F97289"/>
    <w:rsid w:val="00FA0A2D"/>
    <w:rsid w:val="00FB6D01"/>
    <w:rsid w:val="00FC40F6"/>
    <w:rsid w:val="00FD7938"/>
    <w:rsid w:val="00FF70D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4DAB7"/>
  <w15:chartTrackingRefBased/>
  <w15:docId w15:val="{1063CEF2-EE97-49BC-97BE-2FC4A0C03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8522A9"/>
    <w:pPr>
      <w:keepNext/>
      <w:keepLines/>
      <w:spacing w:before="240" w:after="0"/>
      <w:outlineLvl w:val="0"/>
    </w:pPr>
    <w:rPr>
      <w:rFonts w:asciiTheme="majorHAnsi" w:eastAsiaTheme="majorEastAsia" w:hAnsiTheme="majorHAnsi" w:cstheme="majorBidi"/>
      <w:color w:val="2F5496" w:themeColor="accent1" w:themeShade="BF"/>
      <w:sz w:val="32"/>
      <w:szCs w:val="32"/>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932C3E"/>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932C3E"/>
    <w:rPr>
      <w:sz w:val="20"/>
      <w:szCs w:val="20"/>
    </w:rPr>
  </w:style>
  <w:style w:type="character" w:styleId="Refdenotaderodap">
    <w:name w:val="footnote reference"/>
    <w:basedOn w:val="Fontepargpadro"/>
    <w:uiPriority w:val="99"/>
    <w:semiHidden/>
    <w:unhideWhenUsed/>
    <w:rsid w:val="00932C3E"/>
    <w:rPr>
      <w:vertAlign w:val="superscript"/>
    </w:rPr>
  </w:style>
  <w:style w:type="character" w:styleId="Hyperlink">
    <w:name w:val="Hyperlink"/>
    <w:basedOn w:val="Fontepargpadro"/>
    <w:uiPriority w:val="99"/>
    <w:unhideWhenUsed/>
    <w:rsid w:val="00932C3E"/>
    <w:rPr>
      <w:color w:val="0563C1" w:themeColor="hyperlink"/>
      <w:u w:val="single"/>
    </w:rPr>
  </w:style>
  <w:style w:type="character" w:styleId="MenoPendente">
    <w:name w:val="Unresolved Mention"/>
    <w:basedOn w:val="Fontepargpadro"/>
    <w:uiPriority w:val="99"/>
    <w:semiHidden/>
    <w:unhideWhenUsed/>
    <w:rsid w:val="00932C3E"/>
    <w:rPr>
      <w:color w:val="605E5C"/>
      <w:shd w:val="clear" w:color="auto" w:fill="E1DFDD"/>
    </w:rPr>
  </w:style>
  <w:style w:type="table" w:styleId="Tabelacomgrade">
    <w:name w:val="Table Grid"/>
    <w:basedOn w:val="Tabelanormal"/>
    <w:uiPriority w:val="39"/>
    <w:rsid w:val="006B2C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Fontepargpadro"/>
    <w:rsid w:val="00083F89"/>
    <w:rPr>
      <w:rFonts w:ascii="TimesNewRomanPSMT" w:hAnsi="TimesNewRomanPSMT" w:hint="default"/>
      <w:b w:val="0"/>
      <w:bCs w:val="0"/>
      <w:i w:val="0"/>
      <w:iCs w:val="0"/>
      <w:color w:val="000000"/>
      <w:sz w:val="24"/>
      <w:szCs w:val="24"/>
    </w:rPr>
  </w:style>
  <w:style w:type="character" w:customStyle="1" w:styleId="Ttulo1Char">
    <w:name w:val="Título 1 Char"/>
    <w:basedOn w:val="Fontepargpadro"/>
    <w:link w:val="Ttulo1"/>
    <w:uiPriority w:val="9"/>
    <w:rsid w:val="008522A9"/>
    <w:rPr>
      <w:rFonts w:asciiTheme="majorHAnsi" w:eastAsiaTheme="majorEastAsia" w:hAnsiTheme="majorHAnsi" w:cstheme="majorBidi"/>
      <w:color w:val="2F5496" w:themeColor="accent1" w:themeShade="BF"/>
      <w:sz w:val="32"/>
      <w:szCs w:val="32"/>
      <w:lang w:eastAsia="pt-BR"/>
    </w:rPr>
  </w:style>
  <w:style w:type="paragraph" w:styleId="Bibliografia">
    <w:name w:val="Bibliography"/>
    <w:basedOn w:val="Normal"/>
    <w:next w:val="Normal"/>
    <w:uiPriority w:val="37"/>
    <w:unhideWhenUsed/>
    <w:rsid w:val="008522A9"/>
  </w:style>
  <w:style w:type="paragraph" w:styleId="NormalWeb">
    <w:name w:val="Normal (Web)"/>
    <w:basedOn w:val="Normal"/>
    <w:uiPriority w:val="99"/>
    <w:unhideWhenUsed/>
    <w:rsid w:val="0069275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42288">
      <w:bodyDiv w:val="1"/>
      <w:marLeft w:val="0"/>
      <w:marRight w:val="0"/>
      <w:marTop w:val="0"/>
      <w:marBottom w:val="0"/>
      <w:divBdr>
        <w:top w:val="none" w:sz="0" w:space="0" w:color="auto"/>
        <w:left w:val="none" w:sz="0" w:space="0" w:color="auto"/>
        <w:bottom w:val="none" w:sz="0" w:space="0" w:color="auto"/>
        <w:right w:val="none" w:sz="0" w:space="0" w:color="auto"/>
      </w:divBdr>
    </w:div>
    <w:div w:id="151262254">
      <w:bodyDiv w:val="1"/>
      <w:marLeft w:val="0"/>
      <w:marRight w:val="0"/>
      <w:marTop w:val="0"/>
      <w:marBottom w:val="0"/>
      <w:divBdr>
        <w:top w:val="none" w:sz="0" w:space="0" w:color="auto"/>
        <w:left w:val="none" w:sz="0" w:space="0" w:color="auto"/>
        <w:bottom w:val="none" w:sz="0" w:space="0" w:color="auto"/>
        <w:right w:val="none" w:sz="0" w:space="0" w:color="auto"/>
      </w:divBdr>
    </w:div>
    <w:div w:id="160317284">
      <w:bodyDiv w:val="1"/>
      <w:marLeft w:val="0"/>
      <w:marRight w:val="0"/>
      <w:marTop w:val="0"/>
      <w:marBottom w:val="0"/>
      <w:divBdr>
        <w:top w:val="none" w:sz="0" w:space="0" w:color="auto"/>
        <w:left w:val="none" w:sz="0" w:space="0" w:color="auto"/>
        <w:bottom w:val="none" w:sz="0" w:space="0" w:color="auto"/>
        <w:right w:val="none" w:sz="0" w:space="0" w:color="auto"/>
      </w:divBdr>
    </w:div>
    <w:div w:id="200948407">
      <w:bodyDiv w:val="1"/>
      <w:marLeft w:val="0"/>
      <w:marRight w:val="0"/>
      <w:marTop w:val="0"/>
      <w:marBottom w:val="0"/>
      <w:divBdr>
        <w:top w:val="none" w:sz="0" w:space="0" w:color="auto"/>
        <w:left w:val="none" w:sz="0" w:space="0" w:color="auto"/>
        <w:bottom w:val="none" w:sz="0" w:space="0" w:color="auto"/>
        <w:right w:val="none" w:sz="0" w:space="0" w:color="auto"/>
      </w:divBdr>
    </w:div>
    <w:div w:id="226304433">
      <w:bodyDiv w:val="1"/>
      <w:marLeft w:val="0"/>
      <w:marRight w:val="0"/>
      <w:marTop w:val="0"/>
      <w:marBottom w:val="0"/>
      <w:divBdr>
        <w:top w:val="none" w:sz="0" w:space="0" w:color="auto"/>
        <w:left w:val="none" w:sz="0" w:space="0" w:color="auto"/>
        <w:bottom w:val="none" w:sz="0" w:space="0" w:color="auto"/>
        <w:right w:val="none" w:sz="0" w:space="0" w:color="auto"/>
      </w:divBdr>
    </w:div>
    <w:div w:id="274099503">
      <w:bodyDiv w:val="1"/>
      <w:marLeft w:val="0"/>
      <w:marRight w:val="0"/>
      <w:marTop w:val="0"/>
      <w:marBottom w:val="0"/>
      <w:divBdr>
        <w:top w:val="none" w:sz="0" w:space="0" w:color="auto"/>
        <w:left w:val="none" w:sz="0" w:space="0" w:color="auto"/>
        <w:bottom w:val="none" w:sz="0" w:space="0" w:color="auto"/>
        <w:right w:val="none" w:sz="0" w:space="0" w:color="auto"/>
      </w:divBdr>
    </w:div>
    <w:div w:id="296421754">
      <w:bodyDiv w:val="1"/>
      <w:marLeft w:val="0"/>
      <w:marRight w:val="0"/>
      <w:marTop w:val="0"/>
      <w:marBottom w:val="0"/>
      <w:divBdr>
        <w:top w:val="none" w:sz="0" w:space="0" w:color="auto"/>
        <w:left w:val="none" w:sz="0" w:space="0" w:color="auto"/>
        <w:bottom w:val="none" w:sz="0" w:space="0" w:color="auto"/>
        <w:right w:val="none" w:sz="0" w:space="0" w:color="auto"/>
      </w:divBdr>
    </w:div>
    <w:div w:id="323820742">
      <w:bodyDiv w:val="1"/>
      <w:marLeft w:val="0"/>
      <w:marRight w:val="0"/>
      <w:marTop w:val="0"/>
      <w:marBottom w:val="0"/>
      <w:divBdr>
        <w:top w:val="none" w:sz="0" w:space="0" w:color="auto"/>
        <w:left w:val="none" w:sz="0" w:space="0" w:color="auto"/>
        <w:bottom w:val="none" w:sz="0" w:space="0" w:color="auto"/>
        <w:right w:val="none" w:sz="0" w:space="0" w:color="auto"/>
      </w:divBdr>
    </w:div>
    <w:div w:id="425731226">
      <w:bodyDiv w:val="1"/>
      <w:marLeft w:val="0"/>
      <w:marRight w:val="0"/>
      <w:marTop w:val="0"/>
      <w:marBottom w:val="0"/>
      <w:divBdr>
        <w:top w:val="none" w:sz="0" w:space="0" w:color="auto"/>
        <w:left w:val="none" w:sz="0" w:space="0" w:color="auto"/>
        <w:bottom w:val="none" w:sz="0" w:space="0" w:color="auto"/>
        <w:right w:val="none" w:sz="0" w:space="0" w:color="auto"/>
      </w:divBdr>
    </w:div>
    <w:div w:id="486823579">
      <w:bodyDiv w:val="1"/>
      <w:marLeft w:val="0"/>
      <w:marRight w:val="0"/>
      <w:marTop w:val="0"/>
      <w:marBottom w:val="0"/>
      <w:divBdr>
        <w:top w:val="none" w:sz="0" w:space="0" w:color="auto"/>
        <w:left w:val="none" w:sz="0" w:space="0" w:color="auto"/>
        <w:bottom w:val="none" w:sz="0" w:space="0" w:color="auto"/>
        <w:right w:val="none" w:sz="0" w:space="0" w:color="auto"/>
      </w:divBdr>
    </w:div>
    <w:div w:id="716271755">
      <w:bodyDiv w:val="1"/>
      <w:marLeft w:val="0"/>
      <w:marRight w:val="0"/>
      <w:marTop w:val="0"/>
      <w:marBottom w:val="0"/>
      <w:divBdr>
        <w:top w:val="none" w:sz="0" w:space="0" w:color="auto"/>
        <w:left w:val="none" w:sz="0" w:space="0" w:color="auto"/>
        <w:bottom w:val="none" w:sz="0" w:space="0" w:color="auto"/>
        <w:right w:val="none" w:sz="0" w:space="0" w:color="auto"/>
      </w:divBdr>
    </w:div>
    <w:div w:id="774443471">
      <w:bodyDiv w:val="1"/>
      <w:marLeft w:val="0"/>
      <w:marRight w:val="0"/>
      <w:marTop w:val="0"/>
      <w:marBottom w:val="0"/>
      <w:divBdr>
        <w:top w:val="none" w:sz="0" w:space="0" w:color="auto"/>
        <w:left w:val="none" w:sz="0" w:space="0" w:color="auto"/>
        <w:bottom w:val="none" w:sz="0" w:space="0" w:color="auto"/>
        <w:right w:val="none" w:sz="0" w:space="0" w:color="auto"/>
      </w:divBdr>
    </w:div>
    <w:div w:id="858660427">
      <w:bodyDiv w:val="1"/>
      <w:marLeft w:val="0"/>
      <w:marRight w:val="0"/>
      <w:marTop w:val="0"/>
      <w:marBottom w:val="0"/>
      <w:divBdr>
        <w:top w:val="none" w:sz="0" w:space="0" w:color="auto"/>
        <w:left w:val="none" w:sz="0" w:space="0" w:color="auto"/>
        <w:bottom w:val="none" w:sz="0" w:space="0" w:color="auto"/>
        <w:right w:val="none" w:sz="0" w:space="0" w:color="auto"/>
      </w:divBdr>
    </w:div>
    <w:div w:id="892304526">
      <w:bodyDiv w:val="1"/>
      <w:marLeft w:val="0"/>
      <w:marRight w:val="0"/>
      <w:marTop w:val="0"/>
      <w:marBottom w:val="0"/>
      <w:divBdr>
        <w:top w:val="none" w:sz="0" w:space="0" w:color="auto"/>
        <w:left w:val="none" w:sz="0" w:space="0" w:color="auto"/>
        <w:bottom w:val="none" w:sz="0" w:space="0" w:color="auto"/>
        <w:right w:val="none" w:sz="0" w:space="0" w:color="auto"/>
      </w:divBdr>
    </w:div>
    <w:div w:id="1167285802">
      <w:bodyDiv w:val="1"/>
      <w:marLeft w:val="0"/>
      <w:marRight w:val="0"/>
      <w:marTop w:val="0"/>
      <w:marBottom w:val="0"/>
      <w:divBdr>
        <w:top w:val="none" w:sz="0" w:space="0" w:color="auto"/>
        <w:left w:val="none" w:sz="0" w:space="0" w:color="auto"/>
        <w:bottom w:val="none" w:sz="0" w:space="0" w:color="auto"/>
        <w:right w:val="none" w:sz="0" w:space="0" w:color="auto"/>
      </w:divBdr>
    </w:div>
    <w:div w:id="1288505925">
      <w:bodyDiv w:val="1"/>
      <w:marLeft w:val="0"/>
      <w:marRight w:val="0"/>
      <w:marTop w:val="0"/>
      <w:marBottom w:val="0"/>
      <w:divBdr>
        <w:top w:val="none" w:sz="0" w:space="0" w:color="auto"/>
        <w:left w:val="none" w:sz="0" w:space="0" w:color="auto"/>
        <w:bottom w:val="none" w:sz="0" w:space="0" w:color="auto"/>
        <w:right w:val="none" w:sz="0" w:space="0" w:color="auto"/>
      </w:divBdr>
    </w:div>
    <w:div w:id="1313368237">
      <w:bodyDiv w:val="1"/>
      <w:marLeft w:val="0"/>
      <w:marRight w:val="0"/>
      <w:marTop w:val="0"/>
      <w:marBottom w:val="0"/>
      <w:divBdr>
        <w:top w:val="none" w:sz="0" w:space="0" w:color="auto"/>
        <w:left w:val="none" w:sz="0" w:space="0" w:color="auto"/>
        <w:bottom w:val="none" w:sz="0" w:space="0" w:color="auto"/>
        <w:right w:val="none" w:sz="0" w:space="0" w:color="auto"/>
      </w:divBdr>
    </w:div>
    <w:div w:id="1636135934">
      <w:bodyDiv w:val="1"/>
      <w:marLeft w:val="0"/>
      <w:marRight w:val="0"/>
      <w:marTop w:val="0"/>
      <w:marBottom w:val="0"/>
      <w:divBdr>
        <w:top w:val="none" w:sz="0" w:space="0" w:color="auto"/>
        <w:left w:val="none" w:sz="0" w:space="0" w:color="auto"/>
        <w:bottom w:val="none" w:sz="0" w:space="0" w:color="auto"/>
        <w:right w:val="none" w:sz="0" w:space="0" w:color="auto"/>
      </w:divBdr>
    </w:div>
    <w:div w:id="1832480926">
      <w:bodyDiv w:val="1"/>
      <w:marLeft w:val="0"/>
      <w:marRight w:val="0"/>
      <w:marTop w:val="0"/>
      <w:marBottom w:val="0"/>
      <w:divBdr>
        <w:top w:val="none" w:sz="0" w:space="0" w:color="auto"/>
        <w:left w:val="none" w:sz="0" w:space="0" w:color="auto"/>
        <w:bottom w:val="none" w:sz="0" w:space="0" w:color="auto"/>
        <w:right w:val="none" w:sz="0" w:space="0" w:color="auto"/>
      </w:divBdr>
    </w:div>
    <w:div w:id="1942451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lincabecker@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ssicantunes@gmail.com" TargetMode="External"/><Relationship Id="rId12" Type="http://schemas.openxmlformats.org/officeDocument/2006/relationships/hyperlink" Target="https://pt.wikipedia.org/wiki/IDEB"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BNT_Author.XSL" StyleName="ABNT NBR 6023:2002*" Version="10">
  <b:Source>
    <b:Tag>BAR111</b:Tag>
    <b:SourceType>Book</b:SourceType>
    <b:Guid>{B063BE7C-537C-4375-B3C4-E789DE2353DD}</b:Guid>
    <b:Author>
      <b:Author>
        <b:NameList>
          <b:Person>
            <b:Last>BARROS</b:Last>
            <b:First>A.</b:First>
            <b:Middle>R</b:Middle>
          </b:Person>
        </b:NameList>
      </b:Author>
    </b:Author>
    <b:Title>Desigualdades regionais no Brasil.</b:Title>
    <b:Year>2011</b:Year>
    <b:City>Rio de Janeiro</b:City>
    <b:Publisher> Elsevier</b:Publisher>
    <b:RefOrder>1</b:RefOrder>
  </b:Source>
  <b:Source>
    <b:Tag>Atl17</b:Tag>
    <b:SourceType>InternetSite</b:SourceType>
    <b:Guid>{509EFB4C-B6A6-4B4A-A8CB-BC0CD0866236}</b:Guid>
    <b:Year>2017</b:Year>
    <b:Author>
      <b:Author>
        <b:Corporate>Atlas Brasil</b:Corporate>
      </b:Author>
    </b:Author>
    <b:InternetSiteTitle>Atlas do Desenvolvimento Humano no Brasil</b:InternetSiteTitle>
    <b:YearAccessed>2022</b:YearAccessed>
    <b:MonthAccessed>setembro</b:MonthAccessed>
    <b:DayAccessed>21</b:DayAccessed>
    <b:URL>http://www.atlasbrasil.org.br/</b:URL>
    <b:RefOrder>2</b:RefOrder>
  </b:Source>
  <b:Source>
    <b:Tag>Ins21</b:Tag>
    <b:SourceType>InternetSite</b:SourceType>
    <b:Guid>{BE2D8086-C89C-4FA9-A585-BBFBBCF72C45}</b:Guid>
    <b:Author>
      <b:Author>
        <b:Corporate> Instituto Nacional de Estudos e Pesquisas Educacionais Anísio Teixeira</b:Corporate>
      </b:Author>
    </b:Author>
    <b:InternetSiteTitle>Ministério da Educação </b:InternetSiteTitle>
    <b:Year>2021</b:Year>
    <b:YearAccessed>2022</b:YearAccessed>
    <b:MonthAccessed>setembro</b:MonthAccessed>
    <b:DayAccessed>21</b:DayAccessed>
    <b:URL>https://www.gov.br/inep/pt-br</b:URL>
    <b:RefOrder>3</b:RefOrder>
  </b:Source>
  <b:Source>
    <b:Tag>Org19</b:Tag>
    <b:SourceType>Report</b:SourceType>
    <b:Guid>{41BA3B17-18B4-4349-98D6-347EF3F3A011}</b:Guid>
    <b:Title>PISA 2018 Results</b:Title>
    <b:Year>2019</b:Year>
    <b:Author>
      <b:Author>
        <b:Corporate>Organisation for Economic Co-operation and Development (OCDE)</b:Corporate>
      </b:Author>
    </b:Author>
    <b:Institution>OCDE</b:Institution>
    <b:City>.</b:City>
    <b:RefOrder>4</b:RefOrder>
  </b:Source>
  <b:Source>
    <b:Tag>Ins22</b:Tag>
    <b:SourceType>InternetSite</b:SourceType>
    <b:Guid>{8981D5BA-8191-4FDD-B534-A058DA69D340}</b:Guid>
    <b:Title>NOTA TÉCNICA IDEB 2021 – INSTITUTO UNIBANCO</b:Title>
    <b:Year>2022</b:Year>
    <b:Author>
      <b:Author>
        <b:Corporate>Instituto Unibanco</b:Corporate>
      </b:Author>
    </b:Author>
    <b:YearAccessed>2022</b:YearAccessed>
    <b:MonthAccessed>setembro</b:MonthAccessed>
    <b:DayAccessed>29</b:DayAccessed>
    <b:URL>https://www.institutounibanco.org.br/conteudo/nota-tecnica-ideb-2021-instituto-unibanco/</b:URL>
    <b:RefOrder>5</b:RefOrder>
  </b:Source>
  <b:Source>
    <b:Tag>MEI22</b:Tag>
    <b:SourceType>ArticleInAPeriodical</b:SourceType>
    <b:Guid>{FA4FB6F4-3E78-438D-8248-C70E9091CA27}</b:Guid>
    <b:Author>
      <b:Author>
        <b:NameList>
          <b:Person>
            <b:Last>MEINCK</b:Last>
          </b:Person>
          <b:Person>
            <b:Last>FRAILLON</b:Last>
          </b:Person>
          <b:Person>
            <b:Last>STRIETHOLT</b:Last>
          </b:Person>
        </b:NameList>
      </b:Author>
    </b:Author>
    <b:Title>The Impact of the COVID-19 Pandemic on Education: International Evidence from the Responses to Educational Disruption Survey (REDS).</b:Title>
    <b:Year>2022</b:Year>
    <b:JournalName>International Association for the Evaluation of Educational Achievement</b:JournalName>
    <b:Institution>International Association for the Evaluation of Educational Achievement</b:Institution>
    <b:PeriodicalTitle>International Association for the Evaluation of Educational Achievement</b:PeriodicalTitle>
    <b:RefOrder>6</b:RefOrder>
  </b:Source>
  <b:Source>
    <b:Tag>Imp22</b:Tag>
    <b:SourceType>InternetSite</b:SourceType>
    <b:Guid>{89F78031-2EBA-4BED-950C-F63F3467EAA2}</b:Guid>
    <b:Title>Impactos da pandemia na educação no Brasil</b:Title>
    <b:Year>2022</b:Year>
    <b:InternetSiteTitle>Senado Federal</b:InternetSiteTitle>
    <b:YearAccessed>29</b:YearAccessed>
    <b:MonthAccessed>setembro</b:MonthAccessed>
    <b:DayAccessed>29</b:DayAccessed>
    <b:URL>https://www12.senado.leg.br/institucional/datasenado/materias/pesquisas/impactos-da-pandemia-na-educacao-no-brasil</b:URL>
    <b:Author>
      <b:Author>
        <b:Corporate>Instituto DataSenado</b:Corporate>
      </b:Author>
    </b:Author>
    <b:RefOrder>7</b:RefOrder>
  </b:Source>
  <b:Source>
    <b:Tag>INE21</b:Tag>
    <b:SourceType>InternetSite</b:SourceType>
    <b:Guid>{05978EA2-29BE-4700-94DE-AB90DE8F5561}</b:Guid>
    <b:Author>
      <b:Author>
        <b:Corporate>Censo Escolar </b:Corporate>
      </b:Author>
    </b:Author>
    <b:Title>Ministério da Educação</b:Title>
    <b:InternetSiteTitle>Censo Escolar Resulados</b:InternetSiteTitle>
    <b:Year>2021</b:Year>
    <b:YearAccessed>2022</b:YearAccessed>
    <b:MonthAccessed>setembro</b:MonthAccessed>
    <b:DayAccessed>29</b:DayAccessed>
    <b:URL>https://www.gov.br/inep/pt-br/areas-de-atuacao/pesquisas-estatisticas-e-indicadores/censo-escolar/resultados</b:URL>
    <b:RefOrder>8</b:RefOrder>
  </b:Source>
  <b:Source>
    <b:Tag>BAR17</b:Tag>
    <b:SourceType>JournalArticle</b:SourceType>
    <b:Guid>{18C4601C-5F08-4FCC-9733-67B6FD268691}</b:Guid>
    <b:Author>
      <b:Author>
        <b:NameList>
          <b:Person>
            <b:Last>BARTZ</b:Last>
            <b:First>M.</b:First>
            <b:Middle>L.</b:Middle>
          </b:Person>
          <b:Person>
            <b:Last>QUARTIERI</b:Last>
            <b:First>E.</b:First>
            <b:Middle>D. S.</b:Middle>
          </b:Person>
          <b:Person>
            <b:Last>FREITAS</b:Last>
            <b:First>T.</b:First>
            <b:Middle>A. D</b:Middle>
          </b:Person>
        </b:NameList>
      </b:Author>
    </b:Author>
    <b:Title>Indisciplina e violência ecolar: uma análise das escolas públicas do Rio Grande do Sul</b:Title>
    <b:JournalName>Estudo e Debate</b:JournalName>
    <b:City>Lajeado</b:City>
    <b:Year>2017</b:Year>
    <b:Month>Outubro</b:Month>
    <b:Pages>241-263</b:Pages>
    <b:Volume>24</b:Volume>
    <b:RefOrder>9</b:RefOrder>
  </b:Source>
  <b:Source>
    <b:Tag>BAR19</b:Tag>
    <b:SourceType>JournalArticle</b:SourceType>
    <b:Guid>{C12AB5B5-DE5B-46E3-BE68-A6D70525934D}</b:Guid>
    <b:Author>
      <b:Author>
        <b:NameList>
          <b:Person>
            <b:Last>BARTZ</b:Last>
            <b:First>Maicker</b:First>
            <b:Middle>Leite</b:Middle>
          </b:Person>
          <b:Person>
            <b:Last>QUARTIER</b:Last>
            <b:First>Ewerton</b:First>
            <b:Middle>DA SILVA</b:Middle>
          </b:Person>
          <b:Person>
            <b:Last>QUEIROZ.</b:Last>
            <b:First>Vivian</b:First>
            <b:Middle>DOS SANTOS</b:Middle>
          </b:Person>
        </b:NameList>
      </b:Author>
    </b:Author>
    <b:Title>Fatores que afetam a prática de violência por alunos dentro do ambiente escolar no estado de Minas Gerais.</b:Title>
    <b:JournalName>Revista Brasileira de Segurança Pública</b:JournalName>
    <b:Year>2019</b:Year>
    <b:Pages>142-157</b:Pages>
    <b:Volume>13</b:Volume>
    <b:Issue>2</b:Issue>
    <b:RefOrder>10</b:RefOrder>
  </b:Source>
  <b:Source>
    <b:Tag>Chr04</b:Tag>
    <b:SourceType>JournalArticle</b:SourceType>
    <b:Guid>{4ACDC739-8FF8-4C1C-AA60-CF281ABA13EC}</b:Guid>
    <b:Author>
      <b:Author>
        <b:NameList>
          <b:Person>
            <b:Last>Henrich</b:Last>
            <b:First>Christopher</b:First>
            <b:Middle>C.</b:Middle>
          </b:Person>
          <b:Person>
            <b:Last>Schwab-Stone</b:Last>
            <b:First>Mary</b:First>
          </b:Person>
          <b:Person>
            <b:Last>Fanti</b:Last>
            <b:First>Kostas</b:First>
          </b:Person>
          <b:Person>
            <b:Last>Jones</b:Last>
            <b:First>Stephanie</b:First>
            <b:Middle>M.</b:Middle>
          </b:Person>
          <b:Person>
            <b:Last>Ruchkin</b:Last>
            <b:First>Vladislav</b:First>
          </b:Person>
        </b:NameList>
      </b:Author>
    </b:Author>
    <b:Title>The association of community violence exposure with middle-school achievement: A prospective study</b:Title>
    <b:JournalName>Journal of applied developmental psychology</b:JournalName>
    <b:Year>2004</b:Year>
    <b:Pages>327-348</b:Pages>
    <b:Volume>25</b:Volume>
    <b:Issue>3</b:Issue>
    <b:RefOrder>11</b:RefOrder>
  </b:Source>
  <b:Source>
    <b:Tag>Ros09</b:Tag>
    <b:SourceType>JournalArticle</b:SourceType>
    <b:Guid>{6C483073-3593-43C8-BE74-B759C2700090}</b:Guid>
    <b:Author>
      <b:Author>
        <b:NameList>
          <b:Person>
            <b:Last>Macedo</b:Last>
            <b:First>Rosa</b:First>
            <b:Middle>Maria de Almeida</b:Middle>
          </b:Person>
          <b:Person>
            <b:Last>Bomfim</b:Last>
            <b:First>Maria</b:First>
            <b:Middle>do Carmo Alves</b:Middle>
          </b:Person>
        </b:NameList>
      </b:Author>
    </b:Author>
    <b:Title>Violências na escola</b:Title>
    <b:JournalName>Revista Diálogo Educacional</b:JournalName>
    <b:Year>2009</b:Year>
    <b:Pages>605-618</b:Pages>
    <b:Volume>9</b:Volume>
    <b:Issue>28</b:Issue>
    <b:RefOrder>12</b:RefOrder>
  </b:Source>
  <b:Source>
    <b:Tag>Mar15</b:Tag>
    <b:SourceType>JournalArticle</b:SourceType>
    <b:Guid>{C2C3173F-D360-43F0-9F0B-18459D27F0AE}</b:Guid>
    <b:Author>
      <b:Author>
        <b:NameList>
          <b:Person>
            <b:Last>Assink</b:Last>
            <b:First>Mark</b:First>
          </b:Person>
          <b:Person>
            <b:Last>Put</b:Last>
            <b:First>Claudia</b:First>
            <b:Middle>E. van der</b:Middle>
          </b:Person>
          <b:Person>
            <b:First>Machteld</b:First>
            <b:Middle>Hoeve</b:Middle>
          </b:Person>
          <b:Person>
            <b:First>Sanne</b:First>
            <b:Middle>L.A. de Vries</b:Middle>
          </b:Person>
          <b:Person>
            <b:Last>Stams</b:Last>
            <b:First>Geert</b:First>
            <b:Middle>Jan J.M.</b:Middle>
          </b:Person>
          <b:Person>
            <b:First>Frans</b:First>
            <b:Middle>J. Oort</b:Middle>
          </b:Person>
        </b:NameList>
      </b:Author>
    </b:Author>
    <b:Title>Risk factors for persistent delinquent behavior among juveniles: A meta-analytic review.</b:Title>
    <b:JournalName>Clinical psychology review</b:JournalName>
    <b:Year>2015</b:Year>
    <b:Pages>47-61</b:Pages>
    <b:Volume>42</b:Volume>
    <b:RefOrder>13</b:RefOrder>
  </b:Source>
  <b:Source>
    <b:Tag>Kal17</b:Tag>
    <b:SourceType>JournalArticle</b:SourceType>
    <b:Guid>{17F977EC-67B2-4764-BE85-7D932C3A736D}</b:Guid>
    <b:Author>
      <b:Author>
        <b:NameList>
          <b:Person>
            <b:Last>Becker</b:Last>
            <b:First>Kalinca</b:First>
            <b:Middle>Léia</b:Middle>
          </b:Person>
        </b:NameList>
      </b:Author>
    </b:Author>
    <b:Title>O efeito da interação social entre os jovens nas decisões de consumo de álcool, cigarros e outras drogas ilícitas</b:Title>
    <b:JournalName>Estudos Econômicos </b:JournalName>
    <b:City>São Paulo </b:City>
    <b:Year>2017</b:Year>
    <b:Month>jan-mar</b:Month>
    <b:Pages>65-92</b:Pages>
    <b:Volume>47</b:Volume>
    <b:Issue>1</b:Issue>
    <b:RefOrder>14</b:RefOrder>
  </b:Source>
  <b:Source>
    <b:Tag>Ana20</b:Tag>
    <b:SourceType>JournalArticle</b:SourceType>
    <b:Guid>{E607D077-DA02-4C5C-BE9D-BDB6996A0B1E}</b:Guid>
    <b:Author>
      <b:Author>
        <b:NameList>
          <b:Person>
            <b:Last>Annegues</b:Last>
            <b:First>Ana</b:First>
            <b:Middle>Cláudia</b:Middle>
          </b:Person>
          <b:Person>
            <b:Last>Júnior</b:Last>
            <b:First>Sabino</b:First>
            <b:Middle>Porto</b:Middle>
          </b:Person>
          <b:Person>
            <b:Last>Figueiredo</b:Last>
            <b:First>Erik</b:First>
          </b:Person>
        </b:NameList>
      </b:Author>
    </b:Author>
    <b:Title>Tamanho da Turma e Desempenho Acadêmico dos Universitários: evidência para a UFPB</b:Title>
    <b:JournalName>Estudos Econômicos </b:JournalName>
    <b:City>São Paulo </b:City>
    <b:Year>2020</b:Year>
    <b:Month>jan-mar</b:Month>
    <b:Pages>99-124</b:Pages>
    <b:Volume>50</b:Volume>
    <b:Issue>1</b:Issue>
    <b:RefOrder>15</b:RefOrder>
  </b:Source>
  <b:Source>
    <b:Tag>Isa18</b:Tag>
    <b:SourceType>JournalArticle</b:SourceType>
    <b:Guid>{933EE39E-7C03-4CD6-8376-52D9DFFB68CD}</b:Guid>
    <b:Author>
      <b:Author>
        <b:NameList>
          <b:Person>
            <b:Last>Raposo</b:Last>
            <b:First>Isabel</b:First>
            <b:Middle>Pessoa de Arruda</b:Middle>
          </b:Person>
          <b:Person>
            <b:Last>Gonçalves</b:Last>
            <b:First>Michela</b:First>
            <b:Middle>Barreto Camboim</b:Middle>
          </b:Person>
        </b:NameList>
      </b:Author>
    </b:Author>
    <b:Title>A Saúde dos Amigos de Sala de Aula Interfere no Desempenho Escolar do Aluno?</b:Title>
    <b:JournalName>Estudos Econônicos </b:JournalName>
    <b:City>São Paulo </b:City>
    <b:Year>2018</b:Year>
    <b:Month>abr-jun</b:Month>
    <b:Pages>311-337</b:Pages>
    <b:Volume>48</b:Volume>
    <b:Issue>2</b:Issue>
    <b:RefOrder>16</b:RefOrder>
  </b:Source>
  <b:Source>
    <b:Tag>Mat19</b:Tag>
    <b:SourceType>JournalArticle</b:SourceType>
    <b:Guid>{62B5788E-C7AE-477B-ABAE-3EAA66301D44}</b:Guid>
    <b:Author>
      <b:Author>
        <b:NameList>
          <b:Person>
            <b:Last>Santo</b:Last>
            <b:First>Mateus</b:First>
            <b:Middle>Mota dos</b:Middle>
          </b:Person>
          <b:Person>
            <b:Last>Mariano</b:Last>
            <b:First>Francisca</b:First>
            <b:Middle>Zilania</b:Middle>
          </b:Person>
          <b:Person>
            <b:Last>Costa</b:Last>
            <b:First>Edward</b:First>
            <b:Middle>Martins</b:Middle>
          </b:Person>
        </b:NameList>
      </b:Author>
    </b:Author>
    <b:Title>Efeitos da Educação dos Pais sobre o Rendimento Escolar dos Filhos via Mediação das Condições Socioeconômicas.</b:Title>
    <b:JournalName>Economia Aplicada</b:JournalName>
    <b:Year>2019</b:Year>
    <b:Pages>145-182</b:Pages>
    <b:Volume>23</b:Volume>
    <b:Issue>2</b:Issue>
    <b:RefOrder>17</b:RefOrder>
  </b:Source>
  <b:Source>
    <b:Tag>Vic18</b:Tag>
    <b:SourceType>JournalArticle</b:SourceType>
    <b:Guid>{29EDE7C8-012F-4793-BD99-195D71E95E4C}</b:Guid>
    <b:Author>
      <b:Author>
        <b:NameList>
          <b:Person>
            <b:Last>Oliveira</b:Last>
            <b:First>Victor</b:First>
            <b:Middle>Rodrigues de</b:Middle>
          </b:Person>
          <b:Person>
            <b:Last>Souza</b:Last>
            <b:First>Wallace</b:First>
            <b:Middle>Patrick Santos de Farias</b:Middle>
          </b:Person>
          <b:Person>
            <b:Last>Annegues</b:Last>
            <b:First>Ana</b:First>
            <b:Middle>Cláudia</b:Middle>
          </b:Person>
        </b:NameList>
      </b:Author>
    </b:Author>
    <b:Title>Eficiência e Autonomia Escolar: Evidências para o período 2007-2013</b:Title>
    <b:JournalName>Economia Aplicada</b:JournalName>
    <b:Year>2018</b:Year>
    <b:Pages>197-238</b:Pages>
    <b:Volume>22</b:Volume>
    <b:Issue>2</b:Issue>
    <b:RefOrder>18</b:RefOrder>
  </b:Source>
  <b:Source>
    <b:Tag>Wal22</b:Tag>
    <b:SourceType>JournalArticle</b:SourceType>
    <b:Guid>{52C64045-0543-45B4-9A81-535B38D9913B}</b:Guid>
    <b:Title>Determinantes da proficiência dos alunos das escolas públicas brasileiras</b:Title>
    <b:Year>2022</b:Year>
    <b:Author>
      <b:Author>
        <b:NameList>
          <b:Person>
            <b:Last>Siqueira</b:Last>
            <b:First>Wallace</b:First>
            <b:Middle>Lobato</b:Middle>
          </b:Person>
          <b:Person>
            <b:Last>Becker</b:Last>
            <b:First>Kalinca</b:First>
            <b:Middle>Léia</b:Middle>
          </b:Person>
          <b:Person>
            <b:Last>Freitas</b:Last>
            <b:First>Clailton</b:First>
            <b:Middle>Ataídes de</b:Middle>
          </b:Person>
        </b:NameList>
      </b:Author>
    </b:Author>
    <b:JournalName>ANPEC NACIONAL</b:JournalName>
    <b:RefOrder>19</b:RefOrder>
  </b:Source>
  <b:Source>
    <b:Tag>Bec15</b:Tag>
    <b:SourceType>Report</b:SourceType>
    <b:Guid>{0C289AE0-E84B-445E-80A2-1FDE2C40DEF9}</b:Guid>
    <b:Author>
      <b:Author>
        <b:NameList>
          <b:Person>
            <b:Last>Becker</b:Last>
            <b:First>Kalinca</b:First>
            <b:Middle>Léia</b:Middle>
          </b:Person>
        </b:NameList>
      </b:Author>
    </b:Author>
    <b:Title>QUALIDADE DA EDUCAÇÃO NO BRASIL: UMA ANÁLISE DA DISTRIBUIÇÃO REGIONAL DO IDEB EM 2007 E 2017</b:Title>
    <b:Year>2020</b:Year>
    <b:Institution>Boletim Regional, Urbano e Ambiental n°22</b:Institution>
    <b:City>DOI: http://dx.doi.org/10.38116/brua22art15</b:City>
    <b:RefOrder>20</b:RefOrder>
  </b:Source>
  <b:Source>
    <b:Tag>Kal22</b:Tag>
    <b:SourceType>JournalArticle</b:SourceType>
    <b:Guid>{83C9E038-ECE5-4E97-B19B-C4C08D3CF230}</b:Guid>
    <b:Title>An analysis of Fundeb's contribution to the quality of public education in Brazilian municipalities</b:Title>
    <b:Year>2022</b:Year>
    <b:Author>
      <b:Author>
        <b:NameList>
          <b:Person>
            <b:Last>Becker</b:Last>
            <b:First>Kalinca</b:First>
            <b:Middle>Léia</b:Middle>
          </b:Person>
        </b:NameList>
      </b:Author>
    </b:Author>
    <b:JournalName>Review of Development Economics</b:JournalName>
    <b:RefOrder>21</b:RefOrder>
  </b:Source>
  <b:Source>
    <b:Tag>EVA20</b:Tag>
    <b:SourceType>Report</b:SourceType>
    <b:Guid>{E04D1BAF-4FD8-478A-B77C-48DAABD307DB}</b:Guid>
    <b:Author>
      <b:Author>
        <b:NameList>
          <b:Person>
            <b:Last>EVANS</b:Last>
            <b:First>David</b:First>
            <b:Middle>K.</b:Middle>
          </b:Person>
          <b:Person>
            <b:Last>LOUREIRO</b:Last>
            <b:First>Andre</b:First>
          </b:Person>
        </b:NameList>
      </b:Author>
    </b:Author>
    <b:Title>Getting Education Right: State and Municipal Success in Reform for Universal Literacy in Brazil.</b:Title>
    <b:Year>2020</b:Year>
    <b:Institution>World Bank Group</b:Institution>
    <b:RefOrder>22</b:RefOrder>
  </b:Source>
  <b:Source>
    <b:Tag>Roc18</b:Tag>
    <b:SourceType>JournalArticle</b:SourceType>
    <b:Guid>{CBE2D4E9-860D-4C28-85D4-C90C97B46D46}</b:Guid>
    <b:Author>
      <b:Author>
        <b:NameList>
          <b:Person>
            <b:Last>Rocha</b:Last>
            <b:First>Roberto</b:First>
            <b:Middle>Hsu</b:Middle>
          </b:Person>
          <b:Person>
            <b:Last>Menezes-Filho</b:Last>
            <b:First>Naercio</b:First>
          </b:Person>
          <b:Person>
            <b:Last>Komatsu</b:Last>
            <b:First>Bruno</b:First>
            <b:Middle>Kawaoka</b:Middle>
          </b:Person>
        </b:NameList>
      </b:Author>
    </b:Author>
    <b:Title>AVALIANDO O IMPACTO DAS POLÍTICAS EDUCACIONAIS EM SOBRAL</b:Title>
    <b:PeriodicalTitle>Economia Aplicada</b:PeriodicalTitle>
    <b:Year>2018</b:Year>
    <b:Pages>5-30</b:Pages>
    <b:JournalName>Economia Aplicada</b:JournalName>
    <b:Volume>22</b:Volume>
    <b:Issue>4</b:Issue>
    <b:RefOrder>23</b:RefOrder>
  </b:Source>
</b:Sources>
</file>

<file path=customXml/itemProps1.xml><?xml version="1.0" encoding="utf-8"?>
<ds:datastoreItem xmlns:ds="http://schemas.openxmlformats.org/officeDocument/2006/customXml" ds:itemID="{6A572C46-49B9-45BB-A6F8-BF2F861E6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1556</TotalTime>
  <Pages>16</Pages>
  <Words>5271</Words>
  <Characters>28466</Characters>
  <Application>Microsoft Office Word</Application>
  <DocSecurity>0</DocSecurity>
  <Lines>237</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Jéssica</dc:creator>
  <cp:keywords/>
  <dc:description/>
  <cp:lastModifiedBy>Jéssica</cp:lastModifiedBy>
  <cp:revision>156</cp:revision>
  <dcterms:created xsi:type="dcterms:W3CDTF">2022-09-19T21:13:00Z</dcterms:created>
  <dcterms:modified xsi:type="dcterms:W3CDTF">2023-03-20T19:32:00Z</dcterms:modified>
</cp:coreProperties>
</file>