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43D91" w14:textId="4F8C1986" w:rsidR="000265B4" w:rsidRDefault="000265B4" w:rsidP="00026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0265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AVALIAÇÃO DOS PROTOCOLOS DE BIOSSEGURANÇA IMPLEMENTADOS PELOS LABORATÓRIOS CLÍNICOS NA PANDEMIA DE COVID-19 </w:t>
      </w:r>
    </w:p>
    <w:p w14:paraId="4CBBF91A" w14:textId="77777777" w:rsidR="000265B4" w:rsidRDefault="000265B4" w:rsidP="00026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5378FC10" w14:textId="77777777" w:rsidR="000265B4" w:rsidRPr="008A5211" w:rsidRDefault="000265B4" w:rsidP="000265B4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</w:rPr>
      </w:pPr>
      <w:r w:rsidRPr="008A5211">
        <w:rPr>
          <w:rFonts w:ascii="Times New Roman" w:eastAsia="Times New Roman" w:hAnsi="Times New Roman"/>
          <w:bCs/>
          <w:sz w:val="20"/>
          <w:szCs w:val="20"/>
        </w:rPr>
        <w:t>Débora Lopes de Santana</w:t>
      </w:r>
      <w:r w:rsidRPr="008A5211">
        <w:rPr>
          <w:rFonts w:ascii="Times New Roman" w:eastAsia="Times New Roman" w:hAnsi="Times New Roman"/>
          <w:bCs/>
          <w:sz w:val="20"/>
          <w:szCs w:val="20"/>
          <w:vertAlign w:val="superscript"/>
        </w:rPr>
        <w:t>1</w:t>
      </w:r>
      <w:r w:rsidRPr="008A5211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8A5211"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 xml:space="preserve">Emanuelle </w:t>
      </w:r>
      <w:proofErr w:type="spellStart"/>
      <w:r w:rsidRPr="008A5211"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Milayne</w:t>
      </w:r>
      <w:proofErr w:type="spellEnd"/>
      <w:r w:rsidRPr="008A5211"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 xml:space="preserve"> Araújo dos Santos</w:t>
      </w:r>
      <w:r w:rsidRPr="008A5211">
        <w:rPr>
          <w:rFonts w:ascii="Times New Roman" w:hAnsi="Times New Roman" w:cs="Times New Roman"/>
          <w:bCs/>
          <w:sz w:val="20"/>
          <w:szCs w:val="20"/>
          <w:vertAlign w:val="superscript"/>
        </w:rPr>
        <w:t xml:space="preserve"> 2</w:t>
      </w:r>
      <w:r w:rsidRPr="008A5211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8A5211"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Marcos Antônio Lacerda Nunes Filho</w:t>
      </w:r>
      <w:r w:rsidRPr="008A5211">
        <w:rPr>
          <w:rFonts w:ascii="Times New Roman" w:eastAsia="Times New Roman" w:hAnsi="Times New Roman"/>
          <w:bCs/>
          <w:sz w:val="20"/>
          <w:szCs w:val="20"/>
          <w:vertAlign w:val="superscript"/>
        </w:rPr>
        <w:t>3</w:t>
      </w:r>
      <w:r w:rsidRPr="008A5211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proofErr w:type="spellStart"/>
      <w:r w:rsidRPr="008A5211">
        <w:rPr>
          <w:rFonts w:ascii="Times New Roman" w:eastAsia="Times New Roman" w:hAnsi="Times New Roman"/>
          <w:bCs/>
          <w:sz w:val="20"/>
          <w:szCs w:val="20"/>
        </w:rPr>
        <w:t>Ianca</w:t>
      </w:r>
      <w:proofErr w:type="spellEnd"/>
      <w:r w:rsidRPr="008A5211">
        <w:rPr>
          <w:rFonts w:ascii="Times New Roman" w:eastAsia="Times New Roman" w:hAnsi="Times New Roman"/>
          <w:bCs/>
          <w:sz w:val="20"/>
          <w:szCs w:val="20"/>
        </w:rPr>
        <w:t xml:space="preserve"> Karine </w:t>
      </w:r>
      <w:proofErr w:type="spellStart"/>
      <w:r w:rsidRPr="008A5211">
        <w:rPr>
          <w:rFonts w:ascii="Times New Roman" w:eastAsia="Times New Roman" w:hAnsi="Times New Roman"/>
          <w:bCs/>
          <w:sz w:val="20"/>
          <w:szCs w:val="20"/>
        </w:rPr>
        <w:t>Prudencio</w:t>
      </w:r>
      <w:proofErr w:type="spellEnd"/>
      <w:r w:rsidRPr="008A5211">
        <w:rPr>
          <w:rFonts w:ascii="Times New Roman" w:eastAsia="Times New Roman" w:hAnsi="Times New Roman"/>
          <w:bCs/>
          <w:sz w:val="20"/>
          <w:szCs w:val="20"/>
        </w:rPr>
        <w:t xml:space="preserve"> Albuquerque</w:t>
      </w:r>
      <w:r w:rsidRPr="008A5211">
        <w:rPr>
          <w:rFonts w:ascii="Times New Roman" w:eastAsia="Times New Roman" w:hAnsi="Times New Roman"/>
          <w:bCs/>
          <w:sz w:val="20"/>
          <w:szCs w:val="20"/>
          <w:vertAlign w:val="superscript"/>
        </w:rPr>
        <w:t>1</w:t>
      </w:r>
      <w:r w:rsidRPr="008A5211">
        <w:rPr>
          <w:rFonts w:ascii="Times New Roman" w:eastAsia="Times New Roman" w:hAnsi="Times New Roman"/>
          <w:bCs/>
          <w:sz w:val="20"/>
          <w:szCs w:val="20"/>
        </w:rPr>
        <w:t xml:space="preserve"> Danielle Patrícia Cerqueira Macêdo</w:t>
      </w:r>
      <w:r w:rsidRPr="008A5211">
        <w:rPr>
          <w:rFonts w:ascii="Times New Roman" w:eastAsia="Times New Roman" w:hAnsi="Times New Roman"/>
          <w:bCs/>
          <w:sz w:val="20"/>
          <w:szCs w:val="20"/>
          <w:vertAlign w:val="superscript"/>
        </w:rPr>
        <w:t>1</w:t>
      </w:r>
    </w:p>
    <w:p w14:paraId="636AE1AE" w14:textId="77777777" w:rsidR="000265B4" w:rsidRPr="008A5211" w:rsidRDefault="000265B4" w:rsidP="000265B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1660B152" w14:textId="77777777" w:rsidR="000265B4" w:rsidRPr="008A5211" w:rsidRDefault="000265B4" w:rsidP="000265B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8A5211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8A5211">
        <w:rPr>
          <w:rFonts w:ascii="Times New Roman" w:eastAsia="Times New Roman" w:hAnsi="Times New Roman"/>
          <w:sz w:val="20"/>
          <w:szCs w:val="20"/>
        </w:rPr>
        <w:t>Universidade Federal de Pernambuco – UFPE, Recife, PE.</w:t>
      </w:r>
    </w:p>
    <w:p w14:paraId="167F59DA" w14:textId="77777777" w:rsidR="000265B4" w:rsidRPr="008A5211" w:rsidRDefault="000265B4" w:rsidP="000265B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8A5211">
        <w:rPr>
          <w:rFonts w:ascii="Times New Roman" w:eastAsia="Times New Roman" w:hAnsi="Times New Roman"/>
          <w:sz w:val="20"/>
          <w:szCs w:val="20"/>
          <w:vertAlign w:val="superscript"/>
        </w:rPr>
        <w:t>2</w:t>
      </w:r>
      <w:r w:rsidRPr="008A5211">
        <w:rPr>
          <w:rFonts w:ascii="Times New Roman" w:eastAsia="Times New Roman" w:hAnsi="Times New Roman"/>
          <w:sz w:val="20"/>
          <w:szCs w:val="20"/>
        </w:rPr>
        <w:t xml:space="preserve">Universidade Católica de Pernambuco – UNICAP, Recife, PE. </w:t>
      </w:r>
    </w:p>
    <w:p w14:paraId="2EA6C97A" w14:textId="77777777" w:rsidR="000265B4" w:rsidRPr="008A5211" w:rsidRDefault="000265B4" w:rsidP="000265B4">
      <w:pPr>
        <w:spacing w:after="0" w:line="240" w:lineRule="auto"/>
        <w:jc w:val="center"/>
        <w:rPr>
          <w:iCs/>
          <w:sz w:val="20"/>
          <w:szCs w:val="20"/>
        </w:rPr>
      </w:pPr>
      <w:r w:rsidRPr="008A5211">
        <w:rPr>
          <w:rFonts w:ascii="Times New Roman" w:eastAsia="Times New Roman" w:hAnsi="Times New Roman"/>
          <w:sz w:val="20"/>
          <w:szCs w:val="20"/>
          <w:vertAlign w:val="superscript"/>
        </w:rPr>
        <w:t xml:space="preserve">3 </w:t>
      </w:r>
      <w:r w:rsidRPr="008A5211">
        <w:rPr>
          <w:rFonts w:ascii="Times New Roman" w:eastAsia="Times New Roman" w:hAnsi="Times New Roman" w:cs="Times New Roman"/>
          <w:sz w:val="20"/>
          <w:szCs w:val="20"/>
          <w:lang w:eastAsia="pt-BR"/>
        </w:rPr>
        <w:t>Centro universitário Maurício de Nassau – UNINASSAU, Recife, PE.</w:t>
      </w:r>
    </w:p>
    <w:p w14:paraId="76F31156" w14:textId="77777777" w:rsidR="000265B4" w:rsidRPr="000265B4" w:rsidRDefault="000265B4" w:rsidP="000265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AFABEA4" w14:textId="77777777" w:rsidR="000265B4" w:rsidRPr="000265B4" w:rsidRDefault="000265B4" w:rsidP="00026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07060AF" w14:textId="5BF4B9B3" w:rsidR="000265B4" w:rsidRPr="000265B4" w:rsidRDefault="000265B4" w:rsidP="00026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65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INTRODUÇÃO</w:t>
      </w:r>
      <w:r w:rsidRPr="000265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r w:rsidRPr="000265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A biossegurança laboratorial é a aplicação prática do conhecimento, das técnicas e de equipamentos que visam reduzir os riscos inerentes ao manejo de amostras biológicas. Com a pandemia do novo </w:t>
      </w:r>
      <w:proofErr w:type="spellStart"/>
      <w:r w:rsidRPr="000265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coronavírus</w:t>
      </w:r>
      <w:proofErr w:type="spellEnd"/>
      <w:r w:rsidRPr="000265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, patógeno de ampla disseminação e contaminação, os laboratórios clínicos tiveram que adequar-se para garantir a segurança durante manipulação de amostras clínicas de pacientes com suspeita de COVID-19. </w:t>
      </w:r>
      <w:r w:rsidRPr="000265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OBJETIVO</w:t>
      </w:r>
      <w:r w:rsidRPr="000265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: Sintetizar informações acerca dos protocolos de biossegurança implementados pelos laboratórios clínicos na pandemia de COVID-19</w:t>
      </w:r>
      <w:r w:rsidRPr="000265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.</w:t>
      </w:r>
      <w:r w:rsidRPr="000265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Pr="000265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REVISÃO</w:t>
      </w:r>
      <w:r w:rsidRPr="000265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: Realizou-se uma revisão bibliográfica integrativa de artigos originais entre agosto e setembro de 2020, utilizando os descritores, nas versões inglesas e portuguesas, “biossegurança” e “Covid-19”, associados nas plataformas de busca: </w:t>
      </w:r>
      <w:proofErr w:type="spellStart"/>
      <w:r w:rsidRPr="000265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Pubmed</w:t>
      </w:r>
      <w:proofErr w:type="spellEnd"/>
      <w:r w:rsidRPr="000265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, Periódicos CAPES e </w:t>
      </w:r>
      <w:proofErr w:type="spellStart"/>
      <w:r w:rsidRPr="000265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Scielo</w:t>
      </w:r>
      <w:proofErr w:type="spellEnd"/>
      <w:r w:rsidRPr="000265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.</w:t>
      </w:r>
      <w:r w:rsidRPr="000265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Pr="000265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A seleção dos artigos se sucedeu a partir dos títulos e resumos, respeitando o critério de inclusão: texto disponibilizado integralmente na plataforma; e os de exclusão: ano de publicação fora do intervalo de 2019 a 2020, repetição nas plataformas e acesso pago. A busca resultou em 654 artigos, onde apenas 10 atendiam aos critérios. A partir destes, notou-se que os laboratórios responsáveis pela testagem para do vírus SARS-CoV-2 precisaram adequar os controles de engenharia, os procedimentos padrão e uso de equipamento de proteção individual, considerando os parâmetros de biossegurança para contenção de um microrganismo de classe de risco III. Referente à infraestrutura, foi adotado a aquisição de analisadores de sistema fechado, além de cabine de segurança classe II tipo A, visto o amplo espectro de proteção que esta pode proporcionar durante a manipulação das amostras. Quanto aos procedimentos padrão e proteção individual, os laboratórios adotaram a desinfecção constante de superfícies e pisos, higienização das mãos, o uso contínuo de máscaras cirúrgicas, proteção ocular, e preferência por batas descartáveis. Além disso, implantaram segregação da equipe, distanciamento social,</w:t>
      </w:r>
      <w:r w:rsidRPr="000265B4">
        <w:rPr>
          <w:rFonts w:ascii="Times New Roman" w:eastAsia="Times New Roman" w:hAnsi="Times New Roman" w:cs="Times New Roman"/>
          <w:color w:val="000000"/>
          <w:shd w:val="clear" w:color="auto" w:fill="FFFFFF"/>
          <w:lang w:eastAsia="pt-BR"/>
        </w:rPr>
        <w:t> p</w:t>
      </w:r>
      <w:r w:rsidRPr="000265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olítica de imunização para influenza e afastamento de profissionais com síndrome gripal. Cabe destacar que a produção de aerossóis e descarte de amostras também foram ajustadas para mitigar os riscos de contágio.</w:t>
      </w:r>
      <w:r w:rsidRPr="000265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0265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CONCLUSÃO</w:t>
      </w:r>
      <w:r w:rsidRPr="000265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Diante do exposto, é notável o esforço e importância </w:t>
      </w:r>
      <w:proofErr w:type="gramStart"/>
      <w:r w:rsidRPr="000265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</w:t>
      </w:r>
      <w:proofErr w:type="gramEnd"/>
      <w:r w:rsidRPr="000265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laboratórios ampliarem seus protocolos de biossegurança, para assim reduzir o risco de disseminação do vírus, protegendo os profissionais, bem como, a sociedade.</w:t>
      </w:r>
    </w:p>
    <w:p w14:paraId="37B5A1F3" w14:textId="5684EFCD" w:rsidR="001A3ED7" w:rsidRDefault="000265B4"/>
    <w:p w14:paraId="44F07B44" w14:textId="7AEDDA50" w:rsidR="000265B4" w:rsidRPr="000265B4" w:rsidRDefault="000265B4">
      <w:pPr>
        <w:rPr>
          <w:rFonts w:ascii="Times New Roman" w:hAnsi="Times New Roman" w:cs="Times New Roman"/>
          <w:sz w:val="24"/>
          <w:szCs w:val="24"/>
        </w:rPr>
      </w:pPr>
      <w:r w:rsidRPr="000265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Palavras-chave:</w:t>
      </w:r>
      <w:r w:rsidRPr="000265B4">
        <w:rPr>
          <w:rFonts w:ascii="Times New Roman" w:hAnsi="Times New Roman" w:cs="Times New Roman"/>
          <w:color w:val="000000"/>
          <w:sz w:val="24"/>
          <w:szCs w:val="24"/>
        </w:rPr>
        <w:t xml:space="preserve"> Biossegurança, Laboratório, COVID-19.</w:t>
      </w:r>
    </w:p>
    <w:sectPr w:rsidR="000265B4" w:rsidRPr="000265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5B4"/>
    <w:rsid w:val="000265B4"/>
    <w:rsid w:val="0015087A"/>
    <w:rsid w:val="00ED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F9B35"/>
  <w15:chartTrackingRefBased/>
  <w15:docId w15:val="{EB18E4E8-0C60-4BE8-9E0A-3DB173FD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6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16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468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Débora Lopez</dc:creator>
  <cp:keywords/>
  <dc:description/>
  <cp:lastModifiedBy>Débora Lopez</cp:lastModifiedBy>
  <cp:revision>1</cp:revision>
  <dcterms:created xsi:type="dcterms:W3CDTF">2020-09-23T02:47:00Z</dcterms:created>
  <dcterms:modified xsi:type="dcterms:W3CDTF">2020-09-23T02:49:00Z</dcterms:modified>
</cp:coreProperties>
</file>