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ASSOCIAÇÃO ENTRE O ÍNDICE DE MASSA CORPORAL E CAPACIDADE FUNCIONAL EM PACIENTES COM COVID- 19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4">
      <w:pPr>
        <w:spacing w:after="240" w:before="24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pandemia de COVID-19, doença causada pelo novo coronavírus (SARS-CoV-2), foi declarada pela OMS março de 2020. Há uma associação entre o estado nutricional do indivíduo e a defesa imunológica em infecções virais, uma vez que foi observado que tanto a obesidade, quanto a desnutrição, podem afetar a replicação viral e patogenicidade. Além disso, o estado nutricional também pode influenciar a capacidade funcional, uma vez que esta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representa a capacidade do indivíduo de realizar atividades diárias nos domínios físico, psicológico, social e espiritual. Assim, o objetivo do presente trabalho é analisar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entre o índice de massa corporal (IMC) e a capacidade funcional em pacientes acometidos com COVID-19. A coleta de dados foi realizada a partir de entrevista e preenchimento de questionário pelo instrumento Google Docs com pacientes ou familiares de pacientes diagnosticados com COVID-19 em 6 hospitais 2 e unidades de pronto atendimento do estados de Alagoas. Os dados antropométricos utilizados foram referidos ou coletados em prontuário. Dentre os 191 pacientes avaliados, 51,8% eram do sexo feminino e 48,2% do sexo masculino. A média de idade e de IMC foi, respectivamente 49,17 anos e 26,67 kg/m².  No que diz respeito à capacidade funcional,  relataram algum nível de dificuldade em carregar um peso de 5kg, caminhar curtas distâncias, levantar da cadeira ou da cama e subir escada, respectivamente, 37,7% (n=72), 32,5% (n=62), 24,6% (n=47) e 37,7% (n=72) dos pacientes. Após ajuste estatístico para idade e sexo, não houve associação entre o IMC e capacidade funcional de indivíduos com COVID-19.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Estado de Nutrição, COVID-19, Infecções por Coronavírus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2. INTRODUÇÃO</w:t>
      </w:r>
    </w:p>
    <w:p w:rsidR="00000000" w:rsidDel="00000000" w:rsidP="00000000" w:rsidRDefault="00000000" w:rsidRPr="00000000" w14:paraId="00000007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pandemia de COVID-19, doença causada pelo novo coronavírus SARS-CoV-2, foi declarada pela OMS em 11 de março de 2020, após a doença ter atingido 114 países e mais de 118 mil pessoas ao redor do mundo (SILVA et al, 2020). A intensa transmissibilidade viral e o insuficiente conhecimento sobre o comportamento do patógeno e da doença, coloca a pandemia de COVID-19 como um enorme desafio sanitário global. No Brasil, em um contexto de expressiva disparidade socioeconômica regional e com uma larga parcela da população em condição de vulnerabilidade, os desafios são ainda maiores (WERNEC, CARVALHO, 2020). No país, os primeiros casos foram identificados em fevereiro de 2020, atingindo a marca, em outubro do mesmo ano, de 5.224.362 casos e 153.675 óbitos. Nesse mesmo período, foram notificados 1.417.339 casos e 40.013 óbitos na região nordeste, que apresenta o segundo maior número de casos e óbitos no Brasil, ficando atrás somente da região sudeste (BRASIL, 2020). 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gravidade da COVID-19 está associada a um estado hiper inflamatório em que há liberação de citocinas inflamatórias, as quais promovem uma desregulação imunológica iniciada por células T e monócitos inflamatórios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HUANG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 al., 2020; ZHOU et al., 2020). Há uma associação entre o estado nutricional do indivíduo e a defesa imunológica em infecções virais, uma vez que foi observado que tanto a obesidade, quanto a desnutrição podem afetar a replicação viral e patogenicidade (SILVEIRO et al., 2020).  Ambos estados fisiológicos impactam diretamente na massa do tecido adiposo, afetando os fatores secretados por esse tecido, como hormônios e citocinas, o que influencia na resposta imunológica do indivíduo.  </w:t>
      </w:r>
    </w:p>
    <w:p w:rsidR="00000000" w:rsidDel="00000000" w:rsidP="00000000" w:rsidRDefault="00000000" w:rsidRPr="00000000" w14:paraId="00000009">
      <w:pPr>
        <w:spacing w:after="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Depleção de massa magra está relacionada à ventilação mecânica, tempo de hospitalização e mortalidade em pacientes de UTI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ANKER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 al., 2014). Ademais,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fenótipo sarcopênico também está relacionado com a redução da atividade física. Dessa forma, o prolongamento da inatividade física está associado à perda de massa muscular na primeira semana de repouso no leito, que é ainda pior em indivíduos com a forma grave da doença. O tempo de internação dos pacientes com COVID-19 é, em média, entre 11 e 15 dias; assim, os pacientes podem estar susceptíveis a desenvolver sarcopenia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SILVERIO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 al., 2020)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36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tendo em vista que o estado nutricional do indivíduo pode desempenhar um papel relevante no desfecho da COVID-19, o objetivo do presente trabalho é analisar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entre o estado nutricional baseado no índice de massa corporal (IMC) e a capacidade funcional dos pacientes participantes do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3. MATERIAIS E MÉTODOS </w:t>
      </w:r>
    </w:p>
    <w:p w:rsidR="00000000" w:rsidDel="00000000" w:rsidP="00000000" w:rsidRDefault="00000000" w:rsidRPr="00000000" w14:paraId="0000000C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foi realizado a partir do estudo multicêntrico transversal “Aspectos Sociodemográficos, Clínicos e Nutricionais Associados com Gravidade em Pacientes com COVID-19: Um Estudo Multicêntrico no Nordeste Brasileiro” aprovado pelo Comitê de Ética em Pesquisa da Universidade Federal de Alagoas, sob parecer de número 4.171.161/2020.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pacientes ou familiares foram contatados através do número de telefone de contato fornecido em um dos hospitais ou unidades de pronto atendimento cadastrados no estudo e foram incluídos mediante termo de consentimento livre e esclarecido - TCLE. A coleta de dados foi realizada a partir do preenchimento de formulário gerado em Google Docs com informações sobre identificação, sexo, idade, procedência, raça, estado civil, nível de escolaridade, situação profissional e ocupação, renda familiar mensal, questionário para o Critério de Classificação Econômica Brasil (CCEB), etilismo, tabagismo, prática de atividade física, patologias pré-existentes, uso de medicação, informações sobre a doença atual - sintomas, prática de distanciamento social e uso de máscara, tempo para procurar serviço de saúde, tempo para realização de diagnóstico, se em internamento ou em domicílio, uso de medicação para controle de sintomas da COVID-19, ocorrência ou não de visita domiciliar por profissional de saúde -, medidas antropométricas atuais - peso e altura -, perda ou ganho de peso referido nos últimos 6 meses, e capacidade funcional. Os dados antropométricos utilizados foram referidos pelo paciente ou familiar, quando em isolamento domiciliar, ou colhidos em prontuário, quando o paciente estava hospitalizado. Foram excluídos da amostra os pacientes cujos dados antropométricos não eram suficientes para cálculo de IMC. </w:t>
      </w:r>
    </w:p>
    <w:p w:rsidR="00000000" w:rsidDel="00000000" w:rsidP="00000000" w:rsidRDefault="00000000" w:rsidRPr="00000000" w14:paraId="0000000E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dados contínuos estão apresentados como média e desvios-padrão, enquanto os categóricos estão como frequências relativas e absolutas. A comparação do IMC entre as diferentes categorias de capacidade funcional foi feita por meio de uma análise de covariância, usando o IMC como variável dependente, as categorias como independente e a idade e o sexo como variáveis de ajuste. Para todos os valores adotou-se um valor de alfa igual à 5% e o programa estatísticos SPSS v25.0 (IBM Inc, Chicagom IL, EUA).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avaliados 191 pacientes adultos e idosos participantes do estudo “Aspectos Sociodemográficos, Clínicos e Nutricionais Associados com Gravidade em Pacientes com COVID-19: Um Estudo Multicêntrico no Nordeste Brasileiro”. As características descritivas da amostra se encontram na Tabela 1. A idade média dos participantes foi de 49,1 ± 17,9 anos e o IMC foi de 26,6 ± 5,3 kg/m².</w:t>
      </w:r>
    </w:p>
    <w:p w:rsidR="00000000" w:rsidDel="00000000" w:rsidP="00000000" w:rsidRDefault="00000000" w:rsidRPr="00000000" w14:paraId="00000011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205"/>
          <w:sz w:val="24"/>
          <w:szCs w:val="24"/>
          <w:rtl w:val="0"/>
        </w:rPr>
        <w:t xml:space="preserve">A partir da análise dos dados apresentados, não foi possível perceber a existência de associação entre o IMC e a dificuldade funcional dos pacientes acometidos com COVID, após ajuste para idade e sexo.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manutenção das capacidades funcionais é um fator importante para o convívio social e para uma boa qualidade de vida. Sabe-se que o estado nutricional do indivíduo pode estar relacionado a uma melhor ou pior preservação da capacidade funcional, tendo em vista estudos que demonstraram, por exemplo, associação entre a obesidade e a presença de declínio funcional como déficit postural, maior risco de quedas e alterações de marcha (PATAKY et al., 2013). </w:t>
      </w:r>
    </w:p>
    <w:p w:rsidR="00000000" w:rsidDel="00000000" w:rsidP="00000000" w:rsidRDefault="00000000" w:rsidRPr="00000000" w14:paraId="00000012">
      <w:pPr>
        <w:spacing w:after="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ajuste dos dados coletados de acordo com idade e sexo é necessário em função do declínio funcional que ocorre naturalmente com a idade, o que prejudicaria a fidedignidade dos resultados de correlação entre as variáveis.   Apesar das limitações no que diz respeito à avaliação da composição corporal, o índice de massa corporal (IMC), por ser de fácil mensuração, baixo custo e pouco invasivo, ainda é utilizado como um importante indicador do estado nutricional, especialmente em estudos de base populacional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MARTINS; MENEGUCI; DAMIÃO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2015). Ainda assim, é possível que os valores de IMC não reflitam adequadamente o estado nutricional dos pacientes e, portanto, limite a associação deste com a capacidade funcional do indivíduo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Tabela 01.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Características descritivas da amostra (n = 19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1).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0.0" w:type="dxa"/>
        <w:tblBorders>
          <w:top w:color="000000" w:space="0" w:sz="18" w:val="single"/>
          <w:bottom w:color="000000" w:space="0" w:sz="18" w:val="single"/>
        </w:tblBorders>
        <w:tblLayout w:type="fixed"/>
        <w:tblLook w:val="0660"/>
      </w:tblPr>
      <w:tblGrid>
        <w:gridCol w:w="5566"/>
        <w:gridCol w:w="1376"/>
        <w:gridCol w:w="1563"/>
        <w:tblGridChange w:id="0">
          <w:tblGrid>
            <w:gridCol w:w="5566"/>
            <w:gridCol w:w="1376"/>
            <w:gridCol w:w="1563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Variável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Frequência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Porcentagem</w:t>
            </w:r>
          </w:p>
        </w:tc>
      </w:tr>
      <w:tr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Feminino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51,8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Masculino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48,2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Nível de escolaridade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0- 8 anos (fundamental completo)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41,3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8 - 11 anos (médio completo)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24,6 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Acima de 12 anos (superior em diante)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Situação profissional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Aposentado/Pensionista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Desempregado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Empregado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Estudante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Trabalho informal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Consumo de bebida alcoólica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45,0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Parou de beber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15,7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39,3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Tabagismo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75,4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Parou de fumar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18,3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6,3</w:t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Autores, 2020</w:t>
      </w:r>
    </w:p>
    <w:tbl>
      <w:tblPr>
        <w:tblStyle w:val="Table2"/>
        <w:tblW w:w="91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10"/>
        <w:gridCol w:w="1455"/>
        <w:gridCol w:w="1830"/>
        <w:tblGridChange w:id="0">
          <w:tblGrid>
            <w:gridCol w:w="5910"/>
            <w:gridCol w:w="1455"/>
            <w:gridCol w:w="1830"/>
          </w:tblGrid>
        </w:tblGridChange>
      </w:tblGrid>
      <w:tr>
        <w:trPr>
          <w:trHeight w:val="55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Tabela 03 -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0"/>
                <w:szCs w:val="20"/>
                <w:highlight w:val="white"/>
                <w:rtl w:val="0"/>
              </w:rPr>
              <w:t xml:space="preserve">Cap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acidade funcional dos indivíduos (n = 191)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0.0" w:type="dxa"/>
        <w:tblBorders>
          <w:top w:color="000000" w:space="0" w:sz="18" w:val="single"/>
          <w:bottom w:color="000000" w:space="0" w:sz="18" w:val="single"/>
        </w:tblBorders>
        <w:tblLayout w:type="fixed"/>
        <w:tblLook w:val="0660"/>
      </w:tblPr>
      <w:tblGrid>
        <w:gridCol w:w="5763"/>
        <w:gridCol w:w="1285"/>
        <w:gridCol w:w="1457"/>
        <w:tblGridChange w:id="0">
          <w:tblGrid>
            <w:gridCol w:w="5763"/>
            <w:gridCol w:w="1285"/>
            <w:gridCol w:w="1457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Variável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Frequência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Porcentagem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Dificuldade para carregar peso de 5kg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Não tenho dificuldade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62,3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alguma dificuldade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23,6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muita dificuldade OU Não consigo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20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14,1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Dificuldade para caminhar curtas distâncias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Não tenho dificuldade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67,5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alguma dificuldade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24,6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muita dificuldade / Uso apoios / Não consigo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7,9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Dificuldade para levantar-se da cadeira ou da cama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Não tenho dificuldade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75,4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alguma dificuldade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17,8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muita dificuldade / OU Não consigo levantar sem ajuda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6,8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Dificuldade para subir 10 degraus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Não tenho dificuldade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62,3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alguma dificuldade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26,2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Tenho muita dificuldade / OU Não consigo subir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11,5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Autores, 2020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Tabela 4 -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Comparação de média de IMC entre as categorias de capacidade funcional, após ajuste para idade e sexo dos indivíduos (n = 191).</w:t>
      </w:r>
    </w:p>
    <w:tbl>
      <w:tblPr>
        <w:tblStyle w:val="Table4"/>
        <w:tblW w:w="8665.0" w:type="dxa"/>
        <w:jc w:val="left"/>
        <w:tblInd w:w="0.0" w:type="dxa"/>
        <w:tblBorders>
          <w:top w:color="000000" w:space="0" w:sz="18" w:val="single"/>
          <w:bottom w:color="000000" w:space="0" w:sz="18" w:val="single"/>
        </w:tblBorders>
        <w:tblLayout w:type="fixed"/>
        <w:tblLook w:val="0660"/>
      </w:tblPr>
      <w:tblGrid>
        <w:gridCol w:w="5161"/>
        <w:gridCol w:w="1168"/>
        <w:gridCol w:w="1404"/>
        <w:gridCol w:w="932"/>
        <w:tblGridChange w:id="0">
          <w:tblGrid>
            <w:gridCol w:w="5161"/>
            <w:gridCol w:w="1168"/>
            <w:gridCol w:w="1404"/>
            <w:gridCol w:w="932"/>
          </w:tblGrid>
        </w:tblGridChange>
      </w:tblGrid>
      <w:t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Grupos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 valor</w:t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Média estimada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IC95%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Quanto de dificuldade você tem para levantar e carregar 5 kg?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0,89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tenho dificuldade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27,8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26,8 – 28,8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alguma dificuldade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27,4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25,8 – 29,0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muita dificuldade/Não consigo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25,2 – 29,5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Quanto de dificuldade você tem para caminhar a distância de um cômodo?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0,29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tenho dificuldade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28,0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27,1 – 29,0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alguma dificuldade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27,2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 – 28,8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muita dificuldade/Uso apoios/Não consigo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22,7 – 28,6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Quanto de dificuldade você tem para levantar da cadeira ou da cama?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0,06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tenho dificuldade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27,3 – 29,1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alguma dificuldade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24,5 – 28,2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muita dificuldade /Não consigo sem ajuda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21,7 – 28,5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Quanto de dificuldade você tem para subir um lance de 10 degraus?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0,59</w:t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tenho dificuldade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26,9 – 28,9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alguma dificuldade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25,5 – 28,5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Tenho muita dificuldade / OU Não consigo subir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24,9 – 29,7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Autores, 2020.</w:t>
      </w:r>
    </w:p>
    <w:p w:rsidR="00000000" w:rsidDel="00000000" w:rsidP="00000000" w:rsidRDefault="00000000" w:rsidRPr="00000000" w14:paraId="000000D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5. CONCLUSÕES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40" w:before="240" w:line="36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ajuste para idade e sexo, não houve associação entre o IMC e a capacidade funcional dos 191 indivíduos acometidos por COVID-19 nesta amostra. Faz-se necessário realizar novos estudos que avaliem de maneira mais detalhada a composição corporal e, consequentemente, permitam comparação e associação mais significativa entre o estado nutricional e a capacidade funcional do indivíduo.</w:t>
      </w:r>
    </w:p>
    <w:p w:rsidR="00000000" w:rsidDel="00000000" w:rsidP="00000000" w:rsidRDefault="00000000" w:rsidRPr="00000000" w14:paraId="000000DF">
      <w:pPr>
        <w:spacing w:after="240" w:befor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 . REFERÊNCIAS</w:t>
      </w:r>
    </w:p>
    <w:p w:rsidR="00000000" w:rsidDel="00000000" w:rsidP="00000000" w:rsidRDefault="00000000" w:rsidRPr="00000000" w14:paraId="000000E0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ZHOU, Y. et al. Pathogenic T-cells and inflammatory monocytes incite inflammatory storms in severe COVID-19 patients. National Science Review, 2020.</w:t>
      </w:r>
    </w:p>
    <w:p w:rsidR="00000000" w:rsidDel="00000000" w:rsidP="00000000" w:rsidRDefault="00000000" w:rsidRPr="00000000" w14:paraId="000000E1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HUANG, C. et al. Clinical features of patients infected with 2019 novel coronavirus in Wuhan, China. The lancet, v. 395, n. 10223, p. 497-506, 2020.</w:t>
      </w:r>
    </w:p>
    <w:p w:rsidR="00000000" w:rsidDel="00000000" w:rsidP="00000000" w:rsidRDefault="00000000" w:rsidRPr="00000000" w14:paraId="000000E2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SILVERIO, R. et al. Coronavirus Disease 2019 (COVID-19) and Nutritional Status: The Missing Link?.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Advances in Nutrition, 2020.</w:t>
      </w:r>
    </w:p>
    <w:p w:rsidR="00000000" w:rsidDel="00000000" w:rsidP="00000000" w:rsidRDefault="00000000" w:rsidRPr="00000000" w14:paraId="000000E3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ANKER, SD. et al. Muscle wasting disease: a proposal for a new disease classification. 2014.</w:t>
      </w:r>
    </w:p>
    <w:p w:rsidR="00000000" w:rsidDel="00000000" w:rsidP="00000000" w:rsidRDefault="00000000" w:rsidRPr="00000000" w14:paraId="000000E4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SILVA, LL. et al. Medidas de distanciamento social para o enfrentamento da COVID-19 no Brasil: caracterização e análise epidemiológica por estado. Cadernos de Saúde Pública, v. 36, p. e00185020, 2020.</w:t>
      </w:r>
    </w:p>
    <w:p w:rsidR="00000000" w:rsidDel="00000000" w:rsidP="00000000" w:rsidRDefault="00000000" w:rsidRPr="00000000" w14:paraId="000000E5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WERNECK, Guilherme Loureiro; CARVALHO, Marilia Sá. A pandemia de COVID-19 no Brasil: crônica de uma crise sanitária anunciada. 2020</w:t>
      </w:r>
    </w:p>
    <w:p w:rsidR="00000000" w:rsidDel="00000000" w:rsidP="00000000" w:rsidRDefault="00000000" w:rsidRPr="00000000" w14:paraId="000000E6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BRASIL. Disponível em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https://covid.saude.gov.br/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&gt; Acesso em 18 de out. de 2020</w:t>
      </w:r>
    </w:p>
    <w:p w:rsidR="00000000" w:rsidDel="00000000" w:rsidP="00000000" w:rsidRDefault="00000000" w:rsidRPr="00000000" w14:paraId="000000E7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PATAKY, Z. et al. Effects of obesity on functional capacity.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Obesity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22, p. 56-62, 2014.</w:t>
      </w:r>
    </w:p>
    <w:p w:rsidR="00000000" w:rsidDel="00000000" w:rsidP="00000000" w:rsidRDefault="00000000" w:rsidRPr="00000000" w14:paraId="000000E8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MARTINS, TI; MENEGUCI, J; DAMIÃO, R. Pontos de corte do índice de massa corporal para classificar o estado nutricional em idosos.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Família, Ciclos de Vida e Saúde no Contexto Social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3, n. 2, 2015.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700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Arial Rounded"/>
  <w:font w:name="Mond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spacing w:after="0" w:lineRule="auto"/>
      <w:rPr>
        <w:rFonts w:ascii="Monda" w:cs="Monda" w:eastAsia="Monda" w:hAnsi="Monda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7786" l="0" r="0" t="23091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-12699</wp:posOffset>
              </wp:positionV>
              <wp:extent cx="6337300" cy="8604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02750" y="3375188"/>
                        <a:ext cx="6286500" cy="809625"/>
                      </a:xfrm>
                      <a:prstGeom prst="bevel">
                        <a:avLst>
                          <a:gd fmla="val 12500" name="adj"/>
                        </a:avLst>
                      </a:prstGeom>
                      <a:noFill/>
                      <a:ln cap="flat" cmpd="sng" w="25400">
                        <a:solidFill>
                          <a:schemeClr val="accent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-12699</wp:posOffset>
              </wp:positionV>
              <wp:extent cx="6337300" cy="8604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7300" cy="860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B">
    <w:pPr>
      <w:spacing w:after="0" w:lineRule="auto"/>
      <w:rPr>
        <w:rFonts w:ascii="Arial Rounded" w:cs="Arial Rounded" w:eastAsia="Arial Rounded" w:hAnsi="Arial Rounded"/>
        <w:b w:val="1"/>
      </w:rPr>
    </w:pPr>
    <w:r w:rsidDel="00000000" w:rsidR="00000000" w:rsidRPr="00000000">
      <w:rPr>
        <w:rFonts w:ascii="Arial Rounded" w:cs="Arial Rounded" w:eastAsia="Arial Rounded" w:hAnsi="Arial Rounded"/>
        <w:b w:val="1"/>
        <w:rtl w:val="0"/>
      </w:rPr>
      <w:t xml:space="preserve">III Congresso Internacional de Nutrição</w:t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Arial Rounded" w:cs="Arial Rounded" w:eastAsia="Arial Rounded" w:hAnsi="Arial Rounded"/>
        <w:b w:val="1"/>
        <w:color w:val="000000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0000"/>
        <w:rtl w:val="0"/>
      </w:rPr>
      <w:t xml:space="preserve">Online</w:t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Monda" w:cs="Monda" w:eastAsia="Monda" w:hAnsi="Mond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Monda" w:cs="Monda" w:eastAsia="Monda" w:hAnsi="Monda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covid.saude.gov.b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bi.nlm.nih.gov/pubmed/?term=Huang%20C%5BAuthor%5D&amp;cauthor=true&amp;cauthor_uid=31986264" TargetMode="External"/><Relationship Id="rId7" Type="http://schemas.openxmlformats.org/officeDocument/2006/relationships/hyperlink" Target="https://www.ncbi.nlm.nih.gov/pubmed/?term=Anker%20SD%5BAuthor%5D&amp;cauthor=true&amp;cauthor_uid=24595459" TargetMode="External"/><Relationship Id="rId8" Type="http://schemas.openxmlformats.org/officeDocument/2006/relationships/hyperlink" Target="https://www.ncbi.nlm.nih.gov/pubmed/?term=Silverio%20R%5BAuthor%5D&amp;cauthor=true&amp;cauthor_uid=3297556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da-regular.ttf"/><Relationship Id="rId2" Type="http://schemas.openxmlformats.org/officeDocument/2006/relationships/font" Target="fonts/Mond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