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705100" cy="1352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5100"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FAUNA SILVESTRE VÍTIMA DE COLISÕES VEICULARES COMO SENTINELA DE ZOONOSES: VIGILÂNCIA MOLECULAR NA INTERFACE RODOVIA-FAUNA </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VASCONCELOS, H.V.S</w:t>
      </w:r>
      <w:r w:rsidDel="00000000" w:rsidR="00000000" w:rsidRPr="00000000">
        <w:rPr>
          <w:rFonts w:ascii="Times New Roman" w:cs="Times New Roman" w:eastAsia="Times New Roman" w:hAnsi="Times New Roman"/>
          <w:sz w:val="24"/>
          <w:szCs w:val="24"/>
          <w:rtl w:val="0"/>
        </w:rPr>
        <w:t xml:space="preserve">¹; SOUSA, F.Q.¹ MARINHO, L.P.¹; FILHO, A.C.S.¹; AMORIM, N.C.R.M.¹; ANDRADE, F.J.C.²; SILVA, M.C.M.³; LIMA, T.E.T.⁴; LIMA, D.C.V.⁵</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Graduando em Medicina Veterinária, Universidade Federal do Pará, Castanhal, Pará, Brasil (Heldervictor15@gmail.com) 2. Residente de Clínica Médica e Cirúrgica de Animais Silvestres, Universidade Federal do Pará, Castanhal, Pará, Brasil. 3. Médica Veterinária Autônoma, Teresina, Piauí, Brasil. 4. Médico Veterinário Autônomo, Barreiras, Bahia, Brasil. 5. Docente da Universidade Federal do Piauí, Bom Jesus, Piauí, Brasil.</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160"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ecologia de estradas tem se consolidado como um campo para compreender os impactos ambientais das infraestruturas viárias, especialmente no que diz respeito às colisões veiculares com fauna silvestre. </w:t>
      </w:r>
      <w:r w:rsidDel="00000000" w:rsidR="00000000" w:rsidRPr="00000000">
        <w:rPr>
          <w:rFonts w:ascii="Times New Roman" w:cs="Times New Roman" w:eastAsia="Times New Roman" w:hAnsi="Times New Roman"/>
          <w:sz w:val="24"/>
          <w:szCs w:val="24"/>
          <w:rtl w:val="0"/>
        </w:rPr>
        <w:t xml:space="preserve">Apesar dos impactos adversos causados pelo atropelamento, esses eventos podem ser convertidos em uma valiosa oportunidade para a obtenção de dados científicos, uma vez que a coleta e análise de informações provenientes desses indivíduos constitui uma importante ferramenta para estudos epidemiológicos, possibilitando a identificação de agentes infecciosos circulantes na fauna silvestre e o monitoramento de doenças emergentes. </w:t>
      </w:r>
      <w:r w:rsidDel="00000000" w:rsidR="00000000" w:rsidRPr="00000000">
        <w:rPr>
          <w:rFonts w:ascii="Times New Roman" w:cs="Times New Roman" w:eastAsia="Times New Roman" w:hAnsi="Times New Roman"/>
          <w:sz w:val="24"/>
          <w:szCs w:val="24"/>
          <w:rtl w:val="0"/>
        </w:rPr>
        <w:t xml:space="preserve">Inserida nesse contexto, a presente pesquisa teve como objetivo investigar a presença de </w:t>
      </w:r>
      <w:r w:rsidDel="00000000" w:rsidR="00000000" w:rsidRPr="00000000">
        <w:rPr>
          <w:rFonts w:ascii="Times New Roman" w:cs="Times New Roman" w:eastAsia="Times New Roman" w:hAnsi="Times New Roman"/>
          <w:sz w:val="24"/>
          <w:szCs w:val="24"/>
          <w:rtl w:val="0"/>
        </w:rPr>
        <w:t xml:space="preserve">agentes </w:t>
      </w:r>
      <w:r w:rsidDel="00000000" w:rsidR="00000000" w:rsidRPr="00000000">
        <w:rPr>
          <w:rFonts w:ascii="Times New Roman" w:cs="Times New Roman" w:eastAsia="Times New Roman" w:hAnsi="Times New Roman"/>
          <w:sz w:val="24"/>
          <w:szCs w:val="24"/>
          <w:rtl w:val="0"/>
        </w:rPr>
        <w:t xml:space="preserve">zoonóticos em animais vítimas de colisões veiculares no estado do Piauí. Foram coletadas amostras de 48 animais silvestres de vida livre mortos na BR 135 durante um período de 12 </w:t>
      </w:r>
      <w:r w:rsidDel="00000000" w:rsidR="00000000" w:rsidRPr="00000000">
        <w:rPr>
          <w:rFonts w:ascii="Times New Roman" w:cs="Times New Roman" w:eastAsia="Times New Roman" w:hAnsi="Times New Roman"/>
          <w:sz w:val="24"/>
          <w:szCs w:val="24"/>
          <w:rtl w:val="0"/>
        </w:rPr>
        <w:t xml:space="preserve">meses</w:t>
      </w:r>
      <w:r w:rsidDel="00000000" w:rsidR="00000000" w:rsidRPr="00000000">
        <w:rPr>
          <w:rFonts w:ascii="Times New Roman" w:cs="Times New Roman" w:eastAsia="Times New Roman" w:hAnsi="Times New Roman"/>
          <w:sz w:val="24"/>
          <w:szCs w:val="24"/>
          <w:rtl w:val="0"/>
        </w:rPr>
        <w:t xml:space="preserve">, abrangendo diferentes classes: anfíbios (14,7%), aves (20,8%), mamíferos (31,2%) e répteis (33,3%). </w:t>
      </w:r>
      <w:r w:rsidDel="00000000" w:rsidR="00000000" w:rsidRPr="00000000">
        <w:rPr>
          <w:rFonts w:ascii="Times New Roman" w:cs="Times New Roman" w:eastAsia="Times New Roman" w:hAnsi="Times New Roman"/>
          <w:sz w:val="24"/>
          <w:szCs w:val="24"/>
          <w:rtl w:val="0"/>
        </w:rPr>
        <w:t xml:space="preserve">As amostras foram armazenadas em tubos de 5 mL e, posteriormente, acondicionadas em freezer a -20ºC. </w:t>
      </w:r>
      <w:r w:rsidDel="00000000" w:rsidR="00000000" w:rsidRPr="00000000">
        <w:rPr>
          <w:rFonts w:ascii="Times New Roman" w:cs="Times New Roman" w:eastAsia="Times New Roman" w:hAnsi="Times New Roman"/>
          <w:sz w:val="24"/>
          <w:szCs w:val="24"/>
          <w:rtl w:val="0"/>
        </w:rPr>
        <w:t xml:space="preserve">Tecidos como fígado, rim, músculo e pulmão foram submetidos a análises moleculare</w:t>
      </w:r>
      <w:r w:rsidDel="00000000" w:rsidR="00000000" w:rsidRPr="00000000">
        <w:rPr>
          <w:rFonts w:ascii="Times New Roman" w:cs="Times New Roman" w:eastAsia="Times New Roman" w:hAnsi="Times New Roman"/>
          <w:sz w:val="24"/>
          <w:szCs w:val="24"/>
          <w:rtl w:val="0"/>
        </w:rPr>
        <w:t xml:space="preserve">s para a detecção de protozoários </w:t>
      </w:r>
      <w:r w:rsidDel="00000000" w:rsidR="00000000" w:rsidRPr="00000000">
        <w:rPr>
          <w:rFonts w:ascii="Times New Roman" w:cs="Times New Roman" w:eastAsia="Times New Roman" w:hAnsi="Times New Roman"/>
          <w:sz w:val="24"/>
          <w:szCs w:val="24"/>
          <w:rtl w:val="0"/>
        </w:rPr>
        <w:t xml:space="preserve">do Filo Apicomplexa, por meio da técnica de PCR (reação em cadeia da polimerase).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Das 48 amostras analisadas, </w:t>
      </w:r>
      <w:r w:rsidDel="00000000" w:rsidR="00000000" w:rsidRPr="00000000">
        <w:rPr>
          <w:rFonts w:ascii="Times New Roman" w:cs="Times New Roman" w:eastAsia="Times New Roman" w:hAnsi="Times New Roman"/>
          <w:sz w:val="24"/>
          <w:szCs w:val="24"/>
          <w:highlight w:val="white"/>
          <w:rtl w:val="0"/>
        </w:rPr>
        <w:t xml:space="preserve">três (6,25%)</w:t>
      </w:r>
      <w:r w:rsidDel="00000000" w:rsidR="00000000" w:rsidRPr="00000000">
        <w:rPr>
          <w:rFonts w:ascii="Times New Roman" w:cs="Times New Roman" w:eastAsia="Times New Roman" w:hAnsi="Times New Roman"/>
          <w:sz w:val="24"/>
          <w:szCs w:val="24"/>
          <w:highlight w:val="white"/>
          <w:rtl w:val="0"/>
        </w:rPr>
        <w:t xml:space="preserve">, sendo uma de réptil, uma de mamífero e uma de ave apresentaram resultado positivo para protozoários desse filo. Entre as amostras positivas, destaca-se a detecção em um indivíduo da espécie </w:t>
      </w:r>
      <w:r w:rsidDel="00000000" w:rsidR="00000000" w:rsidRPr="00000000">
        <w:rPr>
          <w:rFonts w:ascii="Times New Roman" w:cs="Times New Roman" w:eastAsia="Times New Roman" w:hAnsi="Times New Roman"/>
          <w:i w:val="1"/>
          <w:sz w:val="24"/>
          <w:szCs w:val="24"/>
          <w:highlight w:val="white"/>
          <w:rtl w:val="0"/>
        </w:rPr>
        <w:t xml:space="preserve">Cerdocyon thous</w:t>
      </w:r>
      <w:r w:rsidDel="00000000" w:rsidR="00000000" w:rsidRPr="00000000">
        <w:rPr>
          <w:rFonts w:ascii="Times New Roman" w:cs="Times New Roman" w:eastAsia="Times New Roman" w:hAnsi="Times New Roman"/>
          <w:sz w:val="24"/>
          <w:szCs w:val="24"/>
          <w:highlight w:val="white"/>
          <w:rtl w:val="0"/>
        </w:rPr>
        <w:t xml:space="preserve">, um mamífero carnívoro amplamente distribuído, com hábitos generalistas e capacidade de ocupar áreas periurbanas. </w:t>
      </w:r>
      <w:r w:rsidDel="00000000" w:rsidR="00000000" w:rsidRPr="00000000">
        <w:rPr>
          <w:rFonts w:ascii="Times New Roman" w:cs="Times New Roman" w:eastAsia="Times New Roman" w:hAnsi="Times New Roman"/>
          <w:sz w:val="24"/>
          <w:szCs w:val="24"/>
          <w:rtl w:val="0"/>
        </w:rPr>
        <w:t xml:space="preserve">A detecção de Apicomplexa em diferentes classes de animais levanta questões epidemiológicas importantes, principalmente por envolver gêneros como Toxoplasma e Sarcocystis, que podem infectar animais silvestres e domésticos, consequentemente atuar como reservatórios e fonte de infecção para humanos, representando risco à saúde pública. A presença confirmada em </w:t>
      </w:r>
      <w:r w:rsidDel="00000000" w:rsidR="00000000" w:rsidRPr="00000000">
        <w:rPr>
          <w:rFonts w:ascii="Times New Roman" w:cs="Times New Roman" w:eastAsia="Times New Roman" w:hAnsi="Times New Roman"/>
          <w:i w:val="1"/>
          <w:sz w:val="24"/>
          <w:szCs w:val="24"/>
          <w:rtl w:val="0"/>
        </w:rPr>
        <w:t xml:space="preserve">Cerdocyon thous</w:t>
      </w:r>
      <w:r w:rsidDel="00000000" w:rsidR="00000000" w:rsidRPr="00000000">
        <w:rPr>
          <w:rFonts w:ascii="Times New Roman" w:cs="Times New Roman" w:eastAsia="Times New Roman" w:hAnsi="Times New Roman"/>
          <w:sz w:val="24"/>
          <w:szCs w:val="24"/>
          <w:rtl w:val="0"/>
        </w:rPr>
        <w:t xml:space="preserve">, que apresenta semelhanças ecológicas com o cão doméstico</w:t>
      </w:r>
      <w:r w:rsidDel="00000000" w:rsidR="00000000" w:rsidRPr="00000000">
        <w:rPr>
          <w:rFonts w:ascii="Times New Roman" w:cs="Times New Roman" w:eastAsia="Times New Roman" w:hAnsi="Times New Roman"/>
          <w:sz w:val="24"/>
          <w:szCs w:val="24"/>
          <w:rtl w:val="0"/>
        </w:rPr>
        <w:t xml:space="preserve">, reforça a ideia de que carnívoros silvestres podem atuar como importantes reservatórios de agentes zoonóticos.</w:t>
      </w:r>
      <w:r w:rsidDel="00000000" w:rsidR="00000000" w:rsidRPr="00000000">
        <w:rPr>
          <w:rFonts w:ascii="Times New Roman" w:cs="Times New Roman" w:eastAsia="Times New Roman" w:hAnsi="Times New Roman"/>
          <w:sz w:val="24"/>
          <w:szCs w:val="24"/>
          <w:rtl w:val="0"/>
        </w:rPr>
        <w:t xml:space="preserve"> Isso aumenta o risco de transmissão entre ambientes silvestres e domésticos e evidencia a importância do monitoramento e vigilância desses patógenos em populações de animais em regiões que ocorrem interação com humanos. Dessa forma, conclui-se que animais silvestres atropelados podem e devem ser utilizados como ferramenta de vigilância epidemiológica e ambiental, funcionando como sentinelas da saúde dos ecossistemas. Este trabalho reforça a importância da continuidade de estudos similares, que não só geram dados valiosos para a conservação da biodiversidade, como também contribuem para a prevenção de zoonoses e para a formulação de políticas públicas de saúde única.</w:t>
      </w:r>
    </w:p>
    <w:p w:rsidR="00000000" w:rsidDel="00000000" w:rsidP="00000000" w:rsidRDefault="00000000" w:rsidRPr="00000000" w14:paraId="0000000B">
      <w:pPr>
        <w:spacing w:after="160"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Apicomplexa;  Medicina da Conservação; Saúde Ambiental.</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Felipe José da Costa. Animais Silvestres Sentinelas: Detecção Molecular De Agentes Zoonóticos Na Fauna Selvagem Vítima de Colisões Veiculares No Estado Do Piauí. Relatório de Estágio Supervisionado Obrigatório I apresentado ao curso de Medicina Veterinária do Campus Prof.a Cinobelina Elvas– UFPI, Bom-Jesus - PI, 2024.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MÁCA, O.; GUDIŠKIS, N.; BUTKAUSKAS, D.; GONZÁLEZ-SOLÍS, D.; PRAKAS, P. </w:t>
      </w:r>
      <w:r w:rsidDel="00000000" w:rsidR="00000000" w:rsidRPr="00000000">
        <w:rPr>
          <w:rFonts w:ascii="Times New Roman" w:cs="Times New Roman" w:eastAsia="Times New Roman" w:hAnsi="Times New Roman"/>
          <w:sz w:val="24"/>
          <w:szCs w:val="24"/>
          <w:rtl w:val="0"/>
        </w:rPr>
        <w:t xml:space="preserve">Red foxes (Vulpes vulpes) and raccoon dogs (Nyctereutes procyonoides) as potential spreaders of Sarcocystis species. Frontiers in Veterinary Science, [S. l.], v. 11, p. 1392618, 2024. DOI: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https://doi.org/10.3389/fvets.2024.1392618</w:t>
        </w:r>
      </w:hyperlink>
      <w:r w:rsidDel="00000000" w:rsidR="00000000" w:rsidRPr="00000000">
        <w:rPr>
          <w:rFonts w:ascii="Times New Roman" w:cs="Times New Roman" w:eastAsia="Times New Roman" w:hAnsi="Times New Roman"/>
          <w:sz w:val="24"/>
          <w:szCs w:val="24"/>
          <w:rtl w:val="0"/>
        </w:rPr>
        <w:t xml:space="preserve">. Acesso em: 27 maio 2025.</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3389/fvets.2024.13926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