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2E" w:rsidRPr="00842BFA" w:rsidRDefault="00E916FA" w:rsidP="00842BFA">
      <w:pPr>
        <w:jc w:val="center"/>
        <w:rPr>
          <w:b/>
          <w:color w:val="FF0000"/>
          <w:sz w:val="24"/>
          <w:szCs w:val="24"/>
        </w:rPr>
      </w:pPr>
      <w:r w:rsidRPr="00E916FA">
        <w:rPr>
          <w:b/>
          <w:sz w:val="24"/>
          <w:szCs w:val="24"/>
        </w:rPr>
        <w:t xml:space="preserve">CARACTERIZAÇÃO FÍSICO-QUÍMICA E </w:t>
      </w:r>
      <w:r w:rsidRPr="005A3942">
        <w:rPr>
          <w:b/>
          <w:color w:val="000000" w:themeColor="text1"/>
          <w:sz w:val="24"/>
          <w:szCs w:val="24"/>
        </w:rPr>
        <w:t xml:space="preserve">SENSORIAL </w:t>
      </w:r>
      <w:r w:rsidR="008553C1" w:rsidRPr="005A3942">
        <w:rPr>
          <w:b/>
          <w:color w:val="000000" w:themeColor="text1"/>
          <w:sz w:val="24"/>
          <w:szCs w:val="24"/>
        </w:rPr>
        <w:t>DE BOLO COM DIFERENTES CONCENTRAÇÕES DE SORO DE LEITE BUBALINO</w:t>
      </w:r>
      <w:r w:rsidR="007A2813" w:rsidRPr="005A3942">
        <w:rPr>
          <w:b/>
          <w:color w:val="000000" w:themeColor="text1"/>
          <w:sz w:val="24"/>
          <w:szCs w:val="24"/>
        </w:rPr>
        <w:t>, OBTIDO A PARTIR DA PRODUÇÃO DO QUEIJO DO MARAJÓ.</w:t>
      </w:r>
    </w:p>
    <w:p w:rsidR="0012462E" w:rsidRPr="004F6258" w:rsidRDefault="0012462E" w:rsidP="0012462E">
      <w:pPr>
        <w:jc w:val="center"/>
        <w:rPr>
          <w:b/>
          <w:sz w:val="24"/>
          <w:szCs w:val="24"/>
        </w:rPr>
      </w:pPr>
    </w:p>
    <w:p w:rsidR="008553C1" w:rsidRPr="00E77703" w:rsidRDefault="00B2281F" w:rsidP="008553C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Gerlainny Brito </w:t>
      </w:r>
      <w:r w:rsidRPr="00B2281F">
        <w:rPr>
          <w:sz w:val="24"/>
          <w:szCs w:val="24"/>
        </w:rPr>
        <w:t>Viana</w:t>
      </w:r>
      <w:r w:rsidRPr="00B2281F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; </w:t>
      </w:r>
      <w:r w:rsidR="004B1E75">
        <w:rPr>
          <w:sz w:val="24"/>
          <w:szCs w:val="24"/>
        </w:rPr>
        <w:t xml:space="preserve">Raiane Gonçalves dos </w:t>
      </w:r>
      <w:r w:rsidR="004B1E75" w:rsidRPr="004B1E75">
        <w:rPr>
          <w:sz w:val="24"/>
          <w:szCs w:val="24"/>
        </w:rPr>
        <w:t>Santos</w:t>
      </w:r>
      <w:r w:rsidR="004B1E75">
        <w:rPr>
          <w:sz w:val="24"/>
          <w:szCs w:val="24"/>
          <w:vertAlign w:val="superscript"/>
        </w:rPr>
        <w:t>2</w:t>
      </w:r>
      <w:r w:rsidR="004B1E75">
        <w:rPr>
          <w:sz w:val="24"/>
          <w:szCs w:val="24"/>
        </w:rPr>
        <w:t xml:space="preserve">; </w:t>
      </w:r>
      <w:r w:rsidR="008553C1" w:rsidRPr="004B1E75">
        <w:rPr>
          <w:sz w:val="24"/>
          <w:szCs w:val="24"/>
        </w:rPr>
        <w:t>Aldejane</w:t>
      </w:r>
      <w:r w:rsidR="008553C1">
        <w:rPr>
          <w:sz w:val="24"/>
          <w:szCs w:val="24"/>
        </w:rPr>
        <w:t xml:space="preserve"> Vidal Prado</w:t>
      </w:r>
      <w:r w:rsidR="004B1E75">
        <w:rPr>
          <w:sz w:val="24"/>
          <w:szCs w:val="24"/>
          <w:vertAlign w:val="superscript"/>
        </w:rPr>
        <w:t>3</w:t>
      </w:r>
      <w:r w:rsidR="008553C1">
        <w:rPr>
          <w:sz w:val="24"/>
          <w:szCs w:val="24"/>
        </w:rPr>
        <w:t xml:space="preserve">; </w:t>
      </w:r>
      <w:r w:rsidR="004B1E75">
        <w:rPr>
          <w:sz w:val="24"/>
          <w:szCs w:val="24"/>
        </w:rPr>
        <w:t>Rayra Evangelista Vital</w:t>
      </w:r>
      <w:r w:rsidR="004B1E75">
        <w:rPr>
          <w:sz w:val="24"/>
          <w:szCs w:val="24"/>
          <w:vertAlign w:val="superscript"/>
        </w:rPr>
        <w:t>4</w:t>
      </w:r>
      <w:r w:rsidR="008553C1">
        <w:rPr>
          <w:sz w:val="24"/>
          <w:szCs w:val="24"/>
        </w:rPr>
        <w:t xml:space="preserve">; </w:t>
      </w:r>
      <w:r w:rsidR="00732E16">
        <w:rPr>
          <w:sz w:val="24"/>
          <w:szCs w:val="24"/>
        </w:rPr>
        <w:t>Jean Santos Silva</w:t>
      </w:r>
      <w:r w:rsidR="004B1E75">
        <w:rPr>
          <w:sz w:val="24"/>
          <w:szCs w:val="24"/>
          <w:vertAlign w:val="superscript"/>
        </w:rPr>
        <w:t>5</w:t>
      </w:r>
      <w:r w:rsidR="008553C1">
        <w:rPr>
          <w:sz w:val="24"/>
          <w:szCs w:val="24"/>
        </w:rPr>
        <w:t xml:space="preserve">; </w:t>
      </w:r>
      <w:r w:rsidR="00E77703" w:rsidRPr="00E77703">
        <w:rPr>
          <w:sz w:val="24"/>
          <w:szCs w:val="24"/>
        </w:rPr>
        <w:t>Rafael V</w:t>
      </w:r>
      <w:r w:rsidR="00732E16" w:rsidRPr="00E77703">
        <w:rPr>
          <w:sz w:val="24"/>
          <w:szCs w:val="24"/>
        </w:rPr>
        <w:t>itti Mota</w:t>
      </w:r>
      <w:r w:rsidR="004B1E75">
        <w:rPr>
          <w:sz w:val="24"/>
          <w:szCs w:val="24"/>
          <w:vertAlign w:val="superscript"/>
        </w:rPr>
        <w:t>6</w:t>
      </w:r>
    </w:p>
    <w:p w:rsidR="008553C1" w:rsidRDefault="008553C1" w:rsidP="008553C1">
      <w:pPr>
        <w:spacing w:line="360" w:lineRule="auto"/>
        <w:jc w:val="center"/>
        <w:rPr>
          <w:sz w:val="24"/>
          <w:szCs w:val="24"/>
        </w:rPr>
      </w:pPr>
    </w:p>
    <w:p w:rsidR="00E624D1" w:rsidRDefault="00E624D1" w:rsidP="00732E16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 w:rsidR="008553C1">
        <w:rPr>
          <w:sz w:val="24"/>
          <w:szCs w:val="24"/>
        </w:rPr>
        <w:t>Graduanda em Tecnologia de Alimentos. U</w:t>
      </w:r>
      <w:r>
        <w:rPr>
          <w:sz w:val="24"/>
          <w:szCs w:val="24"/>
        </w:rPr>
        <w:t>niversidade do Estado do Pará</w:t>
      </w:r>
      <w:r w:rsidR="00842BFA">
        <w:rPr>
          <w:sz w:val="24"/>
          <w:szCs w:val="24"/>
        </w:rPr>
        <w:t xml:space="preserve"> - Salvaterra</w:t>
      </w:r>
      <w:r>
        <w:rPr>
          <w:sz w:val="24"/>
          <w:szCs w:val="24"/>
        </w:rPr>
        <w:t xml:space="preserve">. </w:t>
      </w:r>
    </w:p>
    <w:p w:rsidR="008553C1" w:rsidRPr="00842BFA" w:rsidRDefault="00F140BE" w:rsidP="00732E16">
      <w:pPr>
        <w:pStyle w:val="Rodap"/>
        <w:jc w:val="center"/>
        <w:rPr>
          <w:sz w:val="24"/>
          <w:szCs w:val="24"/>
        </w:rPr>
      </w:pPr>
      <w:hyperlink r:id="rId8" w:history="1">
        <w:r w:rsidR="004B1E75" w:rsidRPr="00842BFA">
          <w:rPr>
            <w:rStyle w:val="Hyperlink"/>
            <w:color w:val="auto"/>
            <w:sz w:val="24"/>
            <w:szCs w:val="24"/>
            <w:u w:val="none"/>
          </w:rPr>
          <w:t>gerlainnybrito@gmail.com</w:t>
        </w:r>
      </w:hyperlink>
    </w:p>
    <w:p w:rsidR="008553C1" w:rsidRDefault="004B1E75" w:rsidP="00732E16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 w:rsidR="008553C1" w:rsidRPr="00842BFA">
        <w:rPr>
          <w:sz w:val="24"/>
          <w:szCs w:val="24"/>
        </w:rPr>
        <w:t>Graduanda em Tecnologia de Alimentos.Universidade do Estado do Pará</w:t>
      </w:r>
      <w:r w:rsidR="00842BFA">
        <w:rPr>
          <w:sz w:val="24"/>
          <w:szCs w:val="24"/>
        </w:rPr>
        <w:t xml:space="preserve"> - Salvaterra</w:t>
      </w:r>
      <w:r w:rsidR="008553C1" w:rsidRPr="00842BFA">
        <w:rPr>
          <w:sz w:val="24"/>
          <w:szCs w:val="24"/>
        </w:rPr>
        <w:t xml:space="preserve">. </w:t>
      </w:r>
    </w:p>
    <w:p w:rsidR="004B1E75" w:rsidRPr="00842BFA" w:rsidRDefault="00F140BE" w:rsidP="004B1E75">
      <w:pPr>
        <w:pStyle w:val="Rodap"/>
        <w:jc w:val="center"/>
        <w:rPr>
          <w:rStyle w:val="Hyperlink"/>
          <w:color w:val="auto"/>
          <w:sz w:val="24"/>
          <w:szCs w:val="24"/>
          <w:u w:val="none"/>
        </w:rPr>
      </w:pPr>
      <w:hyperlink r:id="rId9" w:history="1">
        <w:r w:rsidR="004B1E75" w:rsidRPr="00842BFA">
          <w:rPr>
            <w:rStyle w:val="Hyperlink"/>
            <w:color w:val="auto"/>
            <w:sz w:val="24"/>
            <w:szCs w:val="24"/>
            <w:u w:val="none"/>
          </w:rPr>
          <w:t>raianegon19@gmail.com</w:t>
        </w:r>
      </w:hyperlink>
    </w:p>
    <w:p w:rsidR="00732E16" w:rsidRPr="00842BFA" w:rsidRDefault="004B1E75" w:rsidP="00732E16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="00732E16" w:rsidRPr="00842BFA">
        <w:rPr>
          <w:sz w:val="24"/>
          <w:szCs w:val="24"/>
        </w:rPr>
        <w:t>Graduando em Tecnologia de Alimentos.Universidade do Estado do Pará</w:t>
      </w:r>
      <w:r w:rsidR="00842BFA">
        <w:rPr>
          <w:sz w:val="24"/>
          <w:szCs w:val="24"/>
        </w:rPr>
        <w:t xml:space="preserve"> - Salvaterra</w:t>
      </w:r>
      <w:r w:rsidR="00732E16" w:rsidRPr="00842BFA">
        <w:rPr>
          <w:sz w:val="24"/>
          <w:szCs w:val="24"/>
        </w:rPr>
        <w:t xml:space="preserve">. </w:t>
      </w:r>
      <w:hyperlink r:id="rId10" w:history="1">
        <w:r w:rsidRPr="00842BFA">
          <w:rPr>
            <w:rStyle w:val="Hyperlink"/>
            <w:color w:val="auto"/>
            <w:sz w:val="24"/>
            <w:szCs w:val="24"/>
            <w:u w:val="none"/>
          </w:rPr>
          <w:t>janny7@hotmail.com</w:t>
        </w:r>
      </w:hyperlink>
      <w:r w:rsidRPr="00842BFA">
        <w:rPr>
          <w:sz w:val="24"/>
          <w:szCs w:val="24"/>
        </w:rPr>
        <w:t xml:space="preserve">. </w:t>
      </w:r>
    </w:p>
    <w:p w:rsidR="00732E16" w:rsidRPr="00842BFA" w:rsidRDefault="004B1E75" w:rsidP="00732E16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 w:rsidR="008553C1" w:rsidRPr="00842BFA">
        <w:rPr>
          <w:sz w:val="24"/>
          <w:szCs w:val="24"/>
        </w:rPr>
        <w:t>Graduanda em Tecnologia de Alime</w:t>
      </w:r>
      <w:r w:rsidR="00732E16" w:rsidRPr="00842BFA">
        <w:rPr>
          <w:sz w:val="24"/>
          <w:szCs w:val="24"/>
        </w:rPr>
        <w:t>ntos. Universidade do Estado do Pará</w:t>
      </w:r>
      <w:r w:rsidR="00842BFA">
        <w:rPr>
          <w:sz w:val="24"/>
          <w:szCs w:val="24"/>
        </w:rPr>
        <w:t xml:space="preserve"> - Salvaterra</w:t>
      </w:r>
      <w:r w:rsidR="00732E16" w:rsidRPr="00842BFA">
        <w:rPr>
          <w:sz w:val="24"/>
          <w:szCs w:val="24"/>
        </w:rPr>
        <w:t xml:space="preserve">. </w:t>
      </w:r>
      <w:hyperlink r:id="rId11" w:history="1">
        <w:r w:rsidRPr="00842BFA">
          <w:rPr>
            <w:rStyle w:val="Hyperlink"/>
            <w:color w:val="auto"/>
            <w:sz w:val="24"/>
            <w:szCs w:val="24"/>
            <w:u w:val="none"/>
          </w:rPr>
          <w:t>rayraevangelista05@gmail.com</w:t>
        </w:r>
      </w:hyperlink>
    </w:p>
    <w:p w:rsidR="008553C1" w:rsidRPr="00842BFA" w:rsidRDefault="004B1E75" w:rsidP="00732E16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Graduando</w:t>
      </w:r>
      <w:r w:rsidR="008553C1" w:rsidRPr="00842BFA">
        <w:rPr>
          <w:sz w:val="24"/>
          <w:szCs w:val="24"/>
        </w:rPr>
        <w:t xml:space="preserve"> em Tecnologia de Alimentos.Universidade do Estado do Pará</w:t>
      </w:r>
      <w:r w:rsidR="00842BFA">
        <w:rPr>
          <w:sz w:val="24"/>
          <w:szCs w:val="24"/>
        </w:rPr>
        <w:t xml:space="preserve"> - Salvaterra</w:t>
      </w:r>
      <w:r w:rsidR="008553C1" w:rsidRPr="00842BFA">
        <w:rPr>
          <w:sz w:val="24"/>
          <w:szCs w:val="24"/>
        </w:rPr>
        <w:t xml:space="preserve">. </w:t>
      </w:r>
      <w:hyperlink r:id="rId12" w:history="1">
        <w:r w:rsidRPr="00842BFA">
          <w:rPr>
            <w:rStyle w:val="Hyperlink"/>
            <w:color w:val="auto"/>
            <w:sz w:val="24"/>
            <w:szCs w:val="24"/>
            <w:u w:val="none"/>
          </w:rPr>
          <w:t>jeanss291@gmail.com</w:t>
        </w:r>
      </w:hyperlink>
    </w:p>
    <w:p w:rsidR="008553C1" w:rsidRPr="00842BFA" w:rsidRDefault="004B1E75" w:rsidP="00732E16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6</w:t>
      </w:r>
      <w:r w:rsidR="00842BFA" w:rsidRPr="00842BFA">
        <w:rPr>
          <w:sz w:val="24"/>
          <w:szCs w:val="24"/>
        </w:rPr>
        <w:t xml:space="preserve">Mestre em Ciência e Tecnologia de Alimentos. Universidade </w:t>
      </w:r>
      <w:r w:rsidR="00275F89">
        <w:rPr>
          <w:sz w:val="24"/>
          <w:szCs w:val="24"/>
        </w:rPr>
        <w:t xml:space="preserve">do Estado </w:t>
      </w:r>
      <w:r w:rsidR="00842BFA" w:rsidRPr="00842BFA">
        <w:rPr>
          <w:sz w:val="24"/>
          <w:szCs w:val="24"/>
        </w:rPr>
        <w:t>do Pará - U</w:t>
      </w:r>
      <w:r w:rsidR="00275F89">
        <w:rPr>
          <w:sz w:val="24"/>
          <w:szCs w:val="24"/>
        </w:rPr>
        <w:t>E</w:t>
      </w:r>
      <w:r w:rsidR="00842BFA" w:rsidRPr="00842BFA">
        <w:rPr>
          <w:sz w:val="24"/>
          <w:szCs w:val="24"/>
        </w:rPr>
        <w:t>PA </w:t>
      </w:r>
    </w:p>
    <w:p w:rsidR="0012462E" w:rsidRPr="00FA14A5" w:rsidRDefault="00F140BE" w:rsidP="00842BFA">
      <w:pPr>
        <w:pStyle w:val="Rodap"/>
        <w:jc w:val="center"/>
        <w:rPr>
          <w:sz w:val="24"/>
          <w:szCs w:val="24"/>
        </w:rPr>
      </w:pPr>
      <w:hyperlink r:id="rId13" w:history="1">
        <w:r w:rsidRPr="00FA14A5">
          <w:rPr>
            <w:rStyle w:val="Hyperlink"/>
            <w:color w:val="auto"/>
            <w:sz w:val="24"/>
            <w:szCs w:val="24"/>
            <w:u w:val="none"/>
          </w:rPr>
          <w:t>vittimota@uepa.br</w:t>
        </w:r>
      </w:hyperlink>
    </w:p>
    <w:p w:rsidR="00FE7A2B" w:rsidRPr="00FA14A5" w:rsidRDefault="00FE7A2B" w:rsidP="000941DE">
      <w:pPr>
        <w:rPr>
          <w:b/>
          <w:sz w:val="24"/>
          <w:szCs w:val="24"/>
        </w:rPr>
      </w:pPr>
    </w:p>
    <w:p w:rsidR="0012462E" w:rsidRPr="004F6258" w:rsidRDefault="0012462E" w:rsidP="0057628C">
      <w:pPr>
        <w:spacing w:after="240" w:line="360" w:lineRule="auto"/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:rsidR="006B7638" w:rsidRPr="006B7638" w:rsidRDefault="007178DF" w:rsidP="006B7638">
      <w:pPr>
        <w:tabs>
          <w:tab w:val="left" w:pos="851"/>
        </w:tabs>
        <w:jc w:val="both"/>
        <w:rPr>
          <w:sz w:val="24"/>
          <w:szCs w:val="28"/>
        </w:rPr>
      </w:pPr>
      <w:r w:rsidRPr="007178DF">
        <w:rPr>
          <w:rFonts w:eastAsiaTheme="minorHAnsi"/>
          <w:sz w:val="24"/>
          <w:lang w:eastAsia="en-US"/>
        </w:rPr>
        <w:t>O soro do leite é u</w:t>
      </w:r>
      <w:r w:rsidR="004A42A6">
        <w:rPr>
          <w:rFonts w:eastAsiaTheme="minorHAnsi"/>
          <w:sz w:val="24"/>
          <w:lang w:eastAsia="en-US"/>
        </w:rPr>
        <w:t>m subproduto rico em nutrientes</w:t>
      </w:r>
      <w:r w:rsidR="00AD6DFD">
        <w:rPr>
          <w:rFonts w:eastAsiaTheme="minorHAnsi"/>
          <w:sz w:val="24"/>
          <w:lang w:eastAsia="en-US"/>
        </w:rPr>
        <w:t xml:space="preserve"> e atributos funcionais a saúde</w:t>
      </w:r>
      <w:r w:rsidR="004A42A6">
        <w:rPr>
          <w:rFonts w:eastAsiaTheme="minorHAnsi"/>
          <w:sz w:val="24"/>
          <w:lang w:eastAsia="en-US"/>
        </w:rPr>
        <w:t>,</w:t>
      </w:r>
      <w:r w:rsidR="00AD6DFD">
        <w:rPr>
          <w:rFonts w:eastAsiaTheme="minorHAnsi"/>
          <w:sz w:val="24"/>
          <w:lang w:eastAsia="en-US"/>
        </w:rPr>
        <w:t xml:space="preserve"> no qual é</w:t>
      </w:r>
      <w:r w:rsidR="006B7638">
        <w:rPr>
          <w:rFonts w:eastAsiaTheme="minorHAnsi"/>
          <w:sz w:val="24"/>
          <w:lang w:eastAsia="en-US"/>
        </w:rPr>
        <w:t xml:space="preserve"> </w:t>
      </w:r>
      <w:r w:rsidR="00275F89">
        <w:rPr>
          <w:rFonts w:eastAsiaTheme="minorHAnsi"/>
          <w:sz w:val="24"/>
          <w:lang w:eastAsia="en-US"/>
        </w:rPr>
        <w:t>gerado</w:t>
      </w:r>
      <w:r>
        <w:rPr>
          <w:rFonts w:eastAsiaTheme="minorHAnsi"/>
          <w:sz w:val="24"/>
          <w:lang w:eastAsia="en-US"/>
        </w:rPr>
        <w:t xml:space="preserve"> em grande escala</w:t>
      </w:r>
      <w:r w:rsidR="004A42A6">
        <w:rPr>
          <w:rFonts w:eastAsiaTheme="minorHAnsi"/>
          <w:sz w:val="24"/>
          <w:lang w:eastAsia="en-US"/>
        </w:rPr>
        <w:t xml:space="preserve"> na produção de queijos,</w:t>
      </w:r>
      <w:r w:rsidR="00FA14A5">
        <w:rPr>
          <w:rFonts w:eastAsiaTheme="minorHAnsi"/>
          <w:sz w:val="24"/>
          <w:lang w:eastAsia="en-US"/>
        </w:rPr>
        <w:t xml:space="preserve"> </w:t>
      </w:r>
      <w:r w:rsidR="00AD6DFD">
        <w:rPr>
          <w:rFonts w:eastAsiaTheme="minorHAnsi"/>
          <w:sz w:val="24"/>
          <w:lang w:eastAsia="en-US"/>
        </w:rPr>
        <w:t xml:space="preserve">podendo ser </w:t>
      </w:r>
      <w:r w:rsidR="00DC6C06">
        <w:rPr>
          <w:rFonts w:eastAsiaTheme="minorHAnsi"/>
          <w:sz w:val="24"/>
          <w:lang w:eastAsia="en-US"/>
        </w:rPr>
        <w:t>acrescido em receitas culinárias,</w:t>
      </w:r>
      <w:r w:rsidR="004A42A6">
        <w:rPr>
          <w:rFonts w:eastAsiaTheme="minorHAnsi"/>
          <w:sz w:val="24"/>
          <w:lang w:eastAsia="en-US"/>
        </w:rPr>
        <w:t>porém</w:t>
      </w:r>
      <w:r w:rsidR="00605E43">
        <w:rPr>
          <w:rFonts w:eastAsiaTheme="minorHAnsi"/>
          <w:sz w:val="24"/>
          <w:lang w:eastAsia="en-US"/>
        </w:rPr>
        <w:t>é</w:t>
      </w:r>
      <w:r w:rsidRPr="007178DF">
        <w:rPr>
          <w:rFonts w:eastAsiaTheme="minorHAnsi"/>
          <w:sz w:val="24"/>
          <w:lang w:eastAsia="en-US"/>
        </w:rPr>
        <w:t xml:space="preserve"> descartado pela maioria das indústrias</w:t>
      </w:r>
      <w:r w:rsidR="00AD6DFD">
        <w:rPr>
          <w:rFonts w:eastAsiaTheme="minorHAnsi"/>
          <w:sz w:val="24"/>
          <w:lang w:eastAsia="en-US"/>
        </w:rPr>
        <w:t xml:space="preserve">,e </w:t>
      </w:r>
      <w:r w:rsidR="00943D72">
        <w:rPr>
          <w:rFonts w:eastAsiaTheme="minorHAnsi"/>
          <w:sz w:val="24"/>
          <w:lang w:eastAsia="en-US"/>
        </w:rPr>
        <w:t xml:space="preserve">o </w:t>
      </w:r>
      <w:r>
        <w:rPr>
          <w:rFonts w:eastAsiaTheme="minorHAnsi"/>
          <w:sz w:val="24"/>
          <w:lang w:eastAsia="en-US"/>
        </w:rPr>
        <w:t>descarte</w:t>
      </w:r>
      <w:r w:rsidR="005C7534">
        <w:rPr>
          <w:rFonts w:eastAsiaTheme="minorHAnsi"/>
          <w:sz w:val="24"/>
          <w:lang w:eastAsia="en-US"/>
        </w:rPr>
        <w:t xml:space="preserve"> incorreto</w:t>
      </w:r>
      <w:r w:rsidR="00943D72">
        <w:rPr>
          <w:rFonts w:eastAsiaTheme="minorHAnsi"/>
          <w:sz w:val="24"/>
          <w:lang w:eastAsia="en-US"/>
        </w:rPr>
        <w:t xml:space="preserve"> deste produto</w:t>
      </w:r>
      <w:r w:rsidR="005C7534">
        <w:rPr>
          <w:rFonts w:eastAsiaTheme="minorHAnsi"/>
          <w:sz w:val="24"/>
          <w:lang w:eastAsia="en-US"/>
        </w:rPr>
        <w:t xml:space="preserve"> aumenta o n</w:t>
      </w:r>
      <w:r w:rsidR="007F4B80">
        <w:rPr>
          <w:rFonts w:eastAsiaTheme="minorHAnsi"/>
          <w:sz w:val="24"/>
          <w:lang w:eastAsia="en-US"/>
        </w:rPr>
        <w:t>ú</w:t>
      </w:r>
      <w:r w:rsidR="005C7534">
        <w:rPr>
          <w:rFonts w:eastAsiaTheme="minorHAnsi"/>
          <w:sz w:val="24"/>
          <w:lang w:eastAsia="en-US"/>
        </w:rPr>
        <w:t xml:space="preserve">mero de </w:t>
      </w:r>
      <w:r>
        <w:rPr>
          <w:rFonts w:eastAsiaTheme="minorHAnsi"/>
          <w:sz w:val="24"/>
          <w:lang w:eastAsia="en-US"/>
        </w:rPr>
        <w:t>poluente</w:t>
      </w:r>
      <w:r w:rsidR="005C7534">
        <w:rPr>
          <w:rFonts w:eastAsiaTheme="minorHAnsi"/>
          <w:sz w:val="24"/>
          <w:lang w:eastAsia="en-US"/>
        </w:rPr>
        <w:t>s</w:t>
      </w:r>
      <w:r w:rsidR="00605E43">
        <w:rPr>
          <w:rFonts w:eastAsiaTheme="minorHAnsi"/>
          <w:sz w:val="24"/>
          <w:lang w:eastAsia="en-US"/>
        </w:rPr>
        <w:t xml:space="preserve"> para </w:t>
      </w:r>
      <w:r w:rsidR="00275F89">
        <w:rPr>
          <w:rFonts w:eastAsiaTheme="minorHAnsi"/>
          <w:sz w:val="24"/>
          <w:lang w:eastAsia="en-US"/>
        </w:rPr>
        <w:t>a</w:t>
      </w:r>
      <w:r w:rsidR="00605E43">
        <w:rPr>
          <w:rFonts w:eastAsiaTheme="minorHAnsi"/>
          <w:sz w:val="24"/>
          <w:lang w:eastAsia="en-US"/>
        </w:rPr>
        <w:t>o meio ambiente</w:t>
      </w:r>
      <w:r w:rsidR="00E74717">
        <w:rPr>
          <w:rFonts w:eastAsiaTheme="minorHAnsi"/>
          <w:sz w:val="24"/>
          <w:lang w:eastAsia="en-US"/>
        </w:rPr>
        <w:t>.</w:t>
      </w:r>
      <w:r w:rsidR="00DC6C06">
        <w:rPr>
          <w:rFonts w:eastAsiaTheme="minorHAnsi"/>
          <w:sz w:val="24"/>
          <w:lang w:eastAsia="en-US"/>
        </w:rPr>
        <w:t xml:space="preserve"> Deste modo, o</w:t>
      </w:r>
      <w:r w:rsidR="005C7534">
        <w:rPr>
          <w:rFonts w:eastAsiaTheme="minorHAnsi"/>
          <w:sz w:val="24"/>
          <w:lang w:eastAsia="en-US"/>
        </w:rPr>
        <w:t xml:space="preserve"> presente trabalho</w:t>
      </w:r>
      <w:r w:rsidR="005C7534" w:rsidRPr="005C7534">
        <w:rPr>
          <w:rFonts w:eastAsiaTheme="minorHAnsi"/>
          <w:sz w:val="24"/>
          <w:lang w:eastAsia="en-US"/>
        </w:rPr>
        <w:t xml:space="preserve"> teve como </w:t>
      </w:r>
      <w:r w:rsidR="005C7534">
        <w:rPr>
          <w:rFonts w:eastAsiaTheme="minorHAnsi"/>
          <w:sz w:val="24"/>
          <w:lang w:eastAsia="en-US"/>
        </w:rPr>
        <w:t>objetivo utilizar soro de leite</w:t>
      </w:r>
      <w:r w:rsidR="00DC6C06">
        <w:rPr>
          <w:rFonts w:eastAsiaTheme="minorHAnsi"/>
          <w:sz w:val="24"/>
          <w:lang w:eastAsia="en-US"/>
        </w:rPr>
        <w:t xml:space="preserve"> bubalino</w:t>
      </w:r>
      <w:r w:rsidR="005C7534">
        <w:rPr>
          <w:rFonts w:eastAsiaTheme="minorHAnsi"/>
          <w:sz w:val="24"/>
          <w:lang w:eastAsia="en-US"/>
        </w:rPr>
        <w:t xml:space="preserve"> obtido a partir da produção do queijo do Marajó</w:t>
      </w:r>
      <w:r w:rsidR="00DC6C06">
        <w:rPr>
          <w:rFonts w:eastAsiaTheme="minorHAnsi"/>
          <w:sz w:val="24"/>
          <w:lang w:eastAsia="en-US"/>
        </w:rPr>
        <w:t>,</w:t>
      </w:r>
      <w:r w:rsidR="005C7534" w:rsidRPr="005C7534">
        <w:rPr>
          <w:rFonts w:eastAsiaTheme="minorHAnsi"/>
          <w:sz w:val="24"/>
          <w:lang w:eastAsia="en-US"/>
        </w:rPr>
        <w:t xml:space="preserve"> na elaboração de bolos </w:t>
      </w:r>
      <w:r w:rsidR="005C7534">
        <w:rPr>
          <w:rFonts w:eastAsiaTheme="minorHAnsi"/>
          <w:sz w:val="24"/>
          <w:lang w:eastAsia="en-US"/>
        </w:rPr>
        <w:t>com diferentes concentrações</w:t>
      </w:r>
      <w:r w:rsidR="0081539D">
        <w:rPr>
          <w:rFonts w:eastAsiaTheme="minorHAnsi"/>
          <w:sz w:val="24"/>
          <w:lang w:eastAsia="en-US"/>
        </w:rPr>
        <w:t>,</w:t>
      </w:r>
      <w:r w:rsidR="005C7534">
        <w:rPr>
          <w:rFonts w:eastAsiaTheme="minorHAnsi"/>
          <w:sz w:val="24"/>
          <w:lang w:eastAsia="en-US"/>
        </w:rPr>
        <w:t xml:space="preserve"> sendo F1 </w:t>
      </w:r>
      <w:r w:rsidR="005C7534" w:rsidRPr="007178DF">
        <w:rPr>
          <w:rFonts w:eastAsiaTheme="minorHAnsi"/>
          <w:sz w:val="24"/>
          <w:lang w:eastAsia="en-US"/>
        </w:rPr>
        <w:t>0</w:t>
      </w:r>
      <w:r w:rsidR="006B7638">
        <w:rPr>
          <w:rFonts w:eastAsiaTheme="minorHAnsi"/>
          <w:sz w:val="24"/>
          <w:lang w:eastAsia="en-US"/>
        </w:rPr>
        <w:t xml:space="preserve"> </w:t>
      </w:r>
      <w:r w:rsidR="005C7534" w:rsidRPr="007178DF">
        <w:rPr>
          <w:rFonts w:eastAsiaTheme="minorHAnsi"/>
          <w:sz w:val="24"/>
          <w:lang w:eastAsia="en-US"/>
        </w:rPr>
        <w:t xml:space="preserve">%, </w:t>
      </w:r>
      <w:r w:rsidR="005C7534">
        <w:rPr>
          <w:rFonts w:eastAsiaTheme="minorHAnsi"/>
          <w:sz w:val="24"/>
          <w:lang w:eastAsia="en-US"/>
        </w:rPr>
        <w:t>F2 9</w:t>
      </w:r>
      <w:r w:rsidR="005C7534" w:rsidRPr="00E74717">
        <w:rPr>
          <w:rFonts w:eastAsiaTheme="minorHAnsi"/>
          <w:sz w:val="24"/>
          <w:lang w:eastAsia="en-US"/>
        </w:rPr>
        <w:t>0</w:t>
      </w:r>
      <w:r w:rsidR="006B7638">
        <w:rPr>
          <w:rFonts w:eastAsiaTheme="minorHAnsi"/>
          <w:sz w:val="24"/>
          <w:lang w:eastAsia="en-US"/>
        </w:rPr>
        <w:t xml:space="preserve"> </w:t>
      </w:r>
      <w:r w:rsidR="005C7534" w:rsidRPr="00E74717">
        <w:rPr>
          <w:rFonts w:eastAsiaTheme="minorHAnsi"/>
          <w:sz w:val="24"/>
          <w:lang w:eastAsia="en-US"/>
        </w:rPr>
        <w:t>%</w:t>
      </w:r>
      <w:r w:rsidR="005C7534">
        <w:rPr>
          <w:rFonts w:eastAsiaTheme="minorHAnsi"/>
          <w:sz w:val="24"/>
          <w:lang w:eastAsia="en-US"/>
        </w:rPr>
        <w:t xml:space="preserve"> e F3 100</w:t>
      </w:r>
      <w:r w:rsidR="006B7638">
        <w:rPr>
          <w:rFonts w:eastAsiaTheme="minorHAnsi"/>
          <w:sz w:val="24"/>
          <w:lang w:eastAsia="en-US"/>
        </w:rPr>
        <w:t xml:space="preserve"> </w:t>
      </w:r>
      <w:r w:rsidR="005C7534">
        <w:rPr>
          <w:rFonts w:eastAsiaTheme="minorHAnsi"/>
          <w:sz w:val="24"/>
          <w:lang w:eastAsia="en-US"/>
        </w:rPr>
        <w:t xml:space="preserve">% </w:t>
      </w:r>
      <w:r w:rsidR="005C7534" w:rsidRPr="005C7534">
        <w:rPr>
          <w:rFonts w:eastAsiaTheme="minorHAnsi"/>
          <w:sz w:val="24"/>
          <w:lang w:eastAsia="en-US"/>
        </w:rPr>
        <w:t xml:space="preserve">e avaliar a influência deste na composição </w:t>
      </w:r>
      <w:r w:rsidR="005C7534">
        <w:rPr>
          <w:rFonts w:eastAsiaTheme="minorHAnsi"/>
          <w:sz w:val="24"/>
          <w:lang w:eastAsia="en-US"/>
        </w:rPr>
        <w:t>físico-</w:t>
      </w:r>
      <w:r w:rsidR="005C7534" w:rsidRPr="005C7534">
        <w:rPr>
          <w:rFonts w:eastAsiaTheme="minorHAnsi"/>
          <w:sz w:val="24"/>
          <w:lang w:eastAsia="en-US"/>
        </w:rPr>
        <w:t>química</w:t>
      </w:r>
      <w:r w:rsidR="00275F89">
        <w:rPr>
          <w:rFonts w:eastAsiaTheme="minorHAnsi"/>
          <w:sz w:val="24"/>
          <w:lang w:eastAsia="en-US"/>
        </w:rPr>
        <w:t>,</w:t>
      </w:r>
      <w:r w:rsidR="006B7638">
        <w:rPr>
          <w:rFonts w:eastAsiaTheme="minorHAnsi"/>
          <w:sz w:val="24"/>
          <w:lang w:eastAsia="en-US"/>
        </w:rPr>
        <w:t xml:space="preserve"> </w:t>
      </w:r>
      <w:r w:rsidR="001D0877">
        <w:rPr>
          <w:rFonts w:eastAsiaTheme="minorHAnsi"/>
          <w:sz w:val="24"/>
          <w:lang w:eastAsia="en-US"/>
        </w:rPr>
        <w:t>bem com</w:t>
      </w:r>
      <w:r w:rsidR="00275F89">
        <w:rPr>
          <w:rFonts w:eastAsiaTheme="minorHAnsi"/>
          <w:sz w:val="24"/>
          <w:lang w:eastAsia="en-US"/>
        </w:rPr>
        <w:t>o</w:t>
      </w:r>
      <w:r w:rsidR="001D0877">
        <w:rPr>
          <w:rFonts w:eastAsiaTheme="minorHAnsi"/>
          <w:sz w:val="24"/>
          <w:lang w:eastAsia="en-US"/>
        </w:rPr>
        <w:t xml:space="preserve"> a </w:t>
      </w:r>
      <w:r w:rsidR="00275F89">
        <w:rPr>
          <w:rFonts w:eastAsiaTheme="minorHAnsi"/>
          <w:sz w:val="24"/>
          <w:lang w:eastAsia="en-US"/>
        </w:rPr>
        <w:t xml:space="preserve">sua </w:t>
      </w:r>
      <w:r w:rsidR="001D0877">
        <w:rPr>
          <w:rFonts w:eastAsiaTheme="minorHAnsi"/>
          <w:sz w:val="24"/>
          <w:lang w:eastAsia="en-US"/>
        </w:rPr>
        <w:t xml:space="preserve">aceitação </w:t>
      </w:r>
      <w:r w:rsidR="00275F89">
        <w:rPr>
          <w:rFonts w:eastAsiaTheme="minorHAnsi"/>
          <w:sz w:val="24"/>
          <w:lang w:eastAsia="en-US"/>
        </w:rPr>
        <w:t>sensorial</w:t>
      </w:r>
      <w:r w:rsidR="00A50262">
        <w:rPr>
          <w:rFonts w:eastAsiaTheme="minorHAnsi"/>
          <w:sz w:val="24"/>
          <w:lang w:eastAsia="en-US"/>
        </w:rPr>
        <w:t>.</w:t>
      </w:r>
      <w:r w:rsidR="006B7638">
        <w:rPr>
          <w:rFonts w:eastAsiaTheme="minorHAnsi"/>
          <w:sz w:val="24"/>
          <w:lang w:eastAsia="en-US"/>
        </w:rPr>
        <w:t xml:space="preserve"> </w:t>
      </w:r>
      <w:r w:rsidR="00605E43">
        <w:rPr>
          <w:rFonts w:eastAsiaTheme="minorHAnsi"/>
          <w:sz w:val="24"/>
          <w:lang w:eastAsia="en-US"/>
        </w:rPr>
        <w:t xml:space="preserve">Para a avaliação </w:t>
      </w:r>
      <w:r w:rsidR="00E74717">
        <w:rPr>
          <w:rFonts w:eastAsiaTheme="minorHAnsi"/>
          <w:sz w:val="24"/>
          <w:lang w:eastAsia="en-US"/>
        </w:rPr>
        <w:t xml:space="preserve">físico-química </w:t>
      </w:r>
      <w:r w:rsidR="00605E43">
        <w:rPr>
          <w:rFonts w:eastAsiaTheme="minorHAnsi"/>
          <w:sz w:val="24"/>
          <w:lang w:eastAsia="en-US"/>
        </w:rPr>
        <w:t>d</w:t>
      </w:r>
      <w:r w:rsidR="00F02671">
        <w:rPr>
          <w:rFonts w:eastAsiaTheme="minorHAnsi"/>
          <w:sz w:val="24"/>
          <w:lang w:eastAsia="en-US"/>
        </w:rPr>
        <w:t>as amostras</w:t>
      </w:r>
      <w:r w:rsidR="00A50262">
        <w:rPr>
          <w:rFonts w:eastAsiaTheme="minorHAnsi"/>
          <w:sz w:val="24"/>
          <w:lang w:eastAsia="en-US"/>
        </w:rPr>
        <w:t>,</w:t>
      </w:r>
      <w:r w:rsidR="00605E43">
        <w:rPr>
          <w:rFonts w:eastAsiaTheme="minorHAnsi"/>
          <w:sz w:val="24"/>
          <w:lang w:eastAsia="en-US"/>
        </w:rPr>
        <w:t xml:space="preserve"> foram </w:t>
      </w:r>
      <w:r w:rsidRPr="007178DF">
        <w:rPr>
          <w:rFonts w:eastAsiaTheme="minorHAnsi"/>
          <w:sz w:val="24"/>
          <w:lang w:eastAsia="en-US"/>
        </w:rPr>
        <w:t>realizadas determinações de pH, acidez</w:t>
      </w:r>
      <w:r w:rsidR="004E0267">
        <w:rPr>
          <w:rFonts w:eastAsiaTheme="minorHAnsi"/>
          <w:sz w:val="24"/>
          <w:lang w:eastAsia="en-US"/>
        </w:rPr>
        <w:t xml:space="preserve"> e</w:t>
      </w:r>
      <w:r w:rsidRPr="007178DF">
        <w:rPr>
          <w:rFonts w:eastAsiaTheme="minorHAnsi"/>
          <w:sz w:val="24"/>
          <w:lang w:eastAsia="en-US"/>
        </w:rPr>
        <w:t>umidade</w:t>
      </w:r>
      <w:r w:rsidRPr="00BE733E">
        <w:rPr>
          <w:rFonts w:eastAsiaTheme="minorHAnsi"/>
          <w:sz w:val="24"/>
          <w:lang w:eastAsia="en-US"/>
        </w:rPr>
        <w:t>.</w:t>
      </w:r>
      <w:r w:rsidRPr="007178DF">
        <w:rPr>
          <w:rFonts w:eastAsiaTheme="minorHAnsi"/>
          <w:sz w:val="24"/>
          <w:lang w:eastAsia="en-US"/>
        </w:rPr>
        <w:t>As amostras também foram avaliadas sensorialmente</w:t>
      </w:r>
      <w:r w:rsidR="00FA14A5">
        <w:rPr>
          <w:rFonts w:eastAsiaTheme="minorHAnsi"/>
          <w:sz w:val="24"/>
          <w:lang w:eastAsia="en-US"/>
        </w:rPr>
        <w:t xml:space="preserve"> </w:t>
      </w:r>
      <w:r w:rsidR="000315AA">
        <w:rPr>
          <w:rFonts w:eastAsiaTheme="minorHAnsi"/>
          <w:sz w:val="24"/>
          <w:lang w:eastAsia="en-US"/>
        </w:rPr>
        <w:t>atravé</w:t>
      </w:r>
      <w:r w:rsidR="00FA14A5">
        <w:rPr>
          <w:rFonts w:eastAsiaTheme="minorHAnsi"/>
          <w:sz w:val="24"/>
          <w:lang w:eastAsia="en-US"/>
        </w:rPr>
        <w:t>s</w:t>
      </w:r>
      <w:r w:rsidR="000315AA">
        <w:rPr>
          <w:rFonts w:eastAsiaTheme="minorHAnsi"/>
          <w:sz w:val="24"/>
          <w:lang w:eastAsia="en-US"/>
        </w:rPr>
        <w:t xml:space="preserve"> do teste de aceitação,</w:t>
      </w:r>
      <w:r w:rsidRPr="007178DF">
        <w:rPr>
          <w:rFonts w:eastAsiaTheme="minorHAnsi"/>
          <w:sz w:val="24"/>
          <w:lang w:eastAsia="en-US"/>
        </w:rPr>
        <w:t xml:space="preserve"> por 60 julgadores não treinados de ambos os sexos, avalia</w:t>
      </w:r>
      <w:r w:rsidR="000315AA">
        <w:rPr>
          <w:rFonts w:eastAsiaTheme="minorHAnsi"/>
          <w:sz w:val="24"/>
          <w:lang w:eastAsia="en-US"/>
        </w:rPr>
        <w:t>ndo</w:t>
      </w:r>
      <w:r w:rsidRPr="007178DF">
        <w:rPr>
          <w:rFonts w:eastAsiaTheme="minorHAnsi"/>
          <w:sz w:val="24"/>
          <w:lang w:eastAsia="en-US"/>
        </w:rPr>
        <w:t xml:space="preserve"> os atributos</w:t>
      </w:r>
      <w:r w:rsidR="000315AA">
        <w:rPr>
          <w:rFonts w:eastAsiaTheme="minorHAnsi"/>
          <w:sz w:val="24"/>
          <w:lang w:eastAsia="en-US"/>
        </w:rPr>
        <w:t xml:space="preserve"> de</w:t>
      </w:r>
      <w:r w:rsidRPr="007178DF">
        <w:rPr>
          <w:rFonts w:eastAsiaTheme="minorHAnsi"/>
          <w:sz w:val="24"/>
          <w:lang w:eastAsia="en-US"/>
        </w:rPr>
        <w:t xml:space="preserve"> aparência, aroma, sabor e textura, através de escala hedônica</w:t>
      </w:r>
      <w:r w:rsidR="00FA14A5">
        <w:rPr>
          <w:rFonts w:eastAsiaTheme="minorHAnsi"/>
          <w:sz w:val="24"/>
          <w:lang w:eastAsia="en-US"/>
        </w:rPr>
        <w:t xml:space="preserve"> </w:t>
      </w:r>
      <w:r w:rsidR="00E74717">
        <w:rPr>
          <w:rFonts w:eastAsiaTheme="minorHAnsi"/>
          <w:sz w:val="24"/>
          <w:lang w:eastAsia="en-US"/>
        </w:rPr>
        <w:t>estruturada</w:t>
      </w:r>
      <w:r w:rsidR="00A50262">
        <w:rPr>
          <w:rFonts w:eastAsiaTheme="minorHAnsi"/>
          <w:sz w:val="24"/>
          <w:lang w:eastAsia="en-US"/>
        </w:rPr>
        <w:t>.</w:t>
      </w:r>
      <w:r w:rsidR="0082742C">
        <w:rPr>
          <w:rFonts w:eastAsiaTheme="minorHAnsi"/>
          <w:sz w:val="24"/>
          <w:lang w:eastAsia="en-US"/>
        </w:rPr>
        <w:t>Os teores médios de umidades das formulações apresentaram mé</w:t>
      </w:r>
      <w:r w:rsidR="002E458C">
        <w:rPr>
          <w:rFonts w:eastAsiaTheme="minorHAnsi"/>
          <w:sz w:val="24"/>
          <w:lang w:eastAsia="en-US"/>
        </w:rPr>
        <w:t>dias de</w:t>
      </w:r>
      <w:r w:rsidR="002E458C">
        <w:rPr>
          <w:sz w:val="24"/>
          <w:szCs w:val="24"/>
        </w:rPr>
        <w:t xml:space="preserve"> 21,03</w:t>
      </w:r>
      <w:r w:rsidR="00FA14A5">
        <w:rPr>
          <w:sz w:val="24"/>
          <w:szCs w:val="24"/>
        </w:rPr>
        <w:t xml:space="preserve"> </w:t>
      </w:r>
      <w:r w:rsidR="000315AA">
        <w:rPr>
          <w:sz w:val="24"/>
          <w:szCs w:val="24"/>
        </w:rPr>
        <w:t>%</w:t>
      </w:r>
      <w:r w:rsidR="002E458C">
        <w:rPr>
          <w:sz w:val="24"/>
          <w:szCs w:val="24"/>
        </w:rPr>
        <w:t xml:space="preserve"> para amostra </w:t>
      </w:r>
      <w:r w:rsidR="000315AA">
        <w:rPr>
          <w:sz w:val="24"/>
          <w:szCs w:val="24"/>
        </w:rPr>
        <w:t>F1</w:t>
      </w:r>
      <w:r w:rsidR="00FA14A5">
        <w:rPr>
          <w:sz w:val="24"/>
          <w:szCs w:val="24"/>
        </w:rPr>
        <w:t xml:space="preserve"> e para as demais </w:t>
      </w:r>
      <w:r w:rsidR="002E458C">
        <w:rPr>
          <w:sz w:val="24"/>
          <w:szCs w:val="24"/>
        </w:rPr>
        <w:t>24,08</w:t>
      </w:r>
      <w:r w:rsidR="00FA14A5">
        <w:rPr>
          <w:sz w:val="24"/>
          <w:szCs w:val="24"/>
        </w:rPr>
        <w:t xml:space="preserve"> </w:t>
      </w:r>
      <w:r w:rsidR="000315AA">
        <w:rPr>
          <w:sz w:val="24"/>
          <w:szCs w:val="24"/>
        </w:rPr>
        <w:t>%</w:t>
      </w:r>
      <w:r w:rsidR="00FA14A5">
        <w:rPr>
          <w:sz w:val="24"/>
          <w:szCs w:val="24"/>
        </w:rPr>
        <w:t xml:space="preserve"> e </w:t>
      </w:r>
      <w:r w:rsidR="002E458C">
        <w:rPr>
          <w:sz w:val="24"/>
          <w:szCs w:val="24"/>
        </w:rPr>
        <w:t>27,30</w:t>
      </w:r>
      <w:r w:rsidR="00FA14A5">
        <w:rPr>
          <w:sz w:val="24"/>
          <w:szCs w:val="24"/>
        </w:rPr>
        <w:t xml:space="preserve"> </w:t>
      </w:r>
      <w:r w:rsidR="000315AA">
        <w:rPr>
          <w:sz w:val="24"/>
          <w:szCs w:val="24"/>
        </w:rPr>
        <w:t>%</w:t>
      </w:r>
      <w:r w:rsidR="002E458C">
        <w:rPr>
          <w:sz w:val="24"/>
          <w:szCs w:val="24"/>
        </w:rPr>
        <w:t>.</w:t>
      </w:r>
      <w:r w:rsidR="00FA14A5">
        <w:rPr>
          <w:sz w:val="24"/>
          <w:szCs w:val="24"/>
        </w:rPr>
        <w:t xml:space="preserve"> </w:t>
      </w:r>
      <w:r w:rsidR="00883BEE">
        <w:rPr>
          <w:sz w:val="24"/>
          <w:szCs w:val="24"/>
        </w:rPr>
        <w:t>A</w:t>
      </w:r>
      <w:r w:rsidR="00FA14A5">
        <w:rPr>
          <w:sz w:val="24"/>
          <w:szCs w:val="24"/>
        </w:rPr>
        <w:t xml:space="preserve"> </w:t>
      </w:r>
      <w:r w:rsidR="00883BEE">
        <w:rPr>
          <w:sz w:val="24"/>
          <w:szCs w:val="24"/>
        </w:rPr>
        <w:t>análise</w:t>
      </w:r>
      <w:r w:rsidR="00163754">
        <w:rPr>
          <w:sz w:val="24"/>
          <w:szCs w:val="24"/>
        </w:rPr>
        <w:t xml:space="preserve"> de acidez total titulável</w:t>
      </w:r>
      <w:r w:rsidR="00FA14A5">
        <w:rPr>
          <w:sz w:val="24"/>
          <w:szCs w:val="24"/>
        </w:rPr>
        <w:t xml:space="preserve"> </w:t>
      </w:r>
      <w:r w:rsidR="00F02671">
        <w:rPr>
          <w:sz w:val="24"/>
          <w:szCs w:val="24"/>
        </w:rPr>
        <w:t>proporcionou</w:t>
      </w:r>
      <w:r w:rsidR="00883BEE">
        <w:rPr>
          <w:sz w:val="24"/>
          <w:szCs w:val="24"/>
        </w:rPr>
        <w:t xml:space="preserve"> média de 1,51, 2,30 e 2,63</w:t>
      </w:r>
      <w:r w:rsidR="006B7638">
        <w:rPr>
          <w:sz w:val="24"/>
          <w:szCs w:val="24"/>
        </w:rPr>
        <w:t xml:space="preserve"> </w:t>
      </w:r>
      <w:r w:rsidR="000315AA">
        <w:rPr>
          <w:sz w:val="24"/>
          <w:szCs w:val="24"/>
        </w:rPr>
        <w:t>%, respectivamente para F1, F2 e F3.</w:t>
      </w:r>
      <w:r w:rsidR="00883BEE">
        <w:rPr>
          <w:sz w:val="24"/>
          <w:szCs w:val="24"/>
        </w:rPr>
        <w:t xml:space="preserve"> O</w:t>
      </w:r>
      <w:r w:rsidR="000315AA">
        <w:rPr>
          <w:sz w:val="24"/>
          <w:szCs w:val="24"/>
        </w:rPr>
        <w:t>s valores de</w:t>
      </w:r>
      <w:r w:rsidR="00883BEE">
        <w:rPr>
          <w:sz w:val="24"/>
          <w:szCs w:val="24"/>
        </w:rPr>
        <w:t xml:space="preserve"> pH das amostras não apresentaram diferença significativa</w:t>
      </w:r>
      <w:r w:rsidR="000315AA">
        <w:rPr>
          <w:sz w:val="24"/>
          <w:szCs w:val="24"/>
        </w:rPr>
        <w:t>,</w:t>
      </w:r>
      <w:r w:rsidR="00883BEE">
        <w:rPr>
          <w:sz w:val="24"/>
          <w:szCs w:val="24"/>
        </w:rPr>
        <w:t xml:space="preserve"> resultando </w:t>
      </w:r>
      <w:r w:rsidR="000315AA">
        <w:rPr>
          <w:sz w:val="24"/>
          <w:szCs w:val="24"/>
        </w:rPr>
        <w:t xml:space="preserve">em </w:t>
      </w:r>
      <w:r w:rsidR="00883BEE">
        <w:rPr>
          <w:sz w:val="24"/>
          <w:szCs w:val="24"/>
        </w:rPr>
        <w:t>pH 7 para todas as amostras.</w:t>
      </w:r>
      <w:r w:rsidR="00F02671">
        <w:rPr>
          <w:sz w:val="24"/>
          <w:szCs w:val="24"/>
        </w:rPr>
        <w:t xml:space="preserve"> O resultado da análise sensorial foi satisfatório, por apresentar boa </w:t>
      </w:r>
      <w:r w:rsidR="000315AA">
        <w:rPr>
          <w:sz w:val="24"/>
          <w:szCs w:val="24"/>
        </w:rPr>
        <w:t xml:space="preserve">aceitação e </w:t>
      </w:r>
      <w:r w:rsidR="00F02671">
        <w:rPr>
          <w:sz w:val="24"/>
          <w:szCs w:val="24"/>
        </w:rPr>
        <w:t xml:space="preserve">intenção de compra </w:t>
      </w:r>
      <w:r w:rsidR="000315AA">
        <w:rPr>
          <w:sz w:val="24"/>
          <w:szCs w:val="24"/>
        </w:rPr>
        <w:t>entre os julgadores, superando o índice de 70% em todas as amostras</w:t>
      </w:r>
      <w:r w:rsidR="000469D2">
        <w:rPr>
          <w:sz w:val="24"/>
          <w:szCs w:val="24"/>
        </w:rPr>
        <w:t>.</w:t>
      </w:r>
      <w:r w:rsidR="00FA14A5">
        <w:rPr>
          <w:sz w:val="24"/>
          <w:szCs w:val="24"/>
        </w:rPr>
        <w:t xml:space="preserve"> </w:t>
      </w:r>
      <w:r w:rsidR="009021D5">
        <w:rPr>
          <w:sz w:val="24"/>
          <w:szCs w:val="28"/>
        </w:rPr>
        <w:t xml:space="preserve">Desta forma, conclui-se que a elaboração de bolo com substituição parcial ou total da água pelo soro de leite é viável, </w:t>
      </w:r>
      <w:r w:rsidR="006B7638">
        <w:rPr>
          <w:sz w:val="24"/>
          <w:szCs w:val="28"/>
        </w:rPr>
        <w:t>podendo ser uma nova alternativa de produto no mercado local, tornando-se</w:t>
      </w:r>
      <w:r w:rsidR="006B7638">
        <w:rPr>
          <w:sz w:val="24"/>
          <w:szCs w:val="28"/>
        </w:rPr>
        <w:t xml:space="preserve"> </w:t>
      </w:r>
      <w:r w:rsidR="006B7638">
        <w:rPr>
          <w:sz w:val="24"/>
          <w:szCs w:val="28"/>
        </w:rPr>
        <w:t>assim uma alt</w:t>
      </w:r>
      <w:r w:rsidR="006B7638">
        <w:rPr>
          <w:sz w:val="24"/>
          <w:szCs w:val="28"/>
        </w:rPr>
        <w:t>ernativa saudável ao consumidor</w:t>
      </w:r>
      <w:r w:rsidR="006B7638">
        <w:rPr>
          <w:sz w:val="24"/>
          <w:szCs w:val="28"/>
        </w:rPr>
        <w:t>.</w:t>
      </w:r>
    </w:p>
    <w:p w:rsidR="00B77A27" w:rsidRPr="007178DF" w:rsidRDefault="00B77A27" w:rsidP="00F02671">
      <w:pPr>
        <w:autoSpaceDE w:val="0"/>
        <w:autoSpaceDN w:val="0"/>
        <w:adjustRightInd w:val="0"/>
        <w:spacing w:after="240"/>
        <w:jc w:val="both"/>
        <w:rPr>
          <w:bCs/>
          <w:sz w:val="24"/>
          <w:szCs w:val="24"/>
        </w:rPr>
      </w:pPr>
    </w:p>
    <w:p w:rsidR="00CF50FB" w:rsidRPr="005F7C4E" w:rsidRDefault="00E624D1" w:rsidP="00E624D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  <w:r w:rsidRPr="005F7C4E">
        <w:rPr>
          <w:rFonts w:eastAsia="Calibri"/>
          <w:b/>
          <w:bCs/>
          <w:color w:val="000000"/>
          <w:sz w:val="24"/>
          <w:szCs w:val="24"/>
        </w:rPr>
        <w:t xml:space="preserve">Palavras-chave: </w:t>
      </w:r>
      <w:r w:rsidR="00C30C59" w:rsidRPr="005F7C4E">
        <w:rPr>
          <w:rFonts w:eastAsia="Calibri"/>
          <w:color w:val="000000"/>
          <w:sz w:val="24"/>
          <w:szCs w:val="24"/>
        </w:rPr>
        <w:t>Soro</w:t>
      </w:r>
      <w:r w:rsidR="00C87267">
        <w:rPr>
          <w:rFonts w:eastAsia="Calibri"/>
          <w:color w:val="000000"/>
          <w:sz w:val="24"/>
          <w:szCs w:val="24"/>
        </w:rPr>
        <w:t xml:space="preserve"> bubalino</w:t>
      </w:r>
      <w:r w:rsidR="00C30C59" w:rsidRPr="005F7C4E">
        <w:rPr>
          <w:rFonts w:eastAsia="Calibri"/>
          <w:color w:val="000000"/>
          <w:sz w:val="24"/>
          <w:szCs w:val="24"/>
        </w:rPr>
        <w:t>. Bolo. Sensorial</w:t>
      </w:r>
    </w:p>
    <w:p w:rsidR="005F7C4E" w:rsidRPr="005F7C4E" w:rsidRDefault="005F7C4E" w:rsidP="00E624D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:rsidR="006B7638" w:rsidRDefault="00E624D1" w:rsidP="00C87267">
      <w:pPr>
        <w:jc w:val="both"/>
        <w:rPr>
          <w:rFonts w:eastAsia="Calibri"/>
          <w:color w:val="000000"/>
          <w:sz w:val="24"/>
          <w:szCs w:val="24"/>
        </w:rPr>
      </w:pPr>
      <w:r w:rsidRPr="005F7C4E">
        <w:rPr>
          <w:rFonts w:eastAsia="Calibri"/>
          <w:b/>
          <w:bCs/>
          <w:color w:val="000000"/>
          <w:sz w:val="24"/>
          <w:szCs w:val="24"/>
        </w:rPr>
        <w:t>Área de Interesse do Simpósio</w:t>
      </w:r>
      <w:r w:rsidRPr="005F7C4E">
        <w:rPr>
          <w:rFonts w:eastAsia="Calibri"/>
          <w:color w:val="000000"/>
          <w:sz w:val="24"/>
          <w:szCs w:val="24"/>
        </w:rPr>
        <w:t xml:space="preserve">: </w:t>
      </w:r>
    </w:p>
    <w:p w:rsidR="006B7638" w:rsidRDefault="006B7638" w:rsidP="00C87267">
      <w:pPr>
        <w:jc w:val="both"/>
        <w:rPr>
          <w:rFonts w:eastAsia="Calibri"/>
          <w:color w:val="000000"/>
          <w:sz w:val="24"/>
          <w:szCs w:val="24"/>
        </w:rPr>
      </w:pPr>
    </w:p>
    <w:p w:rsidR="0012462E" w:rsidRPr="005F7C4E" w:rsidRDefault="00E624D1" w:rsidP="00C87267">
      <w:pPr>
        <w:jc w:val="both"/>
        <w:rPr>
          <w:sz w:val="24"/>
          <w:szCs w:val="24"/>
        </w:rPr>
      </w:pPr>
      <w:r w:rsidRPr="005F7C4E">
        <w:rPr>
          <w:rFonts w:eastAsia="Calibri"/>
          <w:color w:val="000000"/>
          <w:sz w:val="24"/>
          <w:szCs w:val="24"/>
        </w:rPr>
        <w:t>Ciência e Tecnologia de Alimentos</w:t>
      </w:r>
    </w:p>
    <w:p w:rsidR="00CB02E1" w:rsidRDefault="00CB02E1" w:rsidP="005F7C4E">
      <w:pPr>
        <w:spacing w:before="240"/>
        <w:jc w:val="center"/>
        <w:rPr>
          <w:sz w:val="24"/>
          <w:szCs w:val="28"/>
        </w:rPr>
      </w:pPr>
    </w:p>
    <w:p w:rsidR="00F90BC1" w:rsidRPr="003E0543" w:rsidRDefault="00732E16" w:rsidP="00732E16">
      <w:pPr>
        <w:tabs>
          <w:tab w:val="left" w:pos="1290"/>
        </w:tabs>
        <w:spacing w:after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12462E" w:rsidRPr="00732E16">
        <w:rPr>
          <w:b/>
          <w:sz w:val="24"/>
          <w:szCs w:val="24"/>
        </w:rPr>
        <w:t>IN</w:t>
      </w:r>
      <w:r w:rsidR="0012462E" w:rsidRPr="003E0543">
        <w:rPr>
          <w:b/>
          <w:sz w:val="24"/>
          <w:szCs w:val="24"/>
        </w:rPr>
        <w:t xml:space="preserve">TRODUÇÃO </w:t>
      </w:r>
      <w:bookmarkStart w:id="0" w:name="_Hlk496721489"/>
    </w:p>
    <w:p w:rsidR="00AD6DFD" w:rsidRDefault="003E054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1C1109">
        <w:rPr>
          <w:sz w:val="24"/>
          <w:szCs w:val="24"/>
        </w:rPr>
        <w:t xml:space="preserve">O leite bubalino proporciona características </w:t>
      </w:r>
      <w:r w:rsidR="00DC31FC">
        <w:rPr>
          <w:sz w:val="24"/>
          <w:szCs w:val="24"/>
        </w:rPr>
        <w:t xml:space="preserve">nutritivas </w:t>
      </w:r>
      <w:r w:rsidRPr="001C1109">
        <w:rPr>
          <w:sz w:val="24"/>
          <w:szCs w:val="24"/>
        </w:rPr>
        <w:t xml:space="preserve">que se diferem dos demais leites por apresentar </w:t>
      </w:r>
      <w:r w:rsidRPr="001C1109">
        <w:rPr>
          <w:sz w:val="24"/>
        </w:rPr>
        <w:t>um elevado teor de gordura, proteínas, lipídeos, micronutrientes e o sabor adocicado</w:t>
      </w:r>
      <w:r w:rsidR="00D95AB7">
        <w:rPr>
          <w:sz w:val="24"/>
          <w:szCs w:val="24"/>
        </w:rPr>
        <w:t xml:space="preserve">. E mesmo com suas qualidades </w:t>
      </w:r>
      <w:r>
        <w:rPr>
          <w:sz w:val="24"/>
          <w:szCs w:val="24"/>
        </w:rPr>
        <w:t>não é comum</w:t>
      </w:r>
      <w:r w:rsidR="00555B5E">
        <w:rPr>
          <w:sz w:val="24"/>
          <w:szCs w:val="24"/>
        </w:rPr>
        <w:t xml:space="preserve"> encontrar </w:t>
      </w:r>
      <w:r w:rsidR="00D95AB7">
        <w:rPr>
          <w:sz w:val="24"/>
          <w:szCs w:val="24"/>
        </w:rPr>
        <w:t>seus produtos nas prateleiras</w:t>
      </w:r>
      <w:r>
        <w:rPr>
          <w:sz w:val="24"/>
          <w:szCs w:val="24"/>
        </w:rPr>
        <w:t>.</w:t>
      </w:r>
      <w:r w:rsidR="006B76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Porém, </w:t>
      </w:r>
      <w:r w:rsidR="00D95AB7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demanda </w:t>
      </w:r>
      <w:r w:rsidR="00AD6DFD" w:rsidRPr="003E0543">
        <w:rPr>
          <w:sz w:val="24"/>
          <w:szCs w:val="24"/>
        </w:rPr>
        <w:t>de seus derivados</w:t>
      </w:r>
      <w:r w:rsidR="00D95AB7">
        <w:rPr>
          <w:sz w:val="24"/>
          <w:szCs w:val="24"/>
        </w:rPr>
        <w:t xml:space="preserve"> tem crescido</w:t>
      </w:r>
      <w:r w:rsidR="00AD6DFD" w:rsidRPr="003E0543">
        <w:rPr>
          <w:sz w:val="24"/>
          <w:szCs w:val="24"/>
        </w:rPr>
        <w:t>,</w:t>
      </w:r>
      <w:r w:rsidR="00D95AB7">
        <w:rPr>
          <w:sz w:val="24"/>
          <w:szCs w:val="24"/>
        </w:rPr>
        <w:t xml:space="preserve"> e</w:t>
      </w:r>
      <w:r w:rsidR="00AD6DFD" w:rsidRPr="003E0543">
        <w:rPr>
          <w:sz w:val="24"/>
          <w:szCs w:val="24"/>
        </w:rPr>
        <w:t xml:space="preserve"> u</w:t>
      </w:r>
      <w:r w:rsidR="006C5D36">
        <w:rPr>
          <w:sz w:val="24"/>
          <w:szCs w:val="24"/>
        </w:rPr>
        <w:t>m deles é</w:t>
      </w:r>
      <w:r w:rsidR="00C87267">
        <w:rPr>
          <w:sz w:val="24"/>
          <w:szCs w:val="24"/>
        </w:rPr>
        <w:t xml:space="preserve"> o</w:t>
      </w:r>
      <w:r w:rsidR="006B7638">
        <w:rPr>
          <w:sz w:val="24"/>
          <w:szCs w:val="24"/>
        </w:rPr>
        <w:t xml:space="preserve"> </w:t>
      </w:r>
      <w:r w:rsidR="006C5D36">
        <w:rPr>
          <w:sz w:val="24"/>
          <w:szCs w:val="24"/>
        </w:rPr>
        <w:t>Queijo do Marajó</w:t>
      </w:r>
      <w:r w:rsidR="00AD6DFD" w:rsidRPr="003E0543">
        <w:rPr>
          <w:sz w:val="24"/>
          <w:szCs w:val="24"/>
        </w:rPr>
        <w:t xml:space="preserve">, </w:t>
      </w:r>
      <w:r w:rsidR="00532930">
        <w:rPr>
          <w:sz w:val="24"/>
          <w:szCs w:val="24"/>
        </w:rPr>
        <w:t>elaborado a partir da coagulação do leite</w:t>
      </w:r>
      <w:r>
        <w:rPr>
          <w:sz w:val="24"/>
          <w:szCs w:val="24"/>
        </w:rPr>
        <w:t xml:space="preserve"> (FERREIRA, 2014).</w:t>
      </w:r>
      <w:r w:rsidR="008553C1" w:rsidRPr="003E0543">
        <w:rPr>
          <w:sz w:val="24"/>
          <w:szCs w:val="24"/>
        </w:rPr>
        <w:tab/>
      </w:r>
    </w:p>
    <w:p w:rsidR="00DC31FC" w:rsidRPr="004A75F7" w:rsidRDefault="009841A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A75F7">
        <w:rPr>
          <w:sz w:val="24"/>
          <w:szCs w:val="24"/>
        </w:rPr>
        <w:t xml:space="preserve">Segundo a portaria </w:t>
      </w:r>
      <w:r w:rsidR="005A1E4D" w:rsidRPr="004A75F7">
        <w:rPr>
          <w:sz w:val="24"/>
          <w:szCs w:val="24"/>
        </w:rPr>
        <w:t>ADEPARA nº 418 de 26/02/2018 entende-se por “</w:t>
      </w:r>
      <w:r w:rsidR="005A1E4D" w:rsidRPr="00BE733E">
        <w:rPr>
          <w:sz w:val="24"/>
          <w:szCs w:val="24"/>
          <w:shd w:val="clear" w:color="auto" w:fill="FFFFFF"/>
        </w:rPr>
        <w:t>Queijo do Marajó o produto elaborado artesanalmente na área geográfica do arquipélago do</w:t>
      </w:r>
      <w:r w:rsidR="006B7638">
        <w:rPr>
          <w:sz w:val="24"/>
          <w:szCs w:val="24"/>
          <w:shd w:val="clear" w:color="auto" w:fill="FFFFFF"/>
        </w:rPr>
        <w:t xml:space="preserve"> </w:t>
      </w:r>
      <w:r w:rsidR="005A1E4D" w:rsidRPr="00BE733E">
        <w:rPr>
          <w:sz w:val="24"/>
          <w:szCs w:val="24"/>
          <w:shd w:val="clear" w:color="auto" w:fill="FFFFFF"/>
        </w:rPr>
        <w:t>Marajó, conforme a tradição histórica e cultural da região onde for produzido, obtido pela fusão da massa coalhada, dessorada de leite de búfala e/ou leite de búfala misturado com leite bovino na proporção máxima de 40%, lavada com água ou leite de búfala ou bovino, obtido por coagulação espontânea e adicionado de creme de leite ou manteiga</w:t>
      </w:r>
      <w:r w:rsidR="005A1E4D" w:rsidRPr="004A75F7">
        <w:rPr>
          <w:sz w:val="24"/>
          <w:szCs w:val="24"/>
        </w:rPr>
        <w:t>”</w:t>
      </w:r>
      <w:r w:rsidR="00555B5E">
        <w:rPr>
          <w:sz w:val="24"/>
          <w:szCs w:val="24"/>
        </w:rPr>
        <w:t>.</w:t>
      </w:r>
    </w:p>
    <w:p w:rsidR="00F90BC1" w:rsidRDefault="00AD6DFD" w:rsidP="000A5EC8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3E0543">
        <w:rPr>
          <w:sz w:val="24"/>
          <w:szCs w:val="24"/>
        </w:rPr>
        <w:tab/>
      </w:r>
      <w:r w:rsidR="00A732BC" w:rsidRPr="003E0543">
        <w:rPr>
          <w:sz w:val="24"/>
          <w:szCs w:val="24"/>
        </w:rPr>
        <w:t xml:space="preserve">Portanto </w:t>
      </w:r>
      <w:r w:rsidR="00EA2908">
        <w:rPr>
          <w:sz w:val="24"/>
          <w:szCs w:val="24"/>
        </w:rPr>
        <w:t>a</w:t>
      </w:r>
      <w:r w:rsidR="00844C1C" w:rsidRPr="003E0543">
        <w:rPr>
          <w:sz w:val="24"/>
          <w:szCs w:val="24"/>
        </w:rPr>
        <w:t xml:space="preserve"> procura de fonte</w:t>
      </w:r>
      <w:r w:rsidR="00E624D1" w:rsidRPr="003E0543">
        <w:rPr>
          <w:sz w:val="24"/>
          <w:szCs w:val="24"/>
        </w:rPr>
        <w:t>s</w:t>
      </w:r>
      <w:r w:rsidR="00844C1C" w:rsidRPr="003E0543">
        <w:rPr>
          <w:sz w:val="24"/>
          <w:szCs w:val="24"/>
        </w:rPr>
        <w:t xml:space="preserve"> alimentares nutritivas vem sendo explorada devido crescimento demográfico populacional, e nesta linha, o aproveitamento dos resíduos produzidos </w:t>
      </w:r>
      <w:r w:rsidR="00844C1C" w:rsidRPr="00F90BC1">
        <w:rPr>
          <w:sz w:val="24"/>
          <w:szCs w:val="24"/>
        </w:rPr>
        <w:t>pela</w:t>
      </w:r>
      <w:r w:rsidR="00E624D1">
        <w:rPr>
          <w:sz w:val="24"/>
          <w:szCs w:val="24"/>
        </w:rPr>
        <w:t>s indústrias de alimentos vem di</w:t>
      </w:r>
      <w:r w:rsidR="00844C1C" w:rsidRPr="00F90BC1">
        <w:rPr>
          <w:sz w:val="24"/>
          <w:szCs w:val="24"/>
        </w:rPr>
        <w:t>spondo</w:t>
      </w:r>
      <w:r w:rsidR="00E624D1">
        <w:rPr>
          <w:sz w:val="24"/>
          <w:szCs w:val="24"/>
        </w:rPr>
        <w:t>-se</w:t>
      </w:r>
      <w:r w:rsidR="00844C1C" w:rsidRPr="00F90BC1">
        <w:rPr>
          <w:sz w:val="24"/>
          <w:szCs w:val="24"/>
        </w:rPr>
        <w:t xml:space="preserve"> como potencias de fon</w:t>
      </w:r>
      <w:r w:rsidR="005D615F">
        <w:rPr>
          <w:sz w:val="24"/>
          <w:szCs w:val="24"/>
        </w:rPr>
        <w:t xml:space="preserve">tes nutritivas, biológicas e de </w:t>
      </w:r>
      <w:r w:rsidR="00844C1C" w:rsidRPr="00F90BC1">
        <w:rPr>
          <w:sz w:val="24"/>
          <w:szCs w:val="24"/>
        </w:rPr>
        <w:t>baixo custo. Um exemplo disto é o aproveitamento do soro do leite, onde estu</w:t>
      </w:r>
      <w:r w:rsidR="00764BD7">
        <w:rPr>
          <w:sz w:val="24"/>
          <w:szCs w:val="24"/>
        </w:rPr>
        <w:t>dos realizados revelam que est</w:t>
      </w:r>
      <w:r w:rsidR="00E624D1">
        <w:rPr>
          <w:sz w:val="24"/>
          <w:szCs w:val="24"/>
        </w:rPr>
        <w:t xml:space="preserve">e </w:t>
      </w:r>
      <w:r w:rsidR="00844C1C" w:rsidRPr="00F90BC1">
        <w:rPr>
          <w:sz w:val="24"/>
          <w:szCs w:val="24"/>
        </w:rPr>
        <w:t>liquido</w:t>
      </w:r>
      <w:r w:rsidR="00E624D1">
        <w:rPr>
          <w:sz w:val="24"/>
          <w:szCs w:val="24"/>
        </w:rPr>
        <w:t>, de característica</w:t>
      </w:r>
      <w:r w:rsidR="00844C1C" w:rsidRPr="00F90BC1">
        <w:rPr>
          <w:sz w:val="24"/>
          <w:szCs w:val="24"/>
        </w:rPr>
        <w:t xml:space="preserve"> amarelo-esverdeado é rico em nutrientes, e que em suas estruturas polipeptídicas existem segmentos de aminoácidos benéficas a saúde hu</w:t>
      </w:r>
      <w:r w:rsidR="00F90BC1">
        <w:rPr>
          <w:sz w:val="24"/>
          <w:szCs w:val="24"/>
        </w:rPr>
        <w:t>mana (BASSAN, 2012).</w:t>
      </w:r>
    </w:p>
    <w:p w:rsidR="00F67D99" w:rsidRDefault="00A50262" w:rsidP="000A5EC8">
      <w:pPr>
        <w:tabs>
          <w:tab w:val="left" w:pos="851"/>
        </w:tabs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844C1C" w:rsidRPr="00C61847">
        <w:rPr>
          <w:sz w:val="24"/>
          <w:szCs w:val="24"/>
        </w:rPr>
        <w:t xml:space="preserve">Segundo Lira (2009), em função </w:t>
      </w:r>
      <w:r w:rsidR="001C1E03">
        <w:rPr>
          <w:sz w:val="24"/>
          <w:szCs w:val="24"/>
        </w:rPr>
        <w:t>d</w:t>
      </w:r>
      <w:r w:rsidR="00844C1C" w:rsidRPr="00C61847">
        <w:rPr>
          <w:sz w:val="24"/>
          <w:szCs w:val="24"/>
        </w:rPr>
        <w:t>a tecnologia desenvolvida o soro pode representar cerca de 80% a 95% do leite e apresentar 55% dos nutrientes existentes nele. Nos relatos de Teixeira (2005), a qualidade do leite bubalino está relacionada aos hábitos do animal e na forma do manejo que é feito a ordenha. O mesmo autor ainda afirma que a “</w:t>
      </w:r>
      <w:r w:rsidR="00844C1C" w:rsidRPr="00C61847">
        <w:rPr>
          <w:rFonts w:eastAsiaTheme="minorHAnsi"/>
          <w:sz w:val="24"/>
          <w:szCs w:val="24"/>
          <w:lang w:eastAsia="en-US"/>
        </w:rPr>
        <w:t>composição do leite de búfala apresenta características próprias, que variam conforme o período da lactação, a raça e a alimentação, entre outros fatores”.</w:t>
      </w:r>
      <w:r w:rsidR="00F90BC1">
        <w:rPr>
          <w:rFonts w:eastAsiaTheme="minorHAnsi"/>
          <w:sz w:val="24"/>
          <w:szCs w:val="24"/>
          <w:lang w:eastAsia="en-US"/>
        </w:rPr>
        <w:t xml:space="preserve"> Assim, </w:t>
      </w:r>
      <w:r w:rsidR="00F67D99" w:rsidRPr="00C61847">
        <w:rPr>
          <w:sz w:val="24"/>
          <w:szCs w:val="24"/>
        </w:rPr>
        <w:t>proporciona</w:t>
      </w:r>
      <w:r w:rsidR="00F67D99">
        <w:rPr>
          <w:sz w:val="24"/>
          <w:szCs w:val="24"/>
        </w:rPr>
        <w:t xml:space="preserve"> seus próprios atributos </w:t>
      </w:r>
      <w:r w:rsidR="00F90BC1" w:rsidRPr="00C61847">
        <w:rPr>
          <w:sz w:val="24"/>
          <w:szCs w:val="24"/>
        </w:rPr>
        <w:t xml:space="preserve">consentindo a fácil </w:t>
      </w:r>
      <w:r w:rsidR="00F90BC1" w:rsidRPr="00C61847">
        <w:rPr>
          <w:sz w:val="24"/>
          <w:szCs w:val="24"/>
        </w:rPr>
        <w:lastRenderedPageBreak/>
        <w:t xml:space="preserve">assimilação físico-química e sensorial, onde possuem teores de proteína, gorduras e minerais, no </w:t>
      </w:r>
      <w:r w:rsidR="00F90BC1">
        <w:rPr>
          <w:sz w:val="24"/>
          <w:szCs w:val="24"/>
        </w:rPr>
        <w:t>qu</w:t>
      </w:r>
      <w:r w:rsidR="00764BD7">
        <w:rPr>
          <w:sz w:val="24"/>
          <w:szCs w:val="24"/>
        </w:rPr>
        <w:t>al supera os do</w:t>
      </w:r>
      <w:r w:rsidR="009B6286">
        <w:rPr>
          <w:sz w:val="24"/>
          <w:szCs w:val="24"/>
        </w:rPr>
        <w:t xml:space="preserve"> leite bovino (</w:t>
      </w:r>
      <w:r w:rsidR="00B2281F">
        <w:rPr>
          <w:sz w:val="24"/>
          <w:szCs w:val="24"/>
        </w:rPr>
        <w:t xml:space="preserve">MARINO, </w:t>
      </w:r>
      <w:r w:rsidR="00F90BC1">
        <w:rPr>
          <w:sz w:val="24"/>
          <w:szCs w:val="24"/>
        </w:rPr>
        <w:t xml:space="preserve">2010). </w:t>
      </w:r>
    </w:p>
    <w:p w:rsidR="00844C1C" w:rsidRDefault="008553C1" w:rsidP="00BE73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44C1C" w:rsidRPr="00C61847">
        <w:rPr>
          <w:sz w:val="24"/>
          <w:szCs w:val="24"/>
        </w:rPr>
        <w:t>Bassa</w:t>
      </w:r>
      <w:r w:rsidR="006B7638">
        <w:rPr>
          <w:sz w:val="24"/>
          <w:szCs w:val="24"/>
        </w:rPr>
        <w:t>n</w:t>
      </w:r>
      <w:r w:rsidR="00844C1C" w:rsidRPr="00C61847">
        <w:rPr>
          <w:sz w:val="24"/>
          <w:szCs w:val="24"/>
        </w:rPr>
        <w:t xml:space="preserve"> (2012)</w:t>
      </w:r>
      <w:r w:rsidR="001C1E03">
        <w:rPr>
          <w:sz w:val="24"/>
          <w:szCs w:val="24"/>
        </w:rPr>
        <w:t>,</w:t>
      </w:r>
      <w:r w:rsidR="000D461F">
        <w:rPr>
          <w:sz w:val="24"/>
          <w:szCs w:val="24"/>
        </w:rPr>
        <w:t xml:space="preserve">em suas pesquisas, </w:t>
      </w:r>
      <w:r w:rsidR="00764BD7" w:rsidRPr="00C61847">
        <w:rPr>
          <w:sz w:val="24"/>
          <w:szCs w:val="24"/>
        </w:rPr>
        <w:t>relata</w:t>
      </w:r>
      <w:r w:rsidR="00844C1C" w:rsidRPr="00C61847">
        <w:rPr>
          <w:sz w:val="24"/>
          <w:szCs w:val="24"/>
        </w:rPr>
        <w:t xml:space="preserve"> que as principais proteínas presentes no leite de búfalas são: α</w:t>
      </w:r>
      <w:r w:rsidR="00844C1C" w:rsidRPr="00C61847">
        <w:rPr>
          <w:sz w:val="24"/>
          <w:szCs w:val="24"/>
          <w:vertAlign w:val="subscript"/>
        </w:rPr>
        <w:t>s1</w:t>
      </w:r>
      <w:r w:rsidR="00844C1C" w:rsidRPr="00C61847">
        <w:rPr>
          <w:sz w:val="24"/>
          <w:szCs w:val="24"/>
        </w:rPr>
        <w:t>-caseína, α</w:t>
      </w:r>
      <w:r w:rsidR="00844C1C" w:rsidRPr="00C61847">
        <w:rPr>
          <w:sz w:val="24"/>
          <w:szCs w:val="24"/>
          <w:vertAlign w:val="subscript"/>
        </w:rPr>
        <w:t>s2</w:t>
      </w:r>
      <w:r w:rsidR="00844C1C" w:rsidRPr="00C61847">
        <w:rPr>
          <w:sz w:val="24"/>
          <w:szCs w:val="24"/>
        </w:rPr>
        <w:t>-caseína, β-caseína, κ-caseína, β-lactoglobulina e α-lactoalbumina, além de possuir uma quantidade de κ-caseína maior comparado ao leite de vaca, assim acelerando o processo d</w:t>
      </w:r>
      <w:r>
        <w:rPr>
          <w:sz w:val="24"/>
          <w:szCs w:val="24"/>
        </w:rPr>
        <w:t xml:space="preserve">e </w:t>
      </w:r>
      <w:r w:rsidR="00844C1C" w:rsidRPr="00C61847">
        <w:rPr>
          <w:sz w:val="24"/>
          <w:szCs w:val="24"/>
        </w:rPr>
        <w:t>coagulação do leite</w:t>
      </w:r>
      <w:r w:rsidR="000D461F">
        <w:rPr>
          <w:sz w:val="24"/>
          <w:szCs w:val="24"/>
        </w:rPr>
        <w:t>.</w:t>
      </w:r>
      <w:r w:rsidR="00AE4957">
        <w:rPr>
          <w:sz w:val="24"/>
          <w:szCs w:val="24"/>
        </w:rPr>
        <w:t xml:space="preserve"> Neste caso, o soro do leite apresenta </w:t>
      </w:r>
      <w:r w:rsidR="001C1E03">
        <w:rPr>
          <w:sz w:val="24"/>
          <w:szCs w:val="24"/>
        </w:rPr>
        <w:t xml:space="preserve">boa </w:t>
      </w:r>
      <w:r w:rsidR="00AE4957">
        <w:rPr>
          <w:sz w:val="24"/>
          <w:szCs w:val="24"/>
        </w:rPr>
        <w:t>característica nutricional, podendo ser um substituto parcial ou total da água na elaboração de bolo.</w:t>
      </w:r>
    </w:p>
    <w:p w:rsidR="00AD6DFD" w:rsidRPr="00BE733E" w:rsidRDefault="000D461F" w:rsidP="00BE733E">
      <w:pPr>
        <w:tabs>
          <w:tab w:val="left" w:pos="851"/>
        </w:tabs>
        <w:spacing w:line="360" w:lineRule="auto"/>
        <w:jc w:val="both"/>
        <w:rPr>
          <w:color w:val="000000"/>
          <w:sz w:val="24"/>
        </w:rPr>
      </w:pPr>
      <w:r>
        <w:rPr>
          <w:sz w:val="24"/>
          <w:szCs w:val="24"/>
        </w:rPr>
        <w:tab/>
      </w:r>
      <w:r w:rsidRPr="00BE733E">
        <w:rPr>
          <w:color w:val="000000"/>
          <w:sz w:val="24"/>
        </w:rPr>
        <w:t>O bolo</w:t>
      </w:r>
      <w:r w:rsidR="00AE4957">
        <w:rPr>
          <w:color w:val="000000"/>
          <w:sz w:val="24"/>
        </w:rPr>
        <w:t xml:space="preserve"> é um produto obtido de uma misturas, homogeneização e cozimento conveniente da farinha de trigo fermentada ou não, com acréscimo de outros ingredientes. Deste modo, é um </w:t>
      </w:r>
      <w:r w:rsidRPr="00BE733E">
        <w:rPr>
          <w:color w:val="000000"/>
          <w:sz w:val="24"/>
        </w:rPr>
        <w:t xml:space="preserve">produto bem aceito pelos consumidores de todas as idades, podendo ter seus ingredientes modificados com facilidade, tornando possível melhora a qualidade nutricional sem ter </w:t>
      </w:r>
      <w:r w:rsidR="00B2281F" w:rsidRPr="00BE733E">
        <w:rPr>
          <w:color w:val="000000"/>
          <w:sz w:val="24"/>
        </w:rPr>
        <w:t>suas características organolépticas alteradas</w:t>
      </w:r>
      <w:r w:rsidR="006B7638">
        <w:rPr>
          <w:color w:val="000000"/>
          <w:sz w:val="24"/>
        </w:rPr>
        <w:t xml:space="preserve"> </w:t>
      </w:r>
      <w:r w:rsidRPr="00BE733E">
        <w:rPr>
          <w:sz w:val="24"/>
        </w:rPr>
        <w:t xml:space="preserve">(SOARES et al., 2018). </w:t>
      </w:r>
    </w:p>
    <w:p w:rsidR="008B40C9" w:rsidRPr="00C61847" w:rsidRDefault="00844C1C" w:rsidP="00410FAE">
      <w:pPr>
        <w:autoSpaceDE w:val="0"/>
        <w:autoSpaceDN w:val="0"/>
        <w:adjustRightInd w:val="0"/>
        <w:spacing w:after="240" w:line="360" w:lineRule="auto"/>
        <w:ind w:firstLine="708"/>
        <w:jc w:val="both"/>
        <w:rPr>
          <w:sz w:val="24"/>
          <w:szCs w:val="24"/>
        </w:rPr>
      </w:pPr>
      <w:r w:rsidRPr="00C61847">
        <w:rPr>
          <w:sz w:val="24"/>
          <w:szCs w:val="24"/>
        </w:rPr>
        <w:t xml:space="preserve">Com base nesses relatos o objetivo deste trabalho </w:t>
      </w:r>
      <w:r w:rsidR="00991A68">
        <w:rPr>
          <w:sz w:val="24"/>
          <w:szCs w:val="24"/>
        </w:rPr>
        <w:t>foi</w:t>
      </w:r>
      <w:r w:rsidRPr="00C61847">
        <w:rPr>
          <w:sz w:val="24"/>
          <w:szCs w:val="24"/>
        </w:rPr>
        <w:t xml:space="preserve"> desenvolver um produto de panificação, com diferentes concentrações do soro do leite de Búfala e análise de sua composição físico-químic</w:t>
      </w:r>
      <w:r w:rsidR="004D707E">
        <w:rPr>
          <w:sz w:val="24"/>
          <w:szCs w:val="24"/>
        </w:rPr>
        <w:t>a, bem como a aceitação semelhante ao padrão</w:t>
      </w:r>
      <w:r w:rsidRPr="00C61847">
        <w:rPr>
          <w:sz w:val="24"/>
          <w:szCs w:val="24"/>
        </w:rPr>
        <w:t>.</w:t>
      </w:r>
    </w:p>
    <w:bookmarkEnd w:id="0"/>
    <w:p w:rsidR="00844C1C" w:rsidRDefault="00844C1C" w:rsidP="00FB4531">
      <w:pPr>
        <w:tabs>
          <w:tab w:val="left" w:pos="709"/>
        </w:tabs>
        <w:spacing w:after="240" w:line="360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2. </w:t>
      </w:r>
      <w:r w:rsidRPr="00844C1C">
        <w:rPr>
          <w:b/>
          <w:sz w:val="24"/>
          <w:szCs w:val="24"/>
        </w:rPr>
        <w:t xml:space="preserve">MATERIAL </w:t>
      </w:r>
      <w:r w:rsidR="0012462E" w:rsidRPr="00844C1C">
        <w:rPr>
          <w:b/>
          <w:sz w:val="24"/>
          <w:szCs w:val="24"/>
        </w:rPr>
        <w:t xml:space="preserve">E MÉTODOS </w:t>
      </w:r>
    </w:p>
    <w:p w:rsidR="00943D72" w:rsidRPr="00524FF4" w:rsidRDefault="00844C1C" w:rsidP="00FB4531">
      <w:pPr>
        <w:autoSpaceDE w:val="0"/>
        <w:autoSpaceDN w:val="0"/>
        <w:adjustRightInd w:val="0"/>
        <w:spacing w:after="240" w:line="360" w:lineRule="auto"/>
        <w:jc w:val="both"/>
        <w:rPr>
          <w:b/>
          <w:sz w:val="24"/>
          <w:szCs w:val="24"/>
        </w:rPr>
      </w:pPr>
      <w:r w:rsidRPr="00524FF4">
        <w:rPr>
          <w:b/>
          <w:sz w:val="24"/>
          <w:szCs w:val="24"/>
        </w:rPr>
        <w:t xml:space="preserve">2.1 </w:t>
      </w:r>
      <w:r w:rsidR="00524FF4" w:rsidRPr="00524FF4">
        <w:rPr>
          <w:b/>
          <w:sz w:val="24"/>
          <w:szCs w:val="24"/>
        </w:rPr>
        <w:t>Material</w:t>
      </w:r>
    </w:p>
    <w:p w:rsidR="00F67D3B" w:rsidRDefault="00844C1C" w:rsidP="00BE733E">
      <w:pPr>
        <w:autoSpaceDE w:val="0"/>
        <w:autoSpaceDN w:val="0"/>
        <w:adjustRightInd w:val="0"/>
        <w:spacing w:after="240" w:line="360" w:lineRule="auto"/>
        <w:ind w:firstLine="708"/>
        <w:jc w:val="both"/>
        <w:rPr>
          <w:sz w:val="24"/>
          <w:szCs w:val="24"/>
        </w:rPr>
      </w:pPr>
      <w:r w:rsidRPr="008014B4">
        <w:rPr>
          <w:sz w:val="24"/>
          <w:szCs w:val="24"/>
        </w:rPr>
        <w:t>O soro de leite</w:t>
      </w:r>
      <w:r w:rsidR="00CF50FB">
        <w:rPr>
          <w:sz w:val="24"/>
          <w:szCs w:val="24"/>
        </w:rPr>
        <w:t xml:space="preserve"> bubalino</w:t>
      </w:r>
      <w:r w:rsidRPr="008014B4">
        <w:rPr>
          <w:sz w:val="24"/>
          <w:szCs w:val="24"/>
        </w:rPr>
        <w:t xml:space="preserve"> previamente pasteurizado</w:t>
      </w:r>
      <w:r w:rsidR="006B7638">
        <w:rPr>
          <w:sz w:val="24"/>
          <w:szCs w:val="24"/>
        </w:rPr>
        <w:t xml:space="preserve"> </w:t>
      </w:r>
      <w:r w:rsidR="001C1E03">
        <w:rPr>
          <w:sz w:val="24"/>
          <w:szCs w:val="24"/>
        </w:rPr>
        <w:t>à</w:t>
      </w:r>
      <w:r w:rsidR="00B637F1">
        <w:rPr>
          <w:sz w:val="24"/>
          <w:szCs w:val="24"/>
        </w:rPr>
        <w:t xml:space="preserve"> 70 °C por 30 min</w:t>
      </w:r>
      <w:r w:rsidRPr="008014B4">
        <w:rPr>
          <w:sz w:val="24"/>
          <w:szCs w:val="24"/>
        </w:rPr>
        <w:t xml:space="preserve">, </w:t>
      </w:r>
      <w:r w:rsidR="00CF50FB">
        <w:rPr>
          <w:sz w:val="24"/>
          <w:szCs w:val="24"/>
        </w:rPr>
        <w:t xml:space="preserve">foi </w:t>
      </w:r>
      <w:r w:rsidRPr="008014B4">
        <w:rPr>
          <w:sz w:val="24"/>
          <w:szCs w:val="24"/>
        </w:rPr>
        <w:t>obtido pelo proces</w:t>
      </w:r>
      <w:r>
        <w:rPr>
          <w:sz w:val="24"/>
          <w:szCs w:val="24"/>
        </w:rPr>
        <w:t>so de fabricação de queijo do Marajó</w:t>
      </w:r>
      <w:r w:rsidR="00764BD7">
        <w:rPr>
          <w:sz w:val="24"/>
          <w:szCs w:val="24"/>
        </w:rPr>
        <w:t>,fornecido</w:t>
      </w:r>
      <w:r w:rsidRPr="008014B4">
        <w:rPr>
          <w:sz w:val="24"/>
          <w:szCs w:val="24"/>
        </w:rPr>
        <w:t xml:space="preserve"> pela </w:t>
      </w:r>
      <w:r>
        <w:rPr>
          <w:sz w:val="24"/>
          <w:szCs w:val="24"/>
        </w:rPr>
        <w:t>Fazenda Mironga</w:t>
      </w:r>
      <w:r w:rsidRPr="008014B4">
        <w:rPr>
          <w:sz w:val="24"/>
          <w:szCs w:val="24"/>
        </w:rPr>
        <w:t>, localizada no município de Soure</w:t>
      </w:r>
      <w:r w:rsidR="00CF50FB">
        <w:rPr>
          <w:sz w:val="24"/>
          <w:szCs w:val="24"/>
        </w:rPr>
        <w:t>-</w:t>
      </w:r>
      <w:r w:rsidRPr="008014B4">
        <w:rPr>
          <w:sz w:val="24"/>
          <w:szCs w:val="24"/>
        </w:rPr>
        <w:t>PA</w:t>
      </w:r>
      <w:r w:rsidR="00B637F1">
        <w:rPr>
          <w:sz w:val="24"/>
          <w:szCs w:val="24"/>
        </w:rPr>
        <w:t>. O</w:t>
      </w:r>
      <w:r w:rsidR="00CF50FB">
        <w:rPr>
          <w:sz w:val="24"/>
          <w:szCs w:val="24"/>
        </w:rPr>
        <w:t>s demais ingredientes utilizados na formulação do produto</w:t>
      </w:r>
      <w:r w:rsidR="00B637F1">
        <w:rPr>
          <w:sz w:val="24"/>
          <w:szCs w:val="24"/>
        </w:rPr>
        <w:t xml:space="preserve"> foram</w:t>
      </w:r>
      <w:r w:rsidR="008A61DF">
        <w:rPr>
          <w:sz w:val="24"/>
          <w:szCs w:val="24"/>
        </w:rPr>
        <w:t xml:space="preserve"> adquiridos no comercio</w:t>
      </w:r>
      <w:r w:rsidR="00CF50FB">
        <w:rPr>
          <w:sz w:val="24"/>
          <w:szCs w:val="24"/>
        </w:rPr>
        <w:t xml:space="preserve"> local</w:t>
      </w:r>
      <w:r w:rsidR="008A61DF">
        <w:rPr>
          <w:sz w:val="24"/>
          <w:szCs w:val="24"/>
        </w:rPr>
        <w:t xml:space="preserve"> do mesmo município</w:t>
      </w:r>
      <w:r w:rsidRPr="008014B4">
        <w:rPr>
          <w:sz w:val="24"/>
          <w:szCs w:val="24"/>
        </w:rPr>
        <w:t>.</w:t>
      </w:r>
      <w:r w:rsidR="00EC2EB8">
        <w:rPr>
          <w:sz w:val="24"/>
          <w:szCs w:val="24"/>
        </w:rPr>
        <w:t>O</w:t>
      </w:r>
      <w:r w:rsidR="00284043">
        <w:rPr>
          <w:sz w:val="24"/>
          <w:szCs w:val="24"/>
        </w:rPr>
        <w:t>s</w:t>
      </w:r>
      <w:r w:rsidR="00EC2EB8">
        <w:rPr>
          <w:sz w:val="24"/>
          <w:szCs w:val="24"/>
        </w:rPr>
        <w:t xml:space="preserve"> ingredientes p</w:t>
      </w:r>
      <w:r w:rsidRPr="008014B4">
        <w:rPr>
          <w:sz w:val="24"/>
          <w:szCs w:val="24"/>
        </w:rPr>
        <w:t>ara a obtenção dos bolos</w:t>
      </w:r>
      <w:r w:rsidR="00991A68">
        <w:rPr>
          <w:sz w:val="24"/>
          <w:szCs w:val="24"/>
        </w:rPr>
        <w:t xml:space="preserve"> enriquecidos como soro de leite bubalino em diferentes concentrações</w:t>
      </w:r>
      <w:r w:rsidR="00B637F1">
        <w:rPr>
          <w:sz w:val="24"/>
          <w:szCs w:val="24"/>
        </w:rPr>
        <w:t xml:space="preserve"> são</w:t>
      </w:r>
      <w:r w:rsidR="00991A68">
        <w:rPr>
          <w:sz w:val="24"/>
          <w:szCs w:val="24"/>
        </w:rPr>
        <w:t xml:space="preserve"> descritos na Tabela 1.</w:t>
      </w:r>
    </w:p>
    <w:p w:rsidR="006B7638" w:rsidRDefault="006B7638" w:rsidP="00F67D3B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6B7638" w:rsidRDefault="006B7638" w:rsidP="00F67D3B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6B7638" w:rsidRDefault="006B7638" w:rsidP="00F67D3B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6B7638" w:rsidRDefault="006B7638" w:rsidP="00F67D3B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6B7638" w:rsidRDefault="006B7638" w:rsidP="00F67D3B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6B7638" w:rsidRDefault="006B7638" w:rsidP="00F67D3B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6B7638" w:rsidRDefault="006B7638" w:rsidP="00F67D3B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6B7638" w:rsidRDefault="006B7638" w:rsidP="00F67D3B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6B7638" w:rsidRDefault="006B7638" w:rsidP="00F67D3B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F67D3B" w:rsidRPr="00524FF4" w:rsidRDefault="00F140BE" w:rsidP="00F67D3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140BE">
        <w:rPr>
          <w:bCs/>
          <w:color w:val="000000"/>
          <w:sz w:val="22"/>
          <w:szCs w:val="22"/>
        </w:rPr>
        <w:lastRenderedPageBreak/>
        <w:t>Tabela 1</w:t>
      </w:r>
      <w:r w:rsidR="001C1E03">
        <w:rPr>
          <w:b/>
          <w:bCs/>
          <w:color w:val="000000"/>
          <w:sz w:val="22"/>
          <w:szCs w:val="22"/>
        </w:rPr>
        <w:t xml:space="preserve">- </w:t>
      </w:r>
      <w:r w:rsidR="00CC3789" w:rsidRPr="00524FF4">
        <w:rPr>
          <w:sz w:val="22"/>
          <w:szCs w:val="22"/>
        </w:rPr>
        <w:t>Formulações de bolos com diferentes concentrações de soro de leite bubalino.</w:t>
      </w:r>
    </w:p>
    <w:tbl>
      <w:tblPr>
        <w:tblStyle w:val="Tabelacomgrade"/>
        <w:tblW w:w="8545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000"/>
      </w:tblPr>
      <w:tblGrid>
        <w:gridCol w:w="3691"/>
        <w:gridCol w:w="1588"/>
        <w:gridCol w:w="1702"/>
        <w:gridCol w:w="1564"/>
      </w:tblGrid>
      <w:tr w:rsidR="00844C1C" w:rsidRPr="00524FF4" w:rsidTr="005F7C4E">
        <w:trPr>
          <w:trHeight w:val="84"/>
          <w:jc w:val="center"/>
        </w:trPr>
        <w:tc>
          <w:tcPr>
            <w:tcW w:w="3691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844C1C" w:rsidRPr="00524FF4" w:rsidRDefault="00844C1C" w:rsidP="002E651A">
            <w:pPr>
              <w:pStyle w:val="Pa15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24FF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Ingredientes (g)</w:t>
            </w:r>
          </w:p>
        </w:tc>
        <w:tc>
          <w:tcPr>
            <w:tcW w:w="4854" w:type="dxa"/>
            <w:gridSpan w:val="3"/>
            <w:tcBorders>
              <w:top w:val="single" w:sz="12" w:space="0" w:color="auto"/>
              <w:left w:val="nil"/>
              <w:bottom w:val="nil"/>
            </w:tcBorders>
          </w:tcPr>
          <w:p w:rsidR="00844C1C" w:rsidRPr="00524FF4" w:rsidRDefault="00844C1C" w:rsidP="002E651A">
            <w:pPr>
              <w:pStyle w:val="Pa15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24FF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Formulações</w:t>
            </w:r>
            <w:r w:rsidR="001C1E0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*</w:t>
            </w:r>
          </w:p>
        </w:tc>
      </w:tr>
      <w:tr w:rsidR="00844C1C" w:rsidRPr="00524FF4" w:rsidTr="005F7C4E">
        <w:trPr>
          <w:trHeight w:val="84"/>
          <w:jc w:val="center"/>
        </w:trPr>
        <w:tc>
          <w:tcPr>
            <w:tcW w:w="3691" w:type="dxa"/>
            <w:vMerge/>
            <w:tcBorders>
              <w:bottom w:val="single" w:sz="12" w:space="0" w:color="auto"/>
              <w:right w:val="nil"/>
            </w:tcBorders>
          </w:tcPr>
          <w:p w:rsidR="00844C1C" w:rsidRPr="00524FF4" w:rsidRDefault="00844C1C" w:rsidP="002E651A">
            <w:pPr>
              <w:pStyle w:val="Default"/>
              <w:spacing w:line="360" w:lineRule="auto"/>
              <w:rPr>
                <w:rFonts w:asci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4C1C" w:rsidRPr="00524FF4" w:rsidRDefault="00844C1C" w:rsidP="002E651A">
            <w:pPr>
              <w:pStyle w:val="Pa15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24FF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F1</w:t>
            </w:r>
            <w:r w:rsidR="00F0405D" w:rsidRPr="00524FF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4C1C" w:rsidRPr="00524FF4" w:rsidRDefault="00844C1C" w:rsidP="002E651A">
            <w:pPr>
              <w:pStyle w:val="Pa15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24FF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F2</w:t>
            </w:r>
            <w:r w:rsidR="00F0405D" w:rsidRPr="00524FF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12" w:space="0" w:color="auto"/>
            </w:tcBorders>
          </w:tcPr>
          <w:p w:rsidR="00844C1C" w:rsidRPr="00524FF4" w:rsidRDefault="00844C1C" w:rsidP="002E651A">
            <w:pPr>
              <w:pStyle w:val="Pa15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24FF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F3</w:t>
            </w:r>
            <w:r w:rsidR="00F0405D" w:rsidRPr="00524FF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(%)</w:t>
            </w:r>
          </w:p>
        </w:tc>
      </w:tr>
      <w:tr w:rsidR="00844C1C" w:rsidRPr="00524FF4" w:rsidTr="005F7C4E">
        <w:trPr>
          <w:trHeight w:val="84"/>
          <w:jc w:val="center"/>
        </w:trPr>
        <w:tc>
          <w:tcPr>
            <w:tcW w:w="3691" w:type="dxa"/>
            <w:tcBorders>
              <w:top w:val="single" w:sz="12" w:space="0" w:color="auto"/>
              <w:bottom w:val="nil"/>
              <w:right w:val="nil"/>
            </w:tcBorders>
          </w:tcPr>
          <w:p w:rsidR="00844C1C" w:rsidRPr="00524FF4" w:rsidRDefault="00844C1C" w:rsidP="002E651A">
            <w:pPr>
              <w:pStyle w:val="Pa16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Farinha de trigo</w:t>
            </w: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44C1C" w:rsidRPr="00524FF4" w:rsidRDefault="00844C1C" w:rsidP="002E651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36</w:t>
            </w:r>
            <w:r w:rsidR="00F0405D"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44C1C" w:rsidRPr="00524FF4" w:rsidRDefault="00844C1C" w:rsidP="002E651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36</w:t>
            </w:r>
            <w:r w:rsidR="00F0405D"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nil"/>
            </w:tcBorders>
          </w:tcPr>
          <w:p w:rsidR="00844C1C" w:rsidRPr="00524FF4" w:rsidRDefault="00844C1C" w:rsidP="002E651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36</w:t>
            </w:r>
            <w:r w:rsidR="00F0405D"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844C1C" w:rsidRPr="00524FF4" w:rsidTr="005F7C4E">
        <w:trPr>
          <w:trHeight w:val="84"/>
          <w:jc w:val="center"/>
        </w:trPr>
        <w:tc>
          <w:tcPr>
            <w:tcW w:w="3691" w:type="dxa"/>
            <w:tcBorders>
              <w:top w:val="nil"/>
              <w:bottom w:val="nil"/>
              <w:right w:val="nil"/>
            </w:tcBorders>
          </w:tcPr>
          <w:p w:rsidR="00844C1C" w:rsidRPr="00524FF4" w:rsidRDefault="00844C1C" w:rsidP="002E651A">
            <w:pPr>
              <w:pStyle w:val="Pa16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Açúcar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844C1C" w:rsidRPr="00524FF4" w:rsidRDefault="00844C1C" w:rsidP="002E651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  <w:r w:rsidR="00F0405D"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844C1C" w:rsidRPr="00524FF4" w:rsidRDefault="00844C1C" w:rsidP="002E651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  <w:r w:rsidR="00F0405D"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:rsidR="00844C1C" w:rsidRPr="00524FF4" w:rsidRDefault="00844C1C" w:rsidP="002E651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  <w:r w:rsidR="00F0405D"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844C1C" w:rsidRPr="00524FF4" w:rsidTr="005F7C4E">
        <w:trPr>
          <w:trHeight w:val="84"/>
          <w:jc w:val="center"/>
        </w:trPr>
        <w:tc>
          <w:tcPr>
            <w:tcW w:w="3691" w:type="dxa"/>
            <w:tcBorders>
              <w:top w:val="nil"/>
              <w:bottom w:val="nil"/>
              <w:right w:val="nil"/>
            </w:tcBorders>
          </w:tcPr>
          <w:p w:rsidR="00844C1C" w:rsidRPr="00524FF4" w:rsidRDefault="00844C1C" w:rsidP="002E651A">
            <w:pPr>
              <w:pStyle w:val="Pa16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Ovos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844C1C" w:rsidRPr="00524FF4" w:rsidRDefault="00844C1C" w:rsidP="002E651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  <w:r w:rsidR="00F0405D"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844C1C" w:rsidRPr="00524FF4" w:rsidRDefault="00844C1C" w:rsidP="002E651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  <w:r w:rsidR="00F0405D"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:rsidR="00844C1C" w:rsidRPr="00524FF4" w:rsidRDefault="00844C1C" w:rsidP="002E651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  <w:r w:rsidR="00F0405D"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844C1C" w:rsidRPr="00524FF4" w:rsidTr="005F7C4E">
        <w:trPr>
          <w:trHeight w:val="84"/>
          <w:jc w:val="center"/>
        </w:trPr>
        <w:tc>
          <w:tcPr>
            <w:tcW w:w="3691" w:type="dxa"/>
            <w:tcBorders>
              <w:top w:val="nil"/>
              <w:bottom w:val="nil"/>
              <w:right w:val="nil"/>
            </w:tcBorders>
          </w:tcPr>
          <w:p w:rsidR="00844C1C" w:rsidRPr="00524FF4" w:rsidRDefault="00CB193D" w:rsidP="002E651A">
            <w:pPr>
              <w:pStyle w:val="Pa16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Á</w:t>
            </w:r>
            <w:r w:rsidR="00844C1C"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gua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844C1C" w:rsidRPr="00524FF4" w:rsidRDefault="00844C1C" w:rsidP="002E651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  <w:r w:rsidR="00F0405D"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844C1C" w:rsidRPr="00524FF4" w:rsidRDefault="00FB4531" w:rsidP="002E651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F0405D"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844C1C"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:rsidR="00844C1C" w:rsidRPr="00524FF4" w:rsidRDefault="002E36F9" w:rsidP="002E651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-----</w:t>
            </w:r>
          </w:p>
        </w:tc>
      </w:tr>
      <w:tr w:rsidR="00844C1C" w:rsidRPr="00524FF4" w:rsidTr="005F7C4E">
        <w:trPr>
          <w:trHeight w:val="84"/>
          <w:jc w:val="center"/>
        </w:trPr>
        <w:tc>
          <w:tcPr>
            <w:tcW w:w="3691" w:type="dxa"/>
            <w:tcBorders>
              <w:top w:val="nil"/>
              <w:bottom w:val="nil"/>
              <w:right w:val="nil"/>
            </w:tcBorders>
          </w:tcPr>
          <w:p w:rsidR="00844C1C" w:rsidRPr="00524FF4" w:rsidRDefault="00844C1C" w:rsidP="002E651A">
            <w:pPr>
              <w:pStyle w:val="Pa16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Margarina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844C1C" w:rsidRPr="00524FF4" w:rsidRDefault="00844C1C" w:rsidP="002E651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  <w:r w:rsidR="00F0405D"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844C1C" w:rsidRPr="00524FF4" w:rsidRDefault="00844C1C" w:rsidP="002E651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  <w:r w:rsidR="00F0405D"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:rsidR="00844C1C" w:rsidRPr="00524FF4" w:rsidRDefault="00844C1C" w:rsidP="002E651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  <w:r w:rsidR="00F0405D"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844C1C" w:rsidRPr="00524FF4" w:rsidTr="005F7C4E">
        <w:trPr>
          <w:trHeight w:val="51"/>
          <w:jc w:val="center"/>
        </w:trPr>
        <w:tc>
          <w:tcPr>
            <w:tcW w:w="3691" w:type="dxa"/>
            <w:tcBorders>
              <w:top w:val="nil"/>
              <w:bottom w:val="nil"/>
              <w:right w:val="nil"/>
            </w:tcBorders>
          </w:tcPr>
          <w:p w:rsidR="00844C1C" w:rsidRPr="00524FF4" w:rsidRDefault="00844C1C" w:rsidP="002E651A">
            <w:pPr>
              <w:pStyle w:val="Pa16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Baunilha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844C1C" w:rsidRPr="00524FF4" w:rsidRDefault="00F0405D" w:rsidP="002E651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0,</w:t>
            </w:r>
            <w:r w:rsidR="00844C1C"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844C1C" w:rsidRPr="00524FF4" w:rsidRDefault="00F0405D" w:rsidP="002E651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0,</w:t>
            </w:r>
            <w:r w:rsidR="00844C1C"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:rsidR="00844C1C" w:rsidRPr="00524FF4" w:rsidRDefault="00F0405D" w:rsidP="002E651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0,</w:t>
            </w:r>
            <w:r w:rsidR="00844C1C"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844C1C" w:rsidRPr="00524FF4" w:rsidTr="005F7C4E">
        <w:trPr>
          <w:trHeight w:val="247"/>
          <w:jc w:val="center"/>
        </w:trPr>
        <w:tc>
          <w:tcPr>
            <w:tcW w:w="3691" w:type="dxa"/>
            <w:tcBorders>
              <w:top w:val="nil"/>
              <w:bottom w:val="single" w:sz="12" w:space="0" w:color="auto"/>
              <w:right w:val="nil"/>
            </w:tcBorders>
          </w:tcPr>
          <w:p w:rsidR="00844C1C" w:rsidRPr="00524FF4" w:rsidRDefault="00844C1C" w:rsidP="002E651A">
            <w:pPr>
              <w:pStyle w:val="Pa16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Soro </w:t>
            </w:r>
            <w:r w:rsidR="001C1E03">
              <w:rPr>
                <w:rFonts w:ascii="Times New Roman" w:hAnsi="Times New Roman"/>
                <w:color w:val="000000"/>
                <w:sz w:val="22"/>
                <w:szCs w:val="22"/>
              </w:rPr>
              <w:t>de leite bubalino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4C1C" w:rsidRPr="00524FF4" w:rsidRDefault="00844C1C" w:rsidP="002E651A">
            <w:pPr>
              <w:pStyle w:val="Pa15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="00F0405D"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4C1C" w:rsidRPr="00524FF4" w:rsidRDefault="00844C1C" w:rsidP="002E651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  <w:r w:rsidR="00F0405D"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12" w:space="0" w:color="auto"/>
            </w:tcBorders>
          </w:tcPr>
          <w:p w:rsidR="00844C1C" w:rsidRPr="00524FF4" w:rsidRDefault="00844C1C" w:rsidP="002E651A">
            <w:pPr>
              <w:pStyle w:val="Pa15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  <w:r w:rsidR="00F0405D"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524FF4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844C1C" w:rsidRPr="001867CD" w:rsidTr="005F7C4E">
        <w:trPr>
          <w:trHeight w:val="69"/>
          <w:jc w:val="center"/>
        </w:trPr>
        <w:tc>
          <w:tcPr>
            <w:tcW w:w="8545" w:type="dxa"/>
            <w:gridSpan w:val="4"/>
            <w:tcBorders>
              <w:bottom w:val="nil"/>
            </w:tcBorders>
          </w:tcPr>
          <w:p w:rsidR="00844C1C" w:rsidRPr="002E651A" w:rsidRDefault="00844C1C" w:rsidP="00BE733E">
            <w:pPr>
              <w:pStyle w:val="Pa17"/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E733E">
              <w:rPr>
                <w:rFonts w:ascii="Times New Roman" w:hAnsi="Times New Roman"/>
                <w:color w:val="000000"/>
                <w:sz w:val="20"/>
                <w:szCs w:val="22"/>
              </w:rPr>
              <w:t>*</w:t>
            </w:r>
            <w:r w:rsidR="00CC3789" w:rsidRPr="00BE73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Formulações dos bolos, sendo (F1) para o bolo padrão, (F2) para o bolo com 90% do soro bubalino e (F3) para o bolo com 100% de soro bubalino. </w:t>
            </w:r>
            <w:r w:rsidR="00CC3789" w:rsidRPr="00CC3789">
              <w:rPr>
                <w:rFonts w:ascii="Times New Roman" w:hAnsi="Times New Roman"/>
                <w:color w:val="000000"/>
                <w:sz w:val="20"/>
                <w:szCs w:val="22"/>
              </w:rPr>
              <w:t>A quantidade de soro de leite adicionado fornece 2,4 g de proteína para cada</w:t>
            </w:r>
            <w:r w:rsidR="009E0771">
              <w:rPr>
                <w:rFonts w:ascii="Times New Roman" w:hAnsi="Times New Roman"/>
                <w:color w:val="000000"/>
                <w:sz w:val="20"/>
                <w:szCs w:val="22"/>
              </w:rPr>
              <w:t>100 g</w:t>
            </w:r>
          </w:p>
        </w:tc>
      </w:tr>
    </w:tbl>
    <w:p w:rsidR="00A95B23" w:rsidRPr="00A95B23" w:rsidRDefault="006A6B36" w:rsidP="00524FF4">
      <w:pPr>
        <w:spacing w:after="240"/>
        <w:jc w:val="center"/>
        <w:rPr>
          <w:sz w:val="22"/>
          <w:szCs w:val="22"/>
        </w:rPr>
      </w:pPr>
      <w:r>
        <w:rPr>
          <w:sz w:val="22"/>
          <w:szCs w:val="22"/>
        </w:rPr>
        <w:t>Fonte: Autores (2018</w:t>
      </w:r>
      <w:r w:rsidR="00F67D3B">
        <w:rPr>
          <w:sz w:val="22"/>
          <w:szCs w:val="22"/>
        </w:rPr>
        <w:t>)</w:t>
      </w:r>
      <w:r w:rsidR="00F67D3B" w:rsidRPr="00D13969">
        <w:rPr>
          <w:sz w:val="22"/>
          <w:szCs w:val="22"/>
        </w:rPr>
        <w:t>.</w:t>
      </w:r>
    </w:p>
    <w:p w:rsidR="00FB4531" w:rsidRDefault="00844C1C" w:rsidP="00FB4531">
      <w:pPr>
        <w:tabs>
          <w:tab w:val="left" w:pos="2805"/>
          <w:tab w:val="left" w:pos="2985"/>
        </w:tabs>
        <w:autoSpaceDE w:val="0"/>
        <w:autoSpaceDN w:val="0"/>
        <w:adjustRightInd w:val="0"/>
        <w:spacing w:after="240"/>
        <w:jc w:val="both"/>
        <w:rPr>
          <w:rFonts w:eastAsiaTheme="minorHAnsi"/>
          <w:sz w:val="24"/>
          <w:szCs w:val="24"/>
          <w:lang w:eastAsia="en-US"/>
        </w:rPr>
      </w:pPr>
      <w:r w:rsidRPr="006A6B36">
        <w:rPr>
          <w:b/>
          <w:color w:val="000000" w:themeColor="text1"/>
          <w:sz w:val="24"/>
          <w:szCs w:val="24"/>
        </w:rPr>
        <w:t>2.2</w:t>
      </w:r>
      <w:r w:rsidR="00524FF4">
        <w:rPr>
          <w:b/>
          <w:color w:val="000000" w:themeColor="text1"/>
          <w:sz w:val="24"/>
          <w:szCs w:val="24"/>
        </w:rPr>
        <w:t>F</w:t>
      </w:r>
      <w:r w:rsidR="00524FF4" w:rsidRPr="00524FF4">
        <w:rPr>
          <w:b/>
          <w:color w:val="000000" w:themeColor="text1"/>
          <w:sz w:val="24"/>
          <w:szCs w:val="24"/>
        </w:rPr>
        <w:t>ormulação das amostras</w:t>
      </w:r>
    </w:p>
    <w:p w:rsidR="00844C1C" w:rsidRPr="002D0EC4" w:rsidRDefault="00844C1C" w:rsidP="00844C1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2D0EC4">
        <w:rPr>
          <w:rFonts w:eastAsiaTheme="minorHAnsi"/>
          <w:sz w:val="24"/>
          <w:szCs w:val="24"/>
          <w:lang w:eastAsia="en-US"/>
        </w:rPr>
        <w:t>Foram preparadas três amostras de bolo com concentrações diferentes de soro bubalino, sendo uma amostra padrão F1 com 0% de soro de leite bubalino, uma amostra F2 com substituição parcial da água por soro de leite, constituída de (20g) de água e (150g) de soro, e uma amostra F3 na qual houve substituição total da água pelo soro de 100%.</w:t>
      </w:r>
    </w:p>
    <w:p w:rsidR="00844C1C" w:rsidRPr="002D0EC4" w:rsidRDefault="00844C1C" w:rsidP="00844C1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2D0EC4">
        <w:rPr>
          <w:rFonts w:eastAsiaTheme="minorHAnsi"/>
          <w:sz w:val="24"/>
          <w:szCs w:val="24"/>
          <w:lang w:eastAsia="en-US"/>
        </w:rPr>
        <w:t>Para a</w:t>
      </w:r>
      <w:r w:rsidR="007853CB">
        <w:rPr>
          <w:rFonts w:eastAsiaTheme="minorHAnsi"/>
          <w:sz w:val="24"/>
          <w:szCs w:val="24"/>
          <w:lang w:eastAsia="en-US"/>
        </w:rPr>
        <w:t xml:space="preserve"> formulação da</w:t>
      </w:r>
      <w:r w:rsidRPr="002D0EC4">
        <w:rPr>
          <w:rFonts w:eastAsiaTheme="minorHAnsi"/>
          <w:sz w:val="24"/>
          <w:szCs w:val="24"/>
          <w:lang w:eastAsia="en-US"/>
        </w:rPr>
        <w:t xml:space="preserve"> amostra F1, </w:t>
      </w:r>
      <w:r w:rsidR="007853CB">
        <w:rPr>
          <w:rFonts w:eastAsiaTheme="minorHAnsi"/>
          <w:sz w:val="24"/>
          <w:szCs w:val="24"/>
          <w:lang w:eastAsia="en-US"/>
        </w:rPr>
        <w:t>a priori realizou-se as pesagens dos ingredientes,</w:t>
      </w:r>
      <w:r w:rsidR="006B7638">
        <w:rPr>
          <w:rFonts w:eastAsiaTheme="minorHAnsi"/>
          <w:sz w:val="24"/>
          <w:szCs w:val="24"/>
          <w:lang w:eastAsia="en-US"/>
        </w:rPr>
        <w:t xml:space="preserve"> </w:t>
      </w:r>
      <w:r w:rsidR="00B162CF" w:rsidRPr="00BE733E">
        <w:rPr>
          <w:rFonts w:eastAsiaTheme="minorHAnsi"/>
          <w:sz w:val="24"/>
          <w:szCs w:val="24"/>
          <w:lang w:eastAsia="en-US"/>
        </w:rPr>
        <w:t>e</w:t>
      </w:r>
      <w:r w:rsidRPr="00410FAE">
        <w:rPr>
          <w:rFonts w:eastAsiaTheme="minorHAnsi"/>
          <w:sz w:val="24"/>
          <w:szCs w:val="24"/>
          <w:lang w:eastAsia="en-US"/>
        </w:rPr>
        <w:t xml:space="preserve">m </w:t>
      </w:r>
      <w:r>
        <w:rPr>
          <w:rFonts w:eastAsiaTheme="minorHAnsi"/>
          <w:sz w:val="24"/>
          <w:szCs w:val="24"/>
          <w:lang w:eastAsia="en-US"/>
        </w:rPr>
        <w:t xml:space="preserve">seguida foram adicionados em </w:t>
      </w:r>
      <w:r w:rsidRPr="002D0EC4">
        <w:rPr>
          <w:rFonts w:eastAsiaTheme="minorHAnsi"/>
          <w:sz w:val="24"/>
          <w:szCs w:val="24"/>
          <w:lang w:eastAsia="en-US"/>
        </w:rPr>
        <w:t>uma batedeira</w:t>
      </w:r>
      <w:r w:rsidR="00FA14A5">
        <w:rPr>
          <w:rFonts w:eastAsiaTheme="minorHAnsi"/>
          <w:sz w:val="24"/>
          <w:szCs w:val="24"/>
          <w:lang w:eastAsia="en-US"/>
        </w:rPr>
        <w:t xml:space="preserve"> </w:t>
      </w:r>
      <w:r w:rsidR="00524FF4">
        <w:rPr>
          <w:rFonts w:eastAsiaTheme="minorHAnsi"/>
          <w:sz w:val="24"/>
          <w:szCs w:val="24"/>
          <w:lang w:eastAsia="en-US"/>
        </w:rPr>
        <w:t>(</w:t>
      </w:r>
      <w:r w:rsidR="009E3B3C">
        <w:rPr>
          <w:rFonts w:eastAsiaTheme="minorHAnsi"/>
          <w:sz w:val="24"/>
          <w:szCs w:val="24"/>
          <w:lang w:eastAsia="en-US"/>
        </w:rPr>
        <w:t>Philips Walita</w:t>
      </w:r>
      <w:r w:rsidR="009E3B3C">
        <w:rPr>
          <w:rFonts w:eastAsiaTheme="minorHAnsi"/>
          <w:sz w:val="24"/>
          <w:szCs w:val="24"/>
          <w:vertAlign w:val="superscript"/>
          <w:lang w:eastAsia="en-US"/>
        </w:rPr>
        <w:t>®</w:t>
      </w:r>
      <w:r w:rsidR="00524FF4">
        <w:rPr>
          <w:rFonts w:eastAsiaTheme="minorHAnsi"/>
          <w:sz w:val="24"/>
          <w:szCs w:val="24"/>
          <w:lang w:eastAsia="en-US"/>
        </w:rPr>
        <w:t>)</w:t>
      </w:r>
      <w:r w:rsidRPr="00410FAE">
        <w:rPr>
          <w:rFonts w:eastAsiaTheme="minorHAnsi"/>
          <w:sz w:val="24"/>
          <w:szCs w:val="24"/>
          <w:lang w:eastAsia="en-US"/>
        </w:rPr>
        <w:t>,</w:t>
      </w:r>
      <w:r w:rsidR="006B7638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até a obtenção de</w:t>
      </w:r>
      <w:r w:rsidRPr="002D0EC4">
        <w:rPr>
          <w:rFonts w:eastAsiaTheme="minorHAnsi"/>
          <w:sz w:val="24"/>
          <w:szCs w:val="24"/>
          <w:lang w:eastAsia="en-US"/>
        </w:rPr>
        <w:t xml:space="preserve"> uma massa consi</w:t>
      </w:r>
      <w:r w:rsidR="003E06E4">
        <w:rPr>
          <w:rFonts w:eastAsiaTheme="minorHAnsi"/>
          <w:sz w:val="24"/>
          <w:szCs w:val="24"/>
          <w:lang w:eastAsia="en-US"/>
        </w:rPr>
        <w:t>s</w:t>
      </w:r>
      <w:r w:rsidRPr="002D0EC4">
        <w:rPr>
          <w:rFonts w:eastAsiaTheme="minorHAnsi"/>
          <w:sz w:val="24"/>
          <w:szCs w:val="24"/>
          <w:lang w:eastAsia="en-US"/>
        </w:rPr>
        <w:t>tente e homogênea,</w:t>
      </w:r>
      <w:r w:rsidR="007853CB">
        <w:rPr>
          <w:rFonts w:eastAsiaTheme="minorHAnsi"/>
          <w:sz w:val="24"/>
          <w:szCs w:val="24"/>
          <w:lang w:eastAsia="en-US"/>
        </w:rPr>
        <w:t xml:space="preserve"> e despejado em um</w:t>
      </w:r>
      <w:r w:rsidR="00AB063A">
        <w:rPr>
          <w:rFonts w:eastAsiaTheme="minorHAnsi"/>
          <w:sz w:val="24"/>
          <w:szCs w:val="24"/>
          <w:lang w:eastAsia="en-US"/>
        </w:rPr>
        <w:t xml:space="preserve">a </w:t>
      </w:r>
      <w:r w:rsidRPr="002D0EC4">
        <w:rPr>
          <w:rFonts w:eastAsiaTheme="minorHAnsi"/>
          <w:sz w:val="24"/>
          <w:szCs w:val="24"/>
          <w:lang w:eastAsia="en-US"/>
        </w:rPr>
        <w:t xml:space="preserve">bandeira untada com margarina e trigo e levado ao forno </w:t>
      </w:r>
      <w:r w:rsidR="007107EA">
        <w:rPr>
          <w:rFonts w:eastAsiaTheme="minorHAnsi"/>
          <w:sz w:val="24"/>
          <w:szCs w:val="24"/>
          <w:lang w:eastAsia="en-US"/>
        </w:rPr>
        <w:t xml:space="preserve">em temperatura de </w:t>
      </w:r>
      <w:r w:rsidRPr="002D0EC4">
        <w:rPr>
          <w:rFonts w:eastAsiaTheme="minorHAnsi"/>
          <w:sz w:val="24"/>
          <w:szCs w:val="24"/>
          <w:lang w:eastAsia="en-US"/>
        </w:rPr>
        <w:t>185 °C por 45 min.</w:t>
      </w:r>
    </w:p>
    <w:p w:rsidR="00844C1C" w:rsidRPr="002D0EC4" w:rsidRDefault="00AB063A" w:rsidP="00FB4531">
      <w:pPr>
        <w:autoSpaceDE w:val="0"/>
        <w:autoSpaceDN w:val="0"/>
        <w:adjustRightInd w:val="0"/>
        <w:spacing w:after="24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Com as formaçõesd</w:t>
      </w:r>
      <w:r w:rsidR="00844C1C" w:rsidRPr="002D0EC4">
        <w:rPr>
          <w:rFonts w:eastAsiaTheme="minorHAnsi"/>
          <w:sz w:val="24"/>
          <w:szCs w:val="24"/>
          <w:lang w:eastAsia="en-US"/>
        </w:rPr>
        <w:t>as amostras F2 e F3 seguiu-se o mesmo procedimento, diferindo apenas na quantidade de água, que foi parcial ou totalmente substituído pelo soro</w:t>
      </w:r>
      <w:r w:rsidR="007C5BEC">
        <w:rPr>
          <w:rFonts w:eastAsiaTheme="minorHAnsi"/>
          <w:sz w:val="24"/>
          <w:szCs w:val="24"/>
          <w:lang w:eastAsia="en-US"/>
        </w:rPr>
        <w:t xml:space="preserve"> bubalino</w:t>
      </w:r>
      <w:r w:rsidR="00844C1C" w:rsidRPr="002D0EC4">
        <w:rPr>
          <w:rFonts w:eastAsiaTheme="minorHAnsi"/>
          <w:sz w:val="24"/>
          <w:szCs w:val="24"/>
          <w:lang w:eastAsia="en-US"/>
        </w:rPr>
        <w:t xml:space="preserve">. </w:t>
      </w:r>
      <w:r>
        <w:rPr>
          <w:rFonts w:eastAsiaTheme="minorHAnsi"/>
          <w:sz w:val="24"/>
          <w:szCs w:val="24"/>
          <w:lang w:eastAsia="en-US"/>
        </w:rPr>
        <w:t>Porém, o</w:t>
      </w:r>
      <w:r w:rsidR="00844C1C" w:rsidRPr="002D0EC4">
        <w:rPr>
          <w:rFonts w:eastAsiaTheme="minorHAnsi"/>
          <w:sz w:val="24"/>
          <w:szCs w:val="24"/>
          <w:lang w:eastAsia="en-US"/>
        </w:rPr>
        <w:t xml:space="preserve">s demais ingredientes foram utilizados nas mesmas proporções que </w:t>
      </w:r>
      <w:r w:rsidR="007C5BEC">
        <w:rPr>
          <w:rFonts w:eastAsiaTheme="minorHAnsi"/>
          <w:sz w:val="24"/>
          <w:szCs w:val="24"/>
          <w:lang w:eastAsia="en-US"/>
        </w:rPr>
        <w:t>n</w:t>
      </w:r>
      <w:r w:rsidR="00844C1C" w:rsidRPr="002D0EC4">
        <w:rPr>
          <w:rFonts w:eastAsiaTheme="minorHAnsi"/>
          <w:sz w:val="24"/>
          <w:szCs w:val="24"/>
          <w:lang w:eastAsia="en-US"/>
        </w:rPr>
        <w:t>a amostra F1.</w:t>
      </w:r>
    </w:p>
    <w:p w:rsidR="008B40C9" w:rsidRPr="00D6741E" w:rsidRDefault="00844C1C" w:rsidP="00844C1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55B5E">
        <w:rPr>
          <w:rFonts w:eastAsiaTheme="minorHAnsi"/>
          <w:b/>
          <w:sz w:val="24"/>
          <w:szCs w:val="24"/>
          <w:lang w:eastAsia="en-US"/>
        </w:rPr>
        <w:t>2.3</w:t>
      </w:r>
      <w:r w:rsidR="006B7638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524FF4">
        <w:rPr>
          <w:rFonts w:eastAsiaTheme="minorHAnsi"/>
          <w:b/>
          <w:sz w:val="24"/>
          <w:szCs w:val="24"/>
          <w:lang w:eastAsia="en-US"/>
        </w:rPr>
        <w:t>Análises físico-q</w:t>
      </w:r>
      <w:r w:rsidR="00524FF4" w:rsidRPr="00524FF4">
        <w:rPr>
          <w:rFonts w:eastAsiaTheme="minorHAnsi"/>
          <w:b/>
          <w:sz w:val="24"/>
          <w:szCs w:val="24"/>
          <w:lang w:eastAsia="en-US"/>
        </w:rPr>
        <w:t>uímicas</w:t>
      </w:r>
    </w:p>
    <w:p w:rsidR="00844C1C" w:rsidRPr="00406DF6" w:rsidRDefault="00844C1C" w:rsidP="00844C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44C1C" w:rsidRPr="007109D2" w:rsidRDefault="00844C1C" w:rsidP="00844C1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109D2">
        <w:rPr>
          <w:rFonts w:eastAsiaTheme="minorHAnsi"/>
          <w:sz w:val="24"/>
          <w:szCs w:val="24"/>
          <w:lang w:eastAsia="en-US"/>
        </w:rPr>
        <w:t>Foram realizadas nas amostras de bolo, análises em triplicatas para determinação de</w:t>
      </w:r>
      <w:r w:rsidR="00054185" w:rsidRPr="007109D2">
        <w:rPr>
          <w:rFonts w:eastAsiaTheme="minorHAnsi"/>
          <w:sz w:val="24"/>
          <w:szCs w:val="24"/>
          <w:lang w:eastAsia="en-US"/>
        </w:rPr>
        <w:t>umidade</w:t>
      </w:r>
      <w:r w:rsidRPr="007109D2">
        <w:rPr>
          <w:rFonts w:eastAsiaTheme="minorHAnsi"/>
          <w:sz w:val="24"/>
          <w:szCs w:val="24"/>
          <w:lang w:eastAsia="en-US"/>
        </w:rPr>
        <w:t>, acidez</w:t>
      </w:r>
      <w:r w:rsidR="00054185">
        <w:rPr>
          <w:rFonts w:eastAsiaTheme="minorHAnsi"/>
          <w:sz w:val="24"/>
          <w:szCs w:val="24"/>
          <w:lang w:eastAsia="en-US"/>
        </w:rPr>
        <w:t xml:space="preserve"> e</w:t>
      </w:r>
      <w:r w:rsidR="00054185" w:rsidRPr="007109D2">
        <w:rPr>
          <w:rFonts w:eastAsiaTheme="minorHAnsi"/>
          <w:sz w:val="24"/>
          <w:szCs w:val="24"/>
          <w:lang w:eastAsia="en-US"/>
        </w:rPr>
        <w:t>pH</w:t>
      </w:r>
      <w:r w:rsidRPr="007109D2">
        <w:rPr>
          <w:rFonts w:eastAsiaTheme="minorHAnsi"/>
          <w:sz w:val="24"/>
          <w:szCs w:val="24"/>
          <w:lang w:eastAsia="en-US"/>
        </w:rPr>
        <w:t xml:space="preserve">, seguindo-se as normas analíticas do Instituto Adolfo Lutz </w:t>
      </w:r>
      <w:r w:rsidRPr="007109D2">
        <w:rPr>
          <w:rFonts w:eastAsiaTheme="minorHAnsi"/>
          <w:color w:val="000000" w:themeColor="text1"/>
          <w:sz w:val="24"/>
          <w:szCs w:val="24"/>
          <w:lang w:eastAsia="en-US"/>
        </w:rPr>
        <w:t>(INSTITUTO ADOLFO LUTZ, 2008).</w:t>
      </w:r>
    </w:p>
    <w:p w:rsidR="00FB4531" w:rsidRDefault="00FB4531" w:rsidP="00844C1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949C8" w:rsidRPr="00D6741E" w:rsidRDefault="00844C1C" w:rsidP="00844C1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55B5E">
        <w:rPr>
          <w:rFonts w:eastAsiaTheme="minorHAnsi"/>
          <w:b/>
          <w:sz w:val="24"/>
          <w:szCs w:val="24"/>
          <w:lang w:eastAsia="en-US"/>
        </w:rPr>
        <w:t xml:space="preserve">2.4 </w:t>
      </w:r>
      <w:r w:rsidR="00524FF4" w:rsidRPr="00524FF4">
        <w:rPr>
          <w:rFonts w:eastAsiaTheme="minorHAnsi"/>
          <w:b/>
          <w:sz w:val="24"/>
          <w:szCs w:val="24"/>
          <w:lang w:eastAsia="en-US"/>
        </w:rPr>
        <w:t>Análise Sensorial</w:t>
      </w:r>
    </w:p>
    <w:p w:rsidR="00844C1C" w:rsidRPr="00D6741E" w:rsidRDefault="00844C1C" w:rsidP="00BE733E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</w:p>
    <w:p w:rsidR="0012462E" w:rsidRPr="00B637F1" w:rsidRDefault="002C1E48" w:rsidP="00B637F1">
      <w:pPr>
        <w:autoSpaceDE w:val="0"/>
        <w:autoSpaceDN w:val="0"/>
        <w:adjustRightInd w:val="0"/>
        <w:spacing w:after="24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Para avaliação da</w:t>
      </w:r>
      <w:r w:rsidR="00524FF4">
        <w:rPr>
          <w:rFonts w:eastAsiaTheme="minorHAnsi"/>
          <w:sz w:val="24"/>
          <w:szCs w:val="24"/>
          <w:lang w:eastAsia="en-US"/>
        </w:rPr>
        <w:t>s características sensoriais</w:t>
      </w:r>
      <w:r>
        <w:rPr>
          <w:rFonts w:eastAsiaTheme="minorHAnsi"/>
          <w:sz w:val="24"/>
          <w:szCs w:val="24"/>
          <w:lang w:eastAsia="en-US"/>
        </w:rPr>
        <w:t xml:space="preserve"> do bolo com diferentes concentrações de soro, as formulações </w:t>
      </w:r>
      <w:r w:rsidR="008601DD">
        <w:rPr>
          <w:rFonts w:eastAsiaTheme="minorHAnsi"/>
          <w:sz w:val="24"/>
          <w:szCs w:val="24"/>
          <w:lang w:eastAsia="en-US"/>
        </w:rPr>
        <w:t xml:space="preserve">F1, F2 e F3 </w:t>
      </w:r>
      <w:r>
        <w:rPr>
          <w:rFonts w:eastAsiaTheme="minorHAnsi"/>
          <w:sz w:val="24"/>
          <w:szCs w:val="24"/>
          <w:lang w:eastAsia="en-US"/>
        </w:rPr>
        <w:t xml:space="preserve">foram </w:t>
      </w:r>
      <w:r w:rsidR="00844C1C" w:rsidRPr="00891BC9">
        <w:rPr>
          <w:rFonts w:eastAsiaTheme="minorHAnsi"/>
          <w:sz w:val="24"/>
          <w:szCs w:val="24"/>
          <w:lang w:eastAsia="en-US"/>
        </w:rPr>
        <w:t>avaliad</w:t>
      </w:r>
      <w:r>
        <w:rPr>
          <w:rFonts w:eastAsiaTheme="minorHAnsi"/>
          <w:sz w:val="24"/>
          <w:szCs w:val="24"/>
          <w:lang w:eastAsia="en-US"/>
        </w:rPr>
        <w:t xml:space="preserve">as </w:t>
      </w:r>
      <w:r w:rsidR="00844C1C" w:rsidRPr="00891BC9">
        <w:rPr>
          <w:rFonts w:eastAsiaTheme="minorHAnsi"/>
          <w:sz w:val="24"/>
          <w:szCs w:val="24"/>
          <w:lang w:eastAsia="en-US"/>
        </w:rPr>
        <w:t xml:space="preserve">por </w:t>
      </w:r>
      <w:r w:rsidR="007C5BEC">
        <w:rPr>
          <w:rFonts w:eastAsiaTheme="minorHAnsi"/>
          <w:sz w:val="24"/>
          <w:szCs w:val="24"/>
          <w:lang w:eastAsia="en-US"/>
        </w:rPr>
        <w:t>teste de aceitação</w:t>
      </w:r>
      <w:r w:rsidR="00844C1C" w:rsidRPr="00891BC9">
        <w:rPr>
          <w:rFonts w:eastAsiaTheme="minorHAnsi"/>
          <w:sz w:val="24"/>
          <w:szCs w:val="24"/>
          <w:lang w:eastAsia="en-US"/>
        </w:rPr>
        <w:t>, realizado com 60 julgadores não treinados de ambos os sexos</w:t>
      </w:r>
      <w:r w:rsidR="00524FF4">
        <w:rPr>
          <w:rFonts w:eastAsiaTheme="minorHAnsi"/>
          <w:sz w:val="24"/>
          <w:szCs w:val="24"/>
          <w:lang w:eastAsia="en-US"/>
        </w:rPr>
        <w:t>maiores de 18 de anos</w:t>
      </w:r>
      <w:r w:rsidR="00844C1C" w:rsidRPr="00891BC9">
        <w:rPr>
          <w:rFonts w:eastAsiaTheme="minorHAnsi"/>
          <w:sz w:val="24"/>
          <w:szCs w:val="24"/>
          <w:lang w:eastAsia="en-US"/>
        </w:rPr>
        <w:t xml:space="preserve">, todos consumidores de bolos, escolhidos </w:t>
      </w:r>
      <w:r w:rsidR="007C7639" w:rsidRPr="00891BC9">
        <w:rPr>
          <w:rFonts w:eastAsiaTheme="minorHAnsi"/>
          <w:sz w:val="24"/>
          <w:szCs w:val="24"/>
          <w:lang w:eastAsia="en-US"/>
        </w:rPr>
        <w:t>aleatoria</w:t>
      </w:r>
      <w:r w:rsidR="007C7639">
        <w:rPr>
          <w:rFonts w:eastAsiaTheme="minorHAnsi"/>
          <w:sz w:val="24"/>
          <w:szCs w:val="24"/>
          <w:lang w:eastAsia="en-US"/>
        </w:rPr>
        <w:t>mente.</w:t>
      </w:r>
      <w:r w:rsidR="006B7638">
        <w:rPr>
          <w:rFonts w:eastAsiaTheme="minorHAnsi"/>
          <w:sz w:val="24"/>
          <w:szCs w:val="24"/>
          <w:lang w:eastAsia="en-US"/>
        </w:rPr>
        <w:t xml:space="preserve"> </w:t>
      </w:r>
      <w:r w:rsidR="007C7639">
        <w:rPr>
          <w:rFonts w:eastAsiaTheme="minorHAnsi"/>
          <w:sz w:val="24"/>
          <w:szCs w:val="24"/>
          <w:lang w:eastAsia="en-US"/>
        </w:rPr>
        <w:t>E</w:t>
      </w:r>
      <w:r w:rsidR="00844C1C" w:rsidRPr="00891BC9">
        <w:rPr>
          <w:rFonts w:eastAsiaTheme="minorHAnsi"/>
          <w:sz w:val="24"/>
          <w:szCs w:val="24"/>
          <w:lang w:eastAsia="en-US"/>
        </w:rPr>
        <w:t>stes receberam três amostras em pratos brancos codificados com três dígitos e um copo de água</w:t>
      </w:r>
      <w:r w:rsidR="00B36C1D">
        <w:rPr>
          <w:rFonts w:eastAsiaTheme="minorHAnsi"/>
          <w:sz w:val="24"/>
          <w:szCs w:val="24"/>
          <w:lang w:eastAsia="en-US"/>
        </w:rPr>
        <w:t xml:space="preserve"> em</w:t>
      </w:r>
      <w:r w:rsidR="00844C1C" w:rsidRPr="00891BC9">
        <w:rPr>
          <w:rFonts w:eastAsiaTheme="minorHAnsi"/>
          <w:sz w:val="24"/>
          <w:szCs w:val="24"/>
          <w:lang w:eastAsia="en-US"/>
        </w:rPr>
        <w:t xml:space="preserve"> temperatura ambiente</w:t>
      </w:r>
      <w:r w:rsidR="004A1254">
        <w:rPr>
          <w:rFonts w:eastAsiaTheme="minorHAnsi"/>
          <w:sz w:val="24"/>
          <w:szCs w:val="24"/>
          <w:lang w:eastAsia="en-US"/>
        </w:rPr>
        <w:t>,</w:t>
      </w:r>
      <w:r w:rsidR="00844C1C" w:rsidRPr="00891BC9">
        <w:rPr>
          <w:rFonts w:eastAsiaTheme="minorHAnsi"/>
          <w:sz w:val="24"/>
          <w:szCs w:val="24"/>
          <w:lang w:eastAsia="en-US"/>
        </w:rPr>
        <w:t xml:space="preserve"> sendo </w:t>
      </w:r>
      <w:r w:rsidR="00524FF4" w:rsidRPr="00891BC9">
        <w:rPr>
          <w:rFonts w:eastAsiaTheme="minorHAnsi"/>
          <w:sz w:val="24"/>
          <w:szCs w:val="24"/>
          <w:lang w:eastAsia="en-US"/>
        </w:rPr>
        <w:t xml:space="preserve">recomendado o consumo da água no intervalo de cada </w:t>
      </w:r>
      <w:r w:rsidR="006B7638" w:rsidRPr="00891BC9">
        <w:rPr>
          <w:rFonts w:eastAsiaTheme="minorHAnsi"/>
          <w:sz w:val="24"/>
          <w:szCs w:val="24"/>
          <w:lang w:eastAsia="en-US"/>
        </w:rPr>
        <w:t xml:space="preserve">amostra. </w:t>
      </w:r>
      <w:r w:rsidR="00844C1C" w:rsidRPr="00891BC9">
        <w:rPr>
          <w:rFonts w:eastAsiaTheme="minorHAnsi"/>
          <w:sz w:val="24"/>
          <w:szCs w:val="24"/>
          <w:lang w:eastAsia="en-US"/>
        </w:rPr>
        <w:t>Utilizou-se o teste de escala hedônica est</w:t>
      </w:r>
      <w:r w:rsidR="00524FF4">
        <w:rPr>
          <w:rFonts w:eastAsiaTheme="minorHAnsi"/>
          <w:sz w:val="24"/>
          <w:szCs w:val="24"/>
          <w:lang w:eastAsia="en-US"/>
        </w:rPr>
        <w:t xml:space="preserve">ruturada com pontuação de 1 a 9 </w:t>
      </w:r>
      <w:r w:rsidR="00844C1C" w:rsidRPr="00891BC9">
        <w:rPr>
          <w:rFonts w:eastAsiaTheme="minorHAnsi"/>
          <w:sz w:val="24"/>
          <w:szCs w:val="24"/>
          <w:lang w:eastAsia="en-US"/>
        </w:rPr>
        <w:t xml:space="preserve">com extremos que correspondiam, respectivamente, a “desgostei extremamente” e “gostei extremamente”, para os atributos aparência, aroma, sabor e textura, </w:t>
      </w:r>
      <w:r w:rsidR="004A1254">
        <w:rPr>
          <w:rFonts w:eastAsiaTheme="minorHAnsi"/>
          <w:sz w:val="24"/>
          <w:szCs w:val="24"/>
          <w:lang w:eastAsia="en-US"/>
        </w:rPr>
        <w:t>i</w:t>
      </w:r>
      <w:r w:rsidR="00844C1C" w:rsidRPr="00891BC9">
        <w:rPr>
          <w:rFonts w:eastAsiaTheme="minorHAnsi"/>
          <w:sz w:val="24"/>
          <w:szCs w:val="24"/>
          <w:lang w:eastAsia="en-US"/>
        </w:rPr>
        <w:t>mpressão global</w:t>
      </w:r>
      <w:r w:rsidR="004A1254">
        <w:rPr>
          <w:rFonts w:eastAsiaTheme="minorHAnsi"/>
          <w:sz w:val="24"/>
          <w:szCs w:val="24"/>
          <w:lang w:eastAsia="en-US"/>
        </w:rPr>
        <w:t>, além da</w:t>
      </w:r>
      <w:r w:rsidR="00844C1C" w:rsidRPr="00891BC9">
        <w:rPr>
          <w:rFonts w:eastAsiaTheme="minorHAnsi"/>
          <w:sz w:val="24"/>
          <w:szCs w:val="24"/>
          <w:lang w:eastAsia="en-US"/>
        </w:rPr>
        <w:t xml:space="preserve"> intenção de compra.</w:t>
      </w:r>
    </w:p>
    <w:p w:rsidR="00330211" w:rsidRDefault="0012462E" w:rsidP="00524FF4">
      <w:pPr>
        <w:tabs>
          <w:tab w:val="left" w:pos="1290"/>
        </w:tabs>
        <w:spacing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001E41">
        <w:rPr>
          <w:b/>
          <w:sz w:val="24"/>
          <w:szCs w:val="24"/>
        </w:rPr>
        <w:t>RESULTADOS E DISCUSSÃO</w:t>
      </w:r>
    </w:p>
    <w:p w:rsidR="00EE0703" w:rsidRPr="00BE733E" w:rsidRDefault="009B265C" w:rsidP="006A6B36">
      <w:pPr>
        <w:tabs>
          <w:tab w:val="left" w:pos="851"/>
        </w:tabs>
        <w:spacing w:line="360" w:lineRule="auto"/>
        <w:jc w:val="both"/>
        <w:rPr>
          <w:rFonts w:cs="Helvetica"/>
          <w:color w:val="000000"/>
          <w:sz w:val="24"/>
          <w:szCs w:val="24"/>
        </w:rPr>
      </w:pPr>
      <w:r>
        <w:rPr>
          <w:rFonts w:cs="Helvetica"/>
          <w:color w:val="000000"/>
          <w:sz w:val="24"/>
          <w:szCs w:val="24"/>
        </w:rPr>
        <w:tab/>
      </w:r>
      <w:r w:rsidR="00524FF4">
        <w:rPr>
          <w:rFonts w:cs="Helvetica"/>
          <w:color w:val="000000"/>
          <w:sz w:val="24"/>
          <w:szCs w:val="24"/>
        </w:rPr>
        <w:t>Na</w:t>
      </w:r>
      <w:r w:rsidR="00277A81" w:rsidRPr="00BE733E">
        <w:rPr>
          <w:rFonts w:cs="Helvetica"/>
          <w:color w:val="000000"/>
          <w:sz w:val="24"/>
          <w:szCs w:val="24"/>
        </w:rPr>
        <w:t xml:space="preserve"> Tabela 2 </w:t>
      </w:r>
      <w:r w:rsidR="006A6B36">
        <w:rPr>
          <w:rFonts w:cs="Helvetica"/>
          <w:color w:val="000000"/>
          <w:sz w:val="24"/>
          <w:szCs w:val="24"/>
        </w:rPr>
        <w:t xml:space="preserve">são </w:t>
      </w:r>
      <w:r w:rsidR="00277A81" w:rsidRPr="00BE733E">
        <w:rPr>
          <w:rFonts w:cs="Helvetica"/>
          <w:color w:val="000000"/>
          <w:sz w:val="24"/>
          <w:szCs w:val="24"/>
        </w:rPr>
        <w:t>apresenta</w:t>
      </w:r>
      <w:r w:rsidR="006A6B36">
        <w:rPr>
          <w:rFonts w:cs="Helvetica"/>
          <w:color w:val="000000"/>
          <w:sz w:val="24"/>
          <w:szCs w:val="24"/>
        </w:rPr>
        <w:t>dos</w:t>
      </w:r>
      <w:r w:rsidR="00277A81" w:rsidRPr="00BE733E">
        <w:rPr>
          <w:rFonts w:cs="Helvetica"/>
          <w:color w:val="000000"/>
          <w:sz w:val="24"/>
          <w:szCs w:val="24"/>
        </w:rPr>
        <w:t xml:space="preserve"> os resultados das análises físico-</w:t>
      </w:r>
      <w:r w:rsidR="00EE0703" w:rsidRPr="00BE733E">
        <w:rPr>
          <w:rFonts w:cs="Helvetica"/>
          <w:color w:val="000000"/>
          <w:sz w:val="24"/>
          <w:szCs w:val="24"/>
        </w:rPr>
        <w:t>químicas para os bolo</w:t>
      </w:r>
      <w:r w:rsidR="006A6B36">
        <w:rPr>
          <w:rFonts w:cs="Helvetica"/>
          <w:color w:val="000000"/>
          <w:sz w:val="24"/>
          <w:szCs w:val="24"/>
        </w:rPr>
        <w:t>s.</w:t>
      </w:r>
    </w:p>
    <w:p w:rsidR="00330211" w:rsidRDefault="00F140BE" w:rsidP="006A6B36">
      <w:pPr>
        <w:tabs>
          <w:tab w:val="left" w:pos="1290"/>
        </w:tabs>
        <w:jc w:val="both"/>
        <w:rPr>
          <w:b/>
          <w:sz w:val="24"/>
          <w:szCs w:val="24"/>
        </w:rPr>
      </w:pPr>
      <w:r w:rsidRPr="00F140BE">
        <w:rPr>
          <w:bCs/>
          <w:color w:val="000000"/>
          <w:sz w:val="22"/>
          <w:szCs w:val="22"/>
        </w:rPr>
        <w:t>Tabela 2</w:t>
      </w:r>
      <w:r w:rsidR="00161786">
        <w:rPr>
          <w:b/>
          <w:bCs/>
          <w:color w:val="000000"/>
          <w:sz w:val="22"/>
          <w:szCs w:val="22"/>
        </w:rPr>
        <w:t xml:space="preserve">- </w:t>
      </w:r>
      <w:r w:rsidR="00330211" w:rsidRPr="00587874">
        <w:rPr>
          <w:color w:val="000000"/>
          <w:sz w:val="22"/>
          <w:szCs w:val="24"/>
        </w:rPr>
        <w:t>Análises físico-químicas de bolo com adição de soro de leite</w:t>
      </w:r>
      <w:r w:rsidR="00330211">
        <w:rPr>
          <w:color w:val="000000"/>
          <w:sz w:val="22"/>
          <w:szCs w:val="24"/>
        </w:rPr>
        <w:t>.</w:t>
      </w:r>
    </w:p>
    <w:tbl>
      <w:tblPr>
        <w:tblW w:w="8513" w:type="dxa"/>
        <w:jc w:val="center"/>
        <w:tblCellMar>
          <w:left w:w="70" w:type="dxa"/>
          <w:right w:w="70" w:type="dxa"/>
        </w:tblCellMar>
        <w:tblLook w:val="04A0"/>
      </w:tblPr>
      <w:tblGrid>
        <w:gridCol w:w="2243"/>
        <w:gridCol w:w="2154"/>
        <w:gridCol w:w="1945"/>
        <w:gridCol w:w="2171"/>
      </w:tblGrid>
      <w:tr w:rsidR="00330211" w:rsidRPr="00F91F5A" w:rsidTr="006A6B36">
        <w:trPr>
          <w:trHeight w:val="465"/>
          <w:jc w:val="center"/>
        </w:trPr>
        <w:tc>
          <w:tcPr>
            <w:tcW w:w="22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211" w:rsidRPr="00587874" w:rsidRDefault="00330211" w:rsidP="00CB40AF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587874">
              <w:rPr>
                <w:b/>
                <w:color w:val="000000"/>
                <w:sz w:val="22"/>
                <w:szCs w:val="24"/>
              </w:rPr>
              <w:t>Formulações</w:t>
            </w:r>
          </w:p>
        </w:tc>
        <w:tc>
          <w:tcPr>
            <w:tcW w:w="2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211" w:rsidRPr="00587874" w:rsidRDefault="00330211" w:rsidP="00CB40AF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587874">
              <w:rPr>
                <w:b/>
                <w:color w:val="000000"/>
                <w:sz w:val="22"/>
                <w:szCs w:val="24"/>
              </w:rPr>
              <w:t>Umidade (%)</w:t>
            </w:r>
          </w:p>
        </w:tc>
        <w:tc>
          <w:tcPr>
            <w:tcW w:w="19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211" w:rsidRPr="00587874" w:rsidRDefault="00330211" w:rsidP="00CB40AF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587874">
              <w:rPr>
                <w:b/>
                <w:color w:val="000000"/>
                <w:sz w:val="22"/>
                <w:szCs w:val="24"/>
              </w:rPr>
              <w:t>Acidez Total Titulável (%)</w:t>
            </w:r>
          </w:p>
        </w:tc>
        <w:tc>
          <w:tcPr>
            <w:tcW w:w="21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211" w:rsidRPr="00587874" w:rsidRDefault="00330211" w:rsidP="00CB40AF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587874">
              <w:rPr>
                <w:b/>
                <w:color w:val="000000"/>
                <w:sz w:val="22"/>
                <w:szCs w:val="24"/>
              </w:rPr>
              <w:t>pH</w:t>
            </w:r>
          </w:p>
        </w:tc>
      </w:tr>
      <w:tr w:rsidR="00330211" w:rsidRPr="00F91F5A" w:rsidTr="006A6B36">
        <w:trPr>
          <w:trHeight w:val="489"/>
          <w:jc w:val="center"/>
        </w:trPr>
        <w:tc>
          <w:tcPr>
            <w:tcW w:w="22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211" w:rsidRPr="00587874" w:rsidRDefault="00330211" w:rsidP="00CB40AF">
            <w:pPr>
              <w:rPr>
                <w:b/>
                <w:color w:val="000000"/>
                <w:sz w:val="22"/>
                <w:szCs w:val="24"/>
              </w:rPr>
            </w:pPr>
            <w:r w:rsidRPr="00587874">
              <w:rPr>
                <w:b/>
                <w:color w:val="000000"/>
                <w:sz w:val="22"/>
                <w:szCs w:val="24"/>
              </w:rPr>
              <w:t>F1</w:t>
            </w:r>
          </w:p>
        </w:tc>
        <w:tc>
          <w:tcPr>
            <w:tcW w:w="21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211" w:rsidRPr="00587874" w:rsidRDefault="00330211" w:rsidP="00CB40AF">
            <w:pPr>
              <w:jc w:val="center"/>
              <w:rPr>
                <w:color w:val="000000"/>
                <w:sz w:val="22"/>
                <w:szCs w:val="24"/>
              </w:rPr>
            </w:pPr>
            <w:r w:rsidRPr="00587874">
              <w:rPr>
                <w:color w:val="000000"/>
                <w:sz w:val="22"/>
                <w:szCs w:val="24"/>
              </w:rPr>
              <w:t>21,03 ± 1,54</w:t>
            </w:r>
          </w:p>
        </w:tc>
        <w:tc>
          <w:tcPr>
            <w:tcW w:w="194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211" w:rsidRPr="00587874" w:rsidRDefault="00330211" w:rsidP="00CB40AF">
            <w:pPr>
              <w:jc w:val="center"/>
              <w:rPr>
                <w:color w:val="000000"/>
                <w:sz w:val="22"/>
                <w:szCs w:val="24"/>
              </w:rPr>
            </w:pPr>
            <w:r w:rsidRPr="00587874">
              <w:rPr>
                <w:color w:val="000000"/>
                <w:sz w:val="22"/>
                <w:szCs w:val="24"/>
              </w:rPr>
              <w:t>1,51 ± 0,11</w:t>
            </w:r>
          </w:p>
        </w:tc>
        <w:tc>
          <w:tcPr>
            <w:tcW w:w="21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211" w:rsidRPr="00587874" w:rsidRDefault="00330211" w:rsidP="00CB40AF">
            <w:pPr>
              <w:jc w:val="center"/>
              <w:rPr>
                <w:color w:val="000000"/>
                <w:sz w:val="22"/>
                <w:szCs w:val="24"/>
              </w:rPr>
            </w:pPr>
            <w:r w:rsidRPr="00587874">
              <w:rPr>
                <w:color w:val="000000"/>
                <w:sz w:val="22"/>
                <w:szCs w:val="24"/>
              </w:rPr>
              <w:t>7,09 ± 0,02</w:t>
            </w:r>
          </w:p>
        </w:tc>
      </w:tr>
      <w:tr w:rsidR="00330211" w:rsidRPr="00F91F5A" w:rsidTr="006A6B36">
        <w:trPr>
          <w:trHeight w:val="489"/>
          <w:jc w:val="center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211" w:rsidRPr="00587874" w:rsidRDefault="00330211" w:rsidP="00CB40AF">
            <w:pPr>
              <w:rPr>
                <w:b/>
                <w:color w:val="000000"/>
                <w:sz w:val="22"/>
                <w:szCs w:val="24"/>
              </w:rPr>
            </w:pPr>
            <w:r w:rsidRPr="00587874">
              <w:rPr>
                <w:b/>
                <w:color w:val="000000"/>
                <w:sz w:val="22"/>
                <w:szCs w:val="24"/>
              </w:rPr>
              <w:t>F2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211" w:rsidRPr="00587874" w:rsidRDefault="00330211" w:rsidP="00DC6C06">
            <w:pPr>
              <w:jc w:val="center"/>
              <w:rPr>
                <w:color w:val="000000"/>
                <w:sz w:val="22"/>
                <w:szCs w:val="24"/>
              </w:rPr>
            </w:pPr>
            <w:r w:rsidRPr="00587874">
              <w:rPr>
                <w:color w:val="000000"/>
                <w:sz w:val="22"/>
                <w:szCs w:val="24"/>
              </w:rPr>
              <w:t>24,80 ± 1,13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211" w:rsidRPr="00587874" w:rsidRDefault="00330211" w:rsidP="00CB40AF">
            <w:pPr>
              <w:jc w:val="center"/>
              <w:rPr>
                <w:color w:val="000000"/>
                <w:sz w:val="22"/>
                <w:szCs w:val="24"/>
              </w:rPr>
            </w:pPr>
            <w:r w:rsidRPr="00587874">
              <w:rPr>
                <w:color w:val="000000"/>
                <w:sz w:val="22"/>
                <w:szCs w:val="24"/>
              </w:rPr>
              <w:t>2,30 ± 0,30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211" w:rsidRPr="00587874" w:rsidRDefault="00330211" w:rsidP="00CB40AF">
            <w:pPr>
              <w:jc w:val="center"/>
              <w:rPr>
                <w:color w:val="000000"/>
                <w:sz w:val="22"/>
                <w:szCs w:val="24"/>
              </w:rPr>
            </w:pPr>
            <w:r w:rsidRPr="00587874">
              <w:rPr>
                <w:color w:val="000000"/>
                <w:sz w:val="22"/>
                <w:szCs w:val="24"/>
              </w:rPr>
              <w:t>7,05 ± 0,01</w:t>
            </w:r>
          </w:p>
        </w:tc>
      </w:tr>
      <w:tr w:rsidR="00330211" w:rsidRPr="00F91F5A" w:rsidTr="006A6B36">
        <w:trPr>
          <w:trHeight w:val="489"/>
          <w:jc w:val="center"/>
        </w:trPr>
        <w:tc>
          <w:tcPr>
            <w:tcW w:w="22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211" w:rsidRPr="00587874" w:rsidRDefault="00330211" w:rsidP="00CB40AF">
            <w:pPr>
              <w:rPr>
                <w:b/>
                <w:color w:val="000000"/>
                <w:sz w:val="22"/>
                <w:szCs w:val="24"/>
              </w:rPr>
            </w:pPr>
            <w:r w:rsidRPr="00587874">
              <w:rPr>
                <w:b/>
                <w:color w:val="000000"/>
                <w:sz w:val="22"/>
                <w:szCs w:val="24"/>
              </w:rPr>
              <w:t>F3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211" w:rsidRPr="00587874" w:rsidRDefault="00330211" w:rsidP="00CB40AF">
            <w:pPr>
              <w:jc w:val="center"/>
              <w:rPr>
                <w:color w:val="000000"/>
                <w:sz w:val="22"/>
                <w:szCs w:val="24"/>
              </w:rPr>
            </w:pPr>
            <w:r w:rsidRPr="00587874">
              <w:rPr>
                <w:color w:val="000000"/>
                <w:sz w:val="22"/>
                <w:szCs w:val="24"/>
              </w:rPr>
              <w:t>27,30 ± 1,41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211" w:rsidRPr="00587874" w:rsidRDefault="00330211" w:rsidP="00CB40AF">
            <w:pPr>
              <w:jc w:val="center"/>
              <w:rPr>
                <w:color w:val="000000"/>
                <w:sz w:val="22"/>
                <w:szCs w:val="24"/>
              </w:rPr>
            </w:pPr>
            <w:r w:rsidRPr="00587874">
              <w:rPr>
                <w:color w:val="000000"/>
                <w:sz w:val="22"/>
                <w:szCs w:val="24"/>
              </w:rPr>
              <w:t>2,63 ± 0,30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211" w:rsidRPr="00587874" w:rsidRDefault="00330211" w:rsidP="00CB40AF">
            <w:pPr>
              <w:jc w:val="center"/>
              <w:rPr>
                <w:color w:val="000000"/>
                <w:sz w:val="22"/>
                <w:szCs w:val="24"/>
              </w:rPr>
            </w:pPr>
            <w:r w:rsidRPr="00587874">
              <w:rPr>
                <w:color w:val="000000"/>
                <w:sz w:val="22"/>
                <w:szCs w:val="24"/>
              </w:rPr>
              <w:t>7,00 ± 0,04</w:t>
            </w:r>
          </w:p>
        </w:tc>
      </w:tr>
    </w:tbl>
    <w:p w:rsidR="00D81A7B" w:rsidRPr="002E651A" w:rsidRDefault="006A6B36" w:rsidP="006A6B36">
      <w:pPr>
        <w:tabs>
          <w:tab w:val="left" w:pos="1290"/>
        </w:tabs>
        <w:jc w:val="center"/>
        <w:rPr>
          <w:b/>
          <w:color w:val="FF0000"/>
          <w:sz w:val="24"/>
          <w:szCs w:val="24"/>
        </w:rPr>
      </w:pPr>
      <w:r>
        <w:rPr>
          <w:sz w:val="22"/>
          <w:szCs w:val="22"/>
        </w:rPr>
        <w:t>Fonte: Autores (2018</w:t>
      </w:r>
      <w:r w:rsidR="00330211">
        <w:rPr>
          <w:sz w:val="22"/>
          <w:szCs w:val="22"/>
        </w:rPr>
        <w:t>)</w:t>
      </w:r>
      <w:r w:rsidR="00330211" w:rsidRPr="00D13969">
        <w:rPr>
          <w:sz w:val="22"/>
          <w:szCs w:val="22"/>
        </w:rPr>
        <w:t>.</w:t>
      </w:r>
    </w:p>
    <w:p w:rsidR="006A6B36" w:rsidRDefault="006F431A" w:rsidP="00BE733E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A4CAA" w:rsidRPr="00405CCF" w:rsidRDefault="006A6B36" w:rsidP="00BE733E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1786">
        <w:rPr>
          <w:sz w:val="24"/>
          <w:szCs w:val="24"/>
        </w:rPr>
        <w:t>O</w:t>
      </w:r>
      <w:r w:rsidR="00EA4CAA" w:rsidRPr="00405CCF">
        <w:rPr>
          <w:sz w:val="24"/>
          <w:szCs w:val="24"/>
        </w:rPr>
        <w:t xml:space="preserve">s valores </w:t>
      </w:r>
      <w:r w:rsidR="00161786">
        <w:rPr>
          <w:sz w:val="24"/>
          <w:szCs w:val="24"/>
        </w:rPr>
        <w:t xml:space="preserve">de umidade </w:t>
      </w:r>
      <w:r w:rsidR="00EA4CAA" w:rsidRPr="00405CCF">
        <w:rPr>
          <w:sz w:val="24"/>
          <w:szCs w:val="24"/>
        </w:rPr>
        <w:t>obtidos</w:t>
      </w:r>
      <w:r w:rsidR="00161786">
        <w:rPr>
          <w:sz w:val="24"/>
          <w:szCs w:val="24"/>
        </w:rPr>
        <w:t xml:space="preserve"> no presente estudo</w:t>
      </w:r>
      <w:r w:rsidR="00EA4CAA" w:rsidRPr="00405CCF">
        <w:rPr>
          <w:sz w:val="24"/>
          <w:szCs w:val="24"/>
        </w:rPr>
        <w:t xml:space="preserve"> mostram-se inferiores quando comparado com os resultados de</w:t>
      </w:r>
      <w:r w:rsidR="00567758" w:rsidRPr="00405CCF">
        <w:rPr>
          <w:sz w:val="24"/>
          <w:szCs w:val="24"/>
        </w:rPr>
        <w:t xml:space="preserve"> Soares et al. (2018)</w:t>
      </w:r>
      <w:r w:rsidR="00161786">
        <w:rPr>
          <w:sz w:val="24"/>
          <w:szCs w:val="24"/>
        </w:rPr>
        <w:t>,</w:t>
      </w:r>
      <w:r w:rsidR="00567758" w:rsidRPr="00405CCF">
        <w:rPr>
          <w:sz w:val="24"/>
          <w:szCs w:val="24"/>
        </w:rPr>
        <w:t xml:space="preserve"> que apresentaram valores de </w:t>
      </w:r>
      <w:r w:rsidR="00567758" w:rsidRPr="00B2281F">
        <w:rPr>
          <w:sz w:val="24"/>
          <w:szCs w:val="24"/>
        </w:rPr>
        <w:t>57,62</w:t>
      </w:r>
      <w:r w:rsidR="006B7638">
        <w:rPr>
          <w:sz w:val="24"/>
          <w:szCs w:val="24"/>
        </w:rPr>
        <w:t xml:space="preserve"> </w:t>
      </w:r>
      <w:r w:rsidR="00161786">
        <w:rPr>
          <w:sz w:val="24"/>
          <w:szCs w:val="24"/>
        </w:rPr>
        <w:t>%</w:t>
      </w:r>
      <w:r w:rsidR="00EA4CAA" w:rsidRPr="00405CCF">
        <w:rPr>
          <w:sz w:val="24"/>
          <w:szCs w:val="24"/>
        </w:rPr>
        <w:t xml:space="preserve"> para </w:t>
      </w:r>
      <w:r w:rsidR="00567758" w:rsidRPr="00405CCF">
        <w:rPr>
          <w:sz w:val="24"/>
          <w:szCs w:val="24"/>
        </w:rPr>
        <w:t>bolos elaborados da proteína do soro do leite</w:t>
      </w:r>
      <w:r w:rsidR="00062909" w:rsidRPr="00405CCF">
        <w:rPr>
          <w:sz w:val="24"/>
          <w:szCs w:val="24"/>
        </w:rPr>
        <w:t>.</w:t>
      </w:r>
    </w:p>
    <w:p w:rsidR="007D2B87" w:rsidRDefault="00836BB5" w:rsidP="00BE733E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405CCF">
        <w:rPr>
          <w:sz w:val="24"/>
          <w:szCs w:val="24"/>
        </w:rPr>
        <w:tab/>
        <w:t>P</w:t>
      </w:r>
      <w:r w:rsidR="00423752" w:rsidRPr="00405CCF">
        <w:rPr>
          <w:sz w:val="24"/>
          <w:szCs w:val="24"/>
        </w:rPr>
        <w:t xml:space="preserve">ara o parâmetro acidez total titulável, </w:t>
      </w:r>
      <w:r w:rsidRPr="00405CCF">
        <w:rPr>
          <w:sz w:val="24"/>
          <w:szCs w:val="24"/>
        </w:rPr>
        <w:t>ocorreu o me</w:t>
      </w:r>
      <w:r w:rsidR="008F4782" w:rsidRPr="00405CCF">
        <w:rPr>
          <w:sz w:val="24"/>
          <w:szCs w:val="24"/>
        </w:rPr>
        <w:t xml:space="preserve">smo aumento </w:t>
      </w:r>
      <w:r w:rsidR="00161786">
        <w:rPr>
          <w:sz w:val="24"/>
          <w:szCs w:val="24"/>
        </w:rPr>
        <w:t>do valor</w:t>
      </w:r>
      <w:r w:rsidR="008F4782" w:rsidRPr="00405CCF">
        <w:rPr>
          <w:sz w:val="24"/>
          <w:szCs w:val="24"/>
        </w:rPr>
        <w:t xml:space="preserve">, </w:t>
      </w:r>
      <w:r w:rsidR="00B2281F" w:rsidRPr="00405CCF">
        <w:rPr>
          <w:sz w:val="24"/>
          <w:szCs w:val="24"/>
        </w:rPr>
        <w:t>na medida em que</w:t>
      </w:r>
      <w:r w:rsidR="000E6287" w:rsidRPr="00405CCF">
        <w:rPr>
          <w:sz w:val="24"/>
          <w:szCs w:val="24"/>
        </w:rPr>
        <w:t>acresceu</w:t>
      </w:r>
      <w:r w:rsidRPr="00405CCF">
        <w:rPr>
          <w:sz w:val="24"/>
          <w:szCs w:val="24"/>
        </w:rPr>
        <w:t xml:space="preserve"> a proporção do soro na formulação do produto</w:t>
      </w:r>
      <w:r w:rsidR="00E550A5">
        <w:rPr>
          <w:sz w:val="24"/>
          <w:szCs w:val="24"/>
        </w:rPr>
        <w:t>. A</w:t>
      </w:r>
      <w:r w:rsidRPr="00405CCF">
        <w:rPr>
          <w:sz w:val="24"/>
          <w:szCs w:val="24"/>
        </w:rPr>
        <w:t xml:space="preserve"> amostra padr</w:t>
      </w:r>
      <w:r w:rsidR="004B1E75">
        <w:rPr>
          <w:sz w:val="24"/>
          <w:szCs w:val="24"/>
        </w:rPr>
        <w:t>ão F1, apresentou média de 1,51</w:t>
      </w:r>
      <w:r w:rsidR="006B7638">
        <w:rPr>
          <w:sz w:val="24"/>
          <w:szCs w:val="24"/>
        </w:rPr>
        <w:t xml:space="preserve"> </w:t>
      </w:r>
      <w:r w:rsidR="00161786">
        <w:rPr>
          <w:sz w:val="24"/>
          <w:szCs w:val="24"/>
        </w:rPr>
        <w:t>%,</w:t>
      </w:r>
      <w:r w:rsidR="00A6179F" w:rsidRPr="00405CCF">
        <w:rPr>
          <w:sz w:val="24"/>
          <w:szCs w:val="24"/>
        </w:rPr>
        <w:t xml:space="preserve"> valor</w:t>
      </w:r>
      <w:r w:rsidR="006B7638">
        <w:rPr>
          <w:sz w:val="24"/>
          <w:szCs w:val="24"/>
        </w:rPr>
        <w:t xml:space="preserve"> </w:t>
      </w:r>
      <w:r w:rsidR="00161786">
        <w:rPr>
          <w:sz w:val="24"/>
          <w:szCs w:val="24"/>
        </w:rPr>
        <w:t xml:space="preserve">este </w:t>
      </w:r>
      <w:r w:rsidR="00A6179F" w:rsidRPr="00405CCF">
        <w:rPr>
          <w:sz w:val="24"/>
          <w:szCs w:val="24"/>
        </w:rPr>
        <w:t>inferior quando comparados aos estudos de</w:t>
      </w:r>
      <w:r w:rsidR="00405CCF" w:rsidRPr="00405CCF">
        <w:rPr>
          <w:sz w:val="24"/>
          <w:szCs w:val="24"/>
        </w:rPr>
        <w:t xml:space="preserve"> Silva</w:t>
      </w:r>
      <w:r w:rsidR="00E550A5">
        <w:rPr>
          <w:sz w:val="24"/>
          <w:szCs w:val="24"/>
        </w:rPr>
        <w:t>,</w:t>
      </w:r>
      <w:r w:rsidR="00405CCF" w:rsidRPr="00405CCF">
        <w:rPr>
          <w:sz w:val="24"/>
          <w:szCs w:val="24"/>
        </w:rPr>
        <w:t xml:space="preserve"> (2011)</w:t>
      </w:r>
      <w:r w:rsidR="00161786">
        <w:rPr>
          <w:sz w:val="24"/>
          <w:szCs w:val="24"/>
        </w:rPr>
        <w:t>, que encontrou</w:t>
      </w:r>
      <w:r w:rsidR="004B1E75">
        <w:rPr>
          <w:sz w:val="24"/>
          <w:szCs w:val="24"/>
        </w:rPr>
        <w:t xml:space="preserve"> 1,96</w:t>
      </w:r>
      <w:r w:rsidR="006B7638">
        <w:rPr>
          <w:sz w:val="24"/>
          <w:szCs w:val="24"/>
        </w:rPr>
        <w:t xml:space="preserve"> </w:t>
      </w:r>
      <w:r w:rsidR="00161786">
        <w:rPr>
          <w:sz w:val="24"/>
          <w:szCs w:val="24"/>
        </w:rPr>
        <w:t>%</w:t>
      </w:r>
      <w:r w:rsidR="006B7638">
        <w:rPr>
          <w:sz w:val="24"/>
          <w:szCs w:val="24"/>
        </w:rPr>
        <w:t xml:space="preserve"> </w:t>
      </w:r>
      <w:r w:rsidR="000E6287">
        <w:rPr>
          <w:sz w:val="24"/>
          <w:szCs w:val="24"/>
        </w:rPr>
        <w:t>de acidez,</w:t>
      </w:r>
      <w:r w:rsidR="006B7638">
        <w:rPr>
          <w:sz w:val="24"/>
          <w:szCs w:val="24"/>
        </w:rPr>
        <w:t xml:space="preserve"> </w:t>
      </w:r>
      <w:r w:rsidR="004B1E75">
        <w:rPr>
          <w:sz w:val="24"/>
          <w:szCs w:val="24"/>
        </w:rPr>
        <w:t>para bolos enriquecidos com soro de queijo</w:t>
      </w:r>
      <w:r w:rsidR="00E550A5">
        <w:rPr>
          <w:sz w:val="24"/>
          <w:szCs w:val="24"/>
        </w:rPr>
        <w:t>.</w:t>
      </w:r>
    </w:p>
    <w:p w:rsidR="00836BB5" w:rsidRDefault="007D2B87" w:rsidP="00BE733E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E6287">
        <w:rPr>
          <w:sz w:val="24"/>
          <w:szCs w:val="24"/>
        </w:rPr>
        <w:t>Logo, os resultados obtidos são significativos, levando em consideração que o produto obt</w:t>
      </w:r>
      <w:r w:rsidR="00066968">
        <w:rPr>
          <w:sz w:val="24"/>
          <w:szCs w:val="24"/>
        </w:rPr>
        <w:t>eve</w:t>
      </w:r>
      <w:r w:rsidR="000E6287">
        <w:rPr>
          <w:sz w:val="24"/>
          <w:szCs w:val="24"/>
        </w:rPr>
        <w:t xml:space="preserve"> uma acidez baixa e apresentou o pH neutro</w:t>
      </w:r>
      <w:r w:rsidR="0044779E">
        <w:rPr>
          <w:sz w:val="24"/>
          <w:szCs w:val="24"/>
        </w:rPr>
        <w:t>.</w:t>
      </w:r>
      <w:r w:rsidR="006B7638">
        <w:rPr>
          <w:sz w:val="24"/>
          <w:szCs w:val="24"/>
        </w:rPr>
        <w:t xml:space="preserve"> </w:t>
      </w:r>
      <w:r w:rsidR="0044779E">
        <w:rPr>
          <w:sz w:val="24"/>
          <w:szCs w:val="24"/>
        </w:rPr>
        <w:t>D</w:t>
      </w:r>
      <w:r>
        <w:rPr>
          <w:sz w:val="24"/>
          <w:szCs w:val="24"/>
        </w:rPr>
        <w:t>essa forma</w:t>
      </w:r>
      <w:r w:rsidR="0044779E">
        <w:rPr>
          <w:sz w:val="24"/>
          <w:szCs w:val="24"/>
        </w:rPr>
        <w:t>,</w:t>
      </w:r>
      <w:r>
        <w:rPr>
          <w:sz w:val="24"/>
          <w:szCs w:val="24"/>
        </w:rPr>
        <w:t xml:space="preserve"> quando comparados também ao </w:t>
      </w:r>
      <w:r>
        <w:rPr>
          <w:sz w:val="24"/>
          <w:szCs w:val="24"/>
        </w:rPr>
        <w:lastRenderedPageBreak/>
        <w:t>estudo anterior que apresentou média de 6,83 para pH, o presente trabalho obteve médias de</w:t>
      </w:r>
      <w:r w:rsidR="006B7638">
        <w:rPr>
          <w:sz w:val="24"/>
          <w:szCs w:val="24"/>
        </w:rPr>
        <w:t xml:space="preserve"> </w:t>
      </w:r>
      <w:r w:rsidR="004776EA" w:rsidRPr="00405CCF">
        <w:rPr>
          <w:sz w:val="24"/>
          <w:szCs w:val="24"/>
        </w:rPr>
        <w:t xml:space="preserve">pH </w:t>
      </w:r>
      <w:r>
        <w:rPr>
          <w:sz w:val="24"/>
          <w:szCs w:val="24"/>
        </w:rPr>
        <w:t>7,00 apresentando uma característica boa.</w:t>
      </w:r>
    </w:p>
    <w:p w:rsidR="00080D5B" w:rsidRPr="009247C6" w:rsidRDefault="00080D5B" w:rsidP="00080D5B">
      <w:pPr>
        <w:tabs>
          <w:tab w:val="left" w:pos="1290"/>
        </w:tabs>
        <w:spacing w:before="240"/>
        <w:jc w:val="both"/>
        <w:rPr>
          <w:b/>
          <w:sz w:val="24"/>
          <w:szCs w:val="24"/>
        </w:rPr>
      </w:pPr>
      <w:r w:rsidRPr="009247C6">
        <w:rPr>
          <w:b/>
          <w:sz w:val="24"/>
          <w:szCs w:val="24"/>
        </w:rPr>
        <w:t>3.2 Análise sensorial</w:t>
      </w:r>
    </w:p>
    <w:p w:rsidR="00080D5B" w:rsidRDefault="00080D5B" w:rsidP="00080D5B">
      <w:pPr>
        <w:tabs>
          <w:tab w:val="left" w:pos="851"/>
        </w:tabs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Na Tabela 3 apresentam os atributos avaliados na </w:t>
      </w:r>
      <w:r w:rsidR="00CA548D">
        <w:rPr>
          <w:sz w:val="24"/>
          <w:szCs w:val="24"/>
        </w:rPr>
        <w:t>análise</w:t>
      </w:r>
      <w:r>
        <w:rPr>
          <w:sz w:val="24"/>
          <w:szCs w:val="24"/>
        </w:rPr>
        <w:t xml:space="preserve"> sensorial dos bolos.</w:t>
      </w:r>
    </w:p>
    <w:p w:rsidR="00080D5B" w:rsidRDefault="00F140BE" w:rsidP="00080D5B">
      <w:pPr>
        <w:tabs>
          <w:tab w:val="left" w:pos="1290"/>
        </w:tabs>
        <w:rPr>
          <w:sz w:val="22"/>
          <w:szCs w:val="22"/>
        </w:rPr>
      </w:pPr>
      <w:r w:rsidRPr="00F140BE">
        <w:rPr>
          <w:bCs/>
          <w:color w:val="000000"/>
          <w:sz w:val="22"/>
          <w:szCs w:val="22"/>
        </w:rPr>
        <w:t>Tabela 3</w:t>
      </w:r>
      <w:r w:rsidR="00161786">
        <w:rPr>
          <w:b/>
          <w:bCs/>
          <w:color w:val="000000"/>
          <w:sz w:val="22"/>
          <w:szCs w:val="22"/>
        </w:rPr>
        <w:t xml:space="preserve">- </w:t>
      </w:r>
      <w:r w:rsidR="00080D5B" w:rsidRPr="00587874">
        <w:rPr>
          <w:color w:val="000000"/>
          <w:sz w:val="22"/>
          <w:szCs w:val="22"/>
        </w:rPr>
        <w:t>Análise sensorial de três formulações de bolo com adição de soro de leite</w:t>
      </w:r>
      <w:r w:rsidR="00161786">
        <w:rPr>
          <w:color w:val="000000"/>
          <w:sz w:val="22"/>
          <w:szCs w:val="22"/>
        </w:rPr>
        <w:t xml:space="preserve"> bubalino</w:t>
      </w:r>
      <w:r w:rsidR="00080D5B">
        <w:rPr>
          <w:color w:val="000000"/>
          <w:sz w:val="22"/>
          <w:szCs w:val="22"/>
        </w:rPr>
        <w:t>.</w:t>
      </w:r>
    </w:p>
    <w:tbl>
      <w:tblPr>
        <w:tblW w:w="9705" w:type="dxa"/>
        <w:jc w:val="center"/>
        <w:tblCellMar>
          <w:left w:w="70" w:type="dxa"/>
          <w:right w:w="70" w:type="dxa"/>
        </w:tblCellMar>
        <w:tblLook w:val="04A0"/>
      </w:tblPr>
      <w:tblGrid>
        <w:gridCol w:w="1693"/>
        <w:gridCol w:w="1388"/>
        <w:gridCol w:w="1388"/>
        <w:gridCol w:w="1388"/>
        <w:gridCol w:w="1693"/>
        <w:gridCol w:w="2155"/>
      </w:tblGrid>
      <w:tr w:rsidR="00080D5B" w:rsidRPr="004E4C4A" w:rsidTr="007752D5">
        <w:trPr>
          <w:trHeight w:val="363"/>
          <w:jc w:val="center"/>
        </w:trPr>
        <w:tc>
          <w:tcPr>
            <w:tcW w:w="1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0D5B" w:rsidRPr="00587874" w:rsidRDefault="00080D5B" w:rsidP="007752D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7874">
              <w:rPr>
                <w:b/>
                <w:color w:val="000000"/>
                <w:sz w:val="22"/>
                <w:szCs w:val="22"/>
              </w:rPr>
              <w:t>Formulações</w:t>
            </w:r>
          </w:p>
        </w:tc>
        <w:tc>
          <w:tcPr>
            <w:tcW w:w="13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0D5B" w:rsidRPr="00587874" w:rsidRDefault="00080D5B" w:rsidP="007752D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7874">
              <w:rPr>
                <w:b/>
                <w:color w:val="000000"/>
                <w:sz w:val="22"/>
                <w:szCs w:val="22"/>
              </w:rPr>
              <w:t>Aroma</w:t>
            </w:r>
          </w:p>
        </w:tc>
        <w:tc>
          <w:tcPr>
            <w:tcW w:w="13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0D5B" w:rsidRPr="00587874" w:rsidRDefault="00080D5B" w:rsidP="007752D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7874">
              <w:rPr>
                <w:b/>
                <w:color w:val="000000"/>
                <w:sz w:val="22"/>
                <w:szCs w:val="22"/>
              </w:rPr>
              <w:t>Sabor</w:t>
            </w:r>
          </w:p>
        </w:tc>
        <w:tc>
          <w:tcPr>
            <w:tcW w:w="13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0D5B" w:rsidRPr="00587874" w:rsidRDefault="00080D5B" w:rsidP="007752D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7874">
              <w:rPr>
                <w:b/>
                <w:color w:val="000000"/>
                <w:sz w:val="22"/>
                <w:szCs w:val="22"/>
              </w:rPr>
              <w:t>Textura</w:t>
            </w: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0D5B" w:rsidRPr="00587874" w:rsidRDefault="00080D5B" w:rsidP="007752D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7874">
              <w:rPr>
                <w:b/>
                <w:color w:val="000000"/>
                <w:sz w:val="22"/>
                <w:szCs w:val="22"/>
              </w:rPr>
              <w:t>Aparência</w:t>
            </w:r>
          </w:p>
        </w:tc>
        <w:tc>
          <w:tcPr>
            <w:tcW w:w="21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0D5B" w:rsidRPr="00587874" w:rsidRDefault="00080D5B" w:rsidP="007752D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7874">
              <w:rPr>
                <w:b/>
                <w:color w:val="000000"/>
                <w:sz w:val="22"/>
                <w:szCs w:val="22"/>
              </w:rPr>
              <w:t>Impressão global</w:t>
            </w:r>
          </w:p>
        </w:tc>
      </w:tr>
      <w:tr w:rsidR="00080D5B" w:rsidRPr="004E4C4A" w:rsidTr="007752D5">
        <w:trPr>
          <w:trHeight w:val="381"/>
          <w:jc w:val="center"/>
        </w:trPr>
        <w:tc>
          <w:tcPr>
            <w:tcW w:w="16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5B" w:rsidRPr="00587874" w:rsidRDefault="00080D5B" w:rsidP="0016178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7874">
              <w:rPr>
                <w:b/>
                <w:color w:val="000000"/>
                <w:sz w:val="22"/>
                <w:szCs w:val="22"/>
              </w:rPr>
              <w:t>F1</w:t>
            </w:r>
          </w:p>
        </w:tc>
        <w:tc>
          <w:tcPr>
            <w:tcW w:w="13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5B" w:rsidRPr="00587874" w:rsidRDefault="00080D5B" w:rsidP="007752D5">
            <w:pPr>
              <w:jc w:val="center"/>
              <w:rPr>
                <w:color w:val="000000"/>
                <w:sz w:val="22"/>
                <w:szCs w:val="22"/>
              </w:rPr>
            </w:pPr>
            <w:r w:rsidRPr="00587874">
              <w:rPr>
                <w:color w:val="000000"/>
                <w:sz w:val="22"/>
                <w:szCs w:val="22"/>
              </w:rPr>
              <w:t>7,88± 1,32</w:t>
            </w:r>
          </w:p>
        </w:tc>
        <w:tc>
          <w:tcPr>
            <w:tcW w:w="13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5B" w:rsidRPr="00587874" w:rsidRDefault="00080D5B" w:rsidP="007752D5">
            <w:pPr>
              <w:jc w:val="center"/>
              <w:rPr>
                <w:color w:val="000000"/>
                <w:sz w:val="22"/>
                <w:szCs w:val="22"/>
              </w:rPr>
            </w:pPr>
            <w:r w:rsidRPr="00587874">
              <w:rPr>
                <w:color w:val="000000"/>
                <w:sz w:val="22"/>
                <w:szCs w:val="22"/>
              </w:rPr>
              <w:t>7,33± 1,39</w:t>
            </w:r>
          </w:p>
        </w:tc>
        <w:tc>
          <w:tcPr>
            <w:tcW w:w="13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5B" w:rsidRPr="00587874" w:rsidRDefault="00080D5B" w:rsidP="007752D5">
            <w:pPr>
              <w:jc w:val="center"/>
              <w:rPr>
                <w:color w:val="000000"/>
                <w:sz w:val="22"/>
                <w:szCs w:val="22"/>
              </w:rPr>
            </w:pPr>
            <w:r w:rsidRPr="00587874">
              <w:rPr>
                <w:color w:val="000000"/>
                <w:sz w:val="22"/>
                <w:szCs w:val="22"/>
              </w:rPr>
              <w:t>7,05± 1,61</w:t>
            </w: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5B" w:rsidRPr="00587874" w:rsidRDefault="00080D5B" w:rsidP="007752D5">
            <w:pPr>
              <w:jc w:val="center"/>
              <w:rPr>
                <w:color w:val="000000"/>
                <w:sz w:val="22"/>
                <w:szCs w:val="22"/>
              </w:rPr>
            </w:pPr>
            <w:r w:rsidRPr="00587874">
              <w:rPr>
                <w:color w:val="000000"/>
                <w:sz w:val="22"/>
                <w:szCs w:val="22"/>
              </w:rPr>
              <w:t>7,7± 1,52</w:t>
            </w:r>
          </w:p>
        </w:tc>
        <w:tc>
          <w:tcPr>
            <w:tcW w:w="215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5B" w:rsidRPr="00587874" w:rsidRDefault="00080D5B" w:rsidP="007752D5">
            <w:pPr>
              <w:jc w:val="center"/>
              <w:rPr>
                <w:color w:val="000000"/>
                <w:sz w:val="22"/>
                <w:szCs w:val="22"/>
              </w:rPr>
            </w:pPr>
            <w:r w:rsidRPr="00587874">
              <w:rPr>
                <w:color w:val="000000"/>
                <w:sz w:val="22"/>
                <w:szCs w:val="22"/>
              </w:rPr>
              <w:t>7,4± 1,82</w:t>
            </w:r>
          </w:p>
        </w:tc>
      </w:tr>
      <w:tr w:rsidR="00080D5B" w:rsidRPr="004E4C4A" w:rsidTr="007752D5">
        <w:trPr>
          <w:trHeight w:val="381"/>
          <w:jc w:val="center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5B" w:rsidRPr="00587874" w:rsidRDefault="00080D5B" w:rsidP="0016178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7874">
              <w:rPr>
                <w:b/>
                <w:color w:val="000000"/>
                <w:sz w:val="22"/>
                <w:szCs w:val="22"/>
              </w:rPr>
              <w:t>F2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5B" w:rsidRPr="00587874" w:rsidRDefault="00080D5B" w:rsidP="007752D5">
            <w:pPr>
              <w:jc w:val="center"/>
              <w:rPr>
                <w:color w:val="000000"/>
                <w:sz w:val="22"/>
                <w:szCs w:val="22"/>
              </w:rPr>
            </w:pPr>
            <w:r w:rsidRPr="00587874">
              <w:rPr>
                <w:color w:val="000000"/>
                <w:sz w:val="22"/>
                <w:szCs w:val="22"/>
              </w:rPr>
              <w:t>7,9± 1,32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5B" w:rsidRPr="00587874" w:rsidRDefault="00080D5B" w:rsidP="007752D5">
            <w:pPr>
              <w:jc w:val="center"/>
              <w:rPr>
                <w:color w:val="000000"/>
                <w:sz w:val="22"/>
                <w:szCs w:val="22"/>
              </w:rPr>
            </w:pPr>
            <w:r w:rsidRPr="00587874">
              <w:rPr>
                <w:color w:val="000000"/>
                <w:sz w:val="22"/>
                <w:szCs w:val="22"/>
              </w:rPr>
              <w:t>7,48± 1,51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5B" w:rsidRPr="00587874" w:rsidRDefault="00080D5B" w:rsidP="007752D5">
            <w:pPr>
              <w:jc w:val="center"/>
              <w:rPr>
                <w:color w:val="000000"/>
                <w:sz w:val="22"/>
                <w:szCs w:val="22"/>
              </w:rPr>
            </w:pPr>
            <w:r w:rsidRPr="00587874">
              <w:rPr>
                <w:color w:val="000000"/>
                <w:sz w:val="22"/>
                <w:szCs w:val="22"/>
              </w:rPr>
              <w:t>7,27± 1,45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5B" w:rsidRPr="00587874" w:rsidRDefault="00080D5B" w:rsidP="007752D5">
            <w:pPr>
              <w:jc w:val="center"/>
              <w:rPr>
                <w:color w:val="000000"/>
                <w:sz w:val="22"/>
                <w:szCs w:val="22"/>
              </w:rPr>
            </w:pPr>
            <w:r w:rsidRPr="00587874">
              <w:rPr>
                <w:color w:val="000000"/>
                <w:sz w:val="22"/>
                <w:szCs w:val="22"/>
              </w:rPr>
              <w:t>7,87± 1,21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5B" w:rsidRPr="00587874" w:rsidRDefault="00080D5B" w:rsidP="007752D5">
            <w:pPr>
              <w:jc w:val="center"/>
              <w:rPr>
                <w:color w:val="000000"/>
                <w:sz w:val="22"/>
                <w:szCs w:val="22"/>
              </w:rPr>
            </w:pPr>
            <w:r w:rsidRPr="00587874">
              <w:rPr>
                <w:color w:val="000000"/>
                <w:sz w:val="22"/>
                <w:szCs w:val="22"/>
              </w:rPr>
              <w:t>7,63± 1,51</w:t>
            </w:r>
          </w:p>
        </w:tc>
      </w:tr>
      <w:tr w:rsidR="00080D5B" w:rsidRPr="004E4C4A" w:rsidTr="007752D5">
        <w:trPr>
          <w:trHeight w:val="381"/>
          <w:jc w:val="center"/>
        </w:trPr>
        <w:tc>
          <w:tcPr>
            <w:tcW w:w="1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0D5B" w:rsidRPr="00587874" w:rsidRDefault="00080D5B" w:rsidP="0016178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7874">
              <w:rPr>
                <w:b/>
                <w:color w:val="000000"/>
                <w:sz w:val="22"/>
                <w:szCs w:val="22"/>
              </w:rPr>
              <w:t>F3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0D5B" w:rsidRPr="00587874" w:rsidRDefault="00080D5B" w:rsidP="007752D5">
            <w:pPr>
              <w:jc w:val="center"/>
              <w:rPr>
                <w:color w:val="000000"/>
                <w:sz w:val="22"/>
                <w:szCs w:val="22"/>
              </w:rPr>
            </w:pPr>
            <w:r w:rsidRPr="00587874">
              <w:rPr>
                <w:color w:val="000000"/>
                <w:sz w:val="22"/>
                <w:szCs w:val="22"/>
              </w:rPr>
              <w:t>7,85± 1,47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0D5B" w:rsidRPr="00587874" w:rsidRDefault="00080D5B" w:rsidP="007752D5">
            <w:pPr>
              <w:jc w:val="center"/>
              <w:rPr>
                <w:color w:val="000000"/>
                <w:sz w:val="22"/>
                <w:szCs w:val="22"/>
              </w:rPr>
            </w:pPr>
            <w:r w:rsidRPr="00587874">
              <w:rPr>
                <w:color w:val="000000"/>
                <w:sz w:val="22"/>
                <w:szCs w:val="22"/>
              </w:rPr>
              <w:t>7,78± 1,51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0D5B" w:rsidRPr="00587874" w:rsidRDefault="00080D5B" w:rsidP="007752D5">
            <w:pPr>
              <w:jc w:val="center"/>
              <w:rPr>
                <w:color w:val="000000"/>
                <w:sz w:val="22"/>
                <w:szCs w:val="22"/>
              </w:rPr>
            </w:pPr>
            <w:r w:rsidRPr="00587874">
              <w:rPr>
                <w:color w:val="000000"/>
                <w:sz w:val="22"/>
                <w:szCs w:val="22"/>
              </w:rPr>
              <w:t>7,78± 1,34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0D5B" w:rsidRPr="00587874" w:rsidRDefault="00080D5B" w:rsidP="007752D5">
            <w:pPr>
              <w:jc w:val="center"/>
              <w:rPr>
                <w:color w:val="000000"/>
                <w:sz w:val="22"/>
                <w:szCs w:val="22"/>
              </w:rPr>
            </w:pPr>
            <w:r w:rsidRPr="00587874">
              <w:rPr>
                <w:color w:val="000000"/>
                <w:sz w:val="22"/>
                <w:szCs w:val="22"/>
              </w:rPr>
              <w:t>8,10± 1,16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0D5B" w:rsidRPr="00587874" w:rsidRDefault="00080D5B" w:rsidP="007752D5">
            <w:pPr>
              <w:jc w:val="center"/>
              <w:rPr>
                <w:color w:val="000000"/>
                <w:sz w:val="22"/>
                <w:szCs w:val="22"/>
              </w:rPr>
            </w:pPr>
            <w:r w:rsidRPr="00587874">
              <w:rPr>
                <w:color w:val="000000"/>
                <w:sz w:val="22"/>
                <w:szCs w:val="22"/>
              </w:rPr>
              <w:t>8,08± 1,15</w:t>
            </w:r>
          </w:p>
        </w:tc>
      </w:tr>
    </w:tbl>
    <w:p w:rsidR="00080D5B" w:rsidRDefault="00080D5B" w:rsidP="00080D5B">
      <w:pPr>
        <w:tabs>
          <w:tab w:val="left" w:pos="1290"/>
        </w:tabs>
        <w:jc w:val="center"/>
        <w:rPr>
          <w:b/>
          <w:sz w:val="24"/>
          <w:szCs w:val="24"/>
        </w:rPr>
      </w:pPr>
      <w:r>
        <w:rPr>
          <w:sz w:val="22"/>
          <w:szCs w:val="22"/>
        </w:rPr>
        <w:t>Fonte: Autores (2018)</w:t>
      </w:r>
      <w:r w:rsidRPr="00D13969">
        <w:rPr>
          <w:sz w:val="22"/>
          <w:szCs w:val="22"/>
        </w:rPr>
        <w:t>.</w:t>
      </w:r>
    </w:p>
    <w:p w:rsidR="00080D5B" w:rsidRDefault="00080D5B" w:rsidP="00080D5B">
      <w:pPr>
        <w:tabs>
          <w:tab w:val="left" w:pos="1290"/>
        </w:tabs>
        <w:rPr>
          <w:b/>
          <w:sz w:val="24"/>
          <w:szCs w:val="24"/>
        </w:rPr>
      </w:pPr>
    </w:p>
    <w:p w:rsidR="00510F33" w:rsidRPr="00510F33" w:rsidRDefault="00080D5B" w:rsidP="00080D5B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3"/>
          <w:szCs w:val="23"/>
        </w:rPr>
        <w:tab/>
      </w:r>
      <w:r w:rsidRPr="00510F33">
        <w:rPr>
          <w:sz w:val="24"/>
          <w:szCs w:val="24"/>
        </w:rPr>
        <w:t xml:space="preserve">De acordo com os resultados obtidos, pode-se observar que todas as formulações apresentaram médias </w:t>
      </w:r>
      <w:r w:rsidR="003F6DE7">
        <w:rPr>
          <w:sz w:val="24"/>
          <w:szCs w:val="24"/>
        </w:rPr>
        <w:t xml:space="preserve">superiores a </w:t>
      </w:r>
      <w:r w:rsidRPr="00510F33">
        <w:rPr>
          <w:sz w:val="24"/>
          <w:szCs w:val="24"/>
        </w:rPr>
        <w:t>7 para todos os atributos,</w:t>
      </w:r>
      <w:r w:rsidR="00CA548D">
        <w:rPr>
          <w:sz w:val="24"/>
          <w:szCs w:val="24"/>
        </w:rPr>
        <w:t xml:space="preserve">chegando a 8 para </w:t>
      </w:r>
      <w:r w:rsidRPr="00510F33">
        <w:rPr>
          <w:sz w:val="24"/>
          <w:szCs w:val="24"/>
        </w:rPr>
        <w:t>os atributos aparência (8,10) e impressão global (8,08) da formulação F3.</w:t>
      </w:r>
    </w:p>
    <w:p w:rsidR="007A2813" w:rsidRPr="00510F33" w:rsidRDefault="00510F33" w:rsidP="00510F33">
      <w:pPr>
        <w:tabs>
          <w:tab w:val="left" w:pos="851"/>
        </w:tabs>
        <w:spacing w:line="360" w:lineRule="auto"/>
        <w:jc w:val="both"/>
        <w:rPr>
          <w:b/>
          <w:sz w:val="24"/>
          <w:szCs w:val="24"/>
        </w:rPr>
      </w:pPr>
      <w:r w:rsidRPr="00510F33">
        <w:rPr>
          <w:sz w:val="24"/>
          <w:szCs w:val="24"/>
        </w:rPr>
        <w:tab/>
      </w:r>
      <w:r w:rsidR="00080D5B" w:rsidRPr="00510F33">
        <w:rPr>
          <w:sz w:val="24"/>
          <w:szCs w:val="24"/>
        </w:rPr>
        <w:t>Segundo Esteller</w:t>
      </w:r>
      <w:r w:rsidR="006B7638">
        <w:rPr>
          <w:sz w:val="24"/>
          <w:szCs w:val="24"/>
        </w:rPr>
        <w:t xml:space="preserve"> </w:t>
      </w:r>
      <w:r w:rsidR="00080D5B" w:rsidRPr="00510F33">
        <w:rPr>
          <w:sz w:val="24"/>
          <w:szCs w:val="24"/>
        </w:rPr>
        <w:t>et al. (2006),</w:t>
      </w:r>
      <w:r w:rsidR="006B76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="00080D5B" w:rsidRPr="00510F33">
        <w:rPr>
          <w:sz w:val="24"/>
          <w:szCs w:val="24"/>
        </w:rPr>
        <w:t>composiçã</w:t>
      </w:r>
      <w:r w:rsidRPr="00510F33">
        <w:rPr>
          <w:sz w:val="24"/>
          <w:szCs w:val="24"/>
        </w:rPr>
        <w:t>o nutricional do soro de leite,</w:t>
      </w:r>
      <w:r>
        <w:rPr>
          <w:sz w:val="24"/>
          <w:szCs w:val="24"/>
        </w:rPr>
        <w:t xml:space="preserve"> como</w:t>
      </w:r>
      <w:r w:rsidR="00080D5B" w:rsidRPr="00510F33">
        <w:rPr>
          <w:sz w:val="24"/>
          <w:szCs w:val="24"/>
        </w:rPr>
        <w:t xml:space="preserve"> a presença de</w:t>
      </w:r>
      <w:r w:rsidRPr="00510F33">
        <w:rPr>
          <w:sz w:val="24"/>
          <w:szCs w:val="24"/>
        </w:rPr>
        <w:t xml:space="preserve"> proteínas,</w:t>
      </w:r>
      <w:r w:rsidR="00080D5B" w:rsidRPr="00510F33">
        <w:rPr>
          <w:sz w:val="24"/>
          <w:szCs w:val="24"/>
        </w:rPr>
        <w:t xml:space="preserve"> sólidos solúveis, e outros ingredientes presentes na formulação do produto, influenciam na caramelização e na ração de Millard, interferindo na cor e impressão global</w:t>
      </w:r>
      <w:r w:rsidRPr="00510F33">
        <w:rPr>
          <w:sz w:val="24"/>
          <w:szCs w:val="24"/>
        </w:rPr>
        <w:t xml:space="preserve"> do produto</w:t>
      </w:r>
      <w:r w:rsidR="00080D5B" w:rsidRPr="00510F33">
        <w:rPr>
          <w:sz w:val="24"/>
          <w:szCs w:val="24"/>
        </w:rPr>
        <w:t xml:space="preserve">, </w:t>
      </w:r>
      <w:r w:rsidRPr="00510F33">
        <w:rPr>
          <w:sz w:val="24"/>
          <w:szCs w:val="24"/>
        </w:rPr>
        <w:t xml:space="preserve">relacionando assim os dados obtidos para a </w:t>
      </w:r>
      <w:r w:rsidR="00080D5B" w:rsidRPr="00510F33">
        <w:rPr>
          <w:sz w:val="24"/>
          <w:szCs w:val="24"/>
        </w:rPr>
        <w:t>formulação F3.</w:t>
      </w:r>
    </w:p>
    <w:p w:rsidR="009D1F0C" w:rsidRDefault="009247C6" w:rsidP="0016266D">
      <w:pPr>
        <w:autoSpaceDE w:val="0"/>
        <w:autoSpaceDN w:val="0"/>
        <w:adjustRightInd w:val="0"/>
        <w:spacing w:after="240" w:line="360" w:lineRule="auto"/>
        <w:ind w:firstLine="708"/>
        <w:jc w:val="both"/>
        <w:rPr>
          <w:rFonts w:eastAsia="Calibri"/>
          <w:sz w:val="24"/>
          <w:szCs w:val="24"/>
        </w:rPr>
      </w:pPr>
      <w:r w:rsidRPr="00510F33">
        <w:rPr>
          <w:rFonts w:eastAsia="Calibri"/>
          <w:sz w:val="24"/>
          <w:szCs w:val="24"/>
        </w:rPr>
        <w:t xml:space="preserve">No </w:t>
      </w:r>
      <w:r w:rsidR="00CA548D">
        <w:rPr>
          <w:rFonts w:eastAsia="Calibri"/>
          <w:sz w:val="24"/>
          <w:szCs w:val="24"/>
        </w:rPr>
        <w:t>G</w:t>
      </w:r>
      <w:r w:rsidRPr="00510F33">
        <w:rPr>
          <w:rFonts w:eastAsia="Calibri"/>
          <w:sz w:val="24"/>
          <w:szCs w:val="24"/>
        </w:rPr>
        <w:t xml:space="preserve">ráfico </w:t>
      </w:r>
      <w:r w:rsidR="006D5D80" w:rsidRPr="00510F33">
        <w:rPr>
          <w:rFonts w:eastAsia="Calibri"/>
          <w:sz w:val="24"/>
          <w:szCs w:val="24"/>
        </w:rPr>
        <w:t>1 está</w:t>
      </w:r>
      <w:r w:rsidR="00CA548D">
        <w:rPr>
          <w:rFonts w:eastAsia="Calibri"/>
          <w:sz w:val="24"/>
          <w:szCs w:val="24"/>
        </w:rPr>
        <w:t xml:space="preserve"> representado</w:t>
      </w:r>
      <w:r w:rsidR="008F1EB4" w:rsidRPr="00510F33">
        <w:rPr>
          <w:rFonts w:eastAsia="Calibri"/>
          <w:sz w:val="24"/>
          <w:szCs w:val="24"/>
        </w:rPr>
        <w:t xml:space="preserve"> o percentual</w:t>
      </w:r>
      <w:r w:rsidR="006D5D80" w:rsidRPr="00510F33">
        <w:rPr>
          <w:rFonts w:eastAsia="Calibri"/>
          <w:sz w:val="24"/>
          <w:szCs w:val="24"/>
        </w:rPr>
        <w:t xml:space="preserve"> obtido da</w:t>
      </w:r>
      <w:r w:rsidRPr="00510F33">
        <w:rPr>
          <w:rFonts w:eastAsia="Calibri"/>
          <w:sz w:val="24"/>
          <w:szCs w:val="24"/>
        </w:rPr>
        <w:t xml:space="preserve"> intenção de compra das formulações de bolo padrão e adicionados de soro bubalino</w:t>
      </w:r>
      <w:r w:rsidR="002A4E37" w:rsidRPr="00510F33">
        <w:rPr>
          <w:rFonts w:eastAsia="Calibri"/>
          <w:sz w:val="24"/>
          <w:szCs w:val="24"/>
        </w:rPr>
        <w:t xml:space="preserve">, proveniente </w:t>
      </w:r>
      <w:r w:rsidR="008F1EB4" w:rsidRPr="00510F33">
        <w:rPr>
          <w:rFonts w:eastAsia="Calibri"/>
          <w:sz w:val="24"/>
          <w:szCs w:val="24"/>
        </w:rPr>
        <w:t>da elaboração do queijo do Marajó</w:t>
      </w:r>
      <w:r w:rsidRPr="0016266D">
        <w:rPr>
          <w:rFonts w:eastAsia="Calibri"/>
          <w:sz w:val="24"/>
          <w:szCs w:val="24"/>
        </w:rPr>
        <w:t>.</w:t>
      </w:r>
    </w:p>
    <w:p w:rsidR="006B7638" w:rsidRDefault="006B7638" w:rsidP="0016266D">
      <w:pPr>
        <w:autoSpaceDE w:val="0"/>
        <w:autoSpaceDN w:val="0"/>
        <w:adjustRightInd w:val="0"/>
        <w:spacing w:after="240" w:line="360" w:lineRule="auto"/>
        <w:ind w:firstLine="708"/>
        <w:jc w:val="both"/>
        <w:rPr>
          <w:rFonts w:eastAsia="Calibri"/>
          <w:sz w:val="24"/>
          <w:szCs w:val="24"/>
        </w:rPr>
      </w:pPr>
    </w:p>
    <w:p w:rsidR="006B7638" w:rsidRDefault="006B7638" w:rsidP="0016266D">
      <w:pPr>
        <w:autoSpaceDE w:val="0"/>
        <w:autoSpaceDN w:val="0"/>
        <w:adjustRightInd w:val="0"/>
        <w:spacing w:after="240" w:line="360" w:lineRule="auto"/>
        <w:ind w:firstLine="708"/>
        <w:jc w:val="both"/>
        <w:rPr>
          <w:rFonts w:eastAsia="Calibri"/>
          <w:sz w:val="24"/>
          <w:szCs w:val="24"/>
        </w:rPr>
      </w:pPr>
    </w:p>
    <w:p w:rsidR="006B7638" w:rsidRDefault="006B7638" w:rsidP="0016266D">
      <w:pPr>
        <w:autoSpaceDE w:val="0"/>
        <w:autoSpaceDN w:val="0"/>
        <w:adjustRightInd w:val="0"/>
        <w:spacing w:after="240" w:line="360" w:lineRule="auto"/>
        <w:ind w:firstLine="708"/>
        <w:jc w:val="both"/>
        <w:rPr>
          <w:rFonts w:eastAsia="Calibri"/>
          <w:sz w:val="24"/>
          <w:szCs w:val="24"/>
        </w:rPr>
      </w:pPr>
    </w:p>
    <w:p w:rsidR="006B7638" w:rsidRDefault="006B7638" w:rsidP="0016266D">
      <w:pPr>
        <w:autoSpaceDE w:val="0"/>
        <w:autoSpaceDN w:val="0"/>
        <w:adjustRightInd w:val="0"/>
        <w:spacing w:after="240" w:line="360" w:lineRule="auto"/>
        <w:ind w:firstLine="708"/>
        <w:jc w:val="both"/>
        <w:rPr>
          <w:rFonts w:eastAsia="Calibri"/>
          <w:sz w:val="24"/>
          <w:szCs w:val="24"/>
        </w:rPr>
      </w:pPr>
    </w:p>
    <w:p w:rsidR="006B7638" w:rsidRDefault="006B7638" w:rsidP="0016266D">
      <w:pPr>
        <w:autoSpaceDE w:val="0"/>
        <w:autoSpaceDN w:val="0"/>
        <w:adjustRightInd w:val="0"/>
        <w:spacing w:after="240" w:line="360" w:lineRule="auto"/>
        <w:ind w:firstLine="708"/>
        <w:jc w:val="both"/>
        <w:rPr>
          <w:rFonts w:eastAsia="Calibri"/>
          <w:sz w:val="24"/>
          <w:szCs w:val="24"/>
        </w:rPr>
      </w:pPr>
    </w:p>
    <w:p w:rsidR="006B7638" w:rsidRDefault="006B7638" w:rsidP="0016266D">
      <w:pPr>
        <w:autoSpaceDE w:val="0"/>
        <w:autoSpaceDN w:val="0"/>
        <w:adjustRightInd w:val="0"/>
        <w:spacing w:after="240" w:line="360" w:lineRule="auto"/>
        <w:ind w:firstLine="708"/>
        <w:jc w:val="both"/>
        <w:rPr>
          <w:b/>
          <w:bCs/>
          <w:color w:val="000000"/>
          <w:sz w:val="22"/>
          <w:szCs w:val="22"/>
        </w:rPr>
      </w:pPr>
    </w:p>
    <w:p w:rsidR="007A2813" w:rsidRPr="00410FAE" w:rsidRDefault="00F140BE" w:rsidP="0016266D">
      <w:pPr>
        <w:tabs>
          <w:tab w:val="left" w:pos="1290"/>
        </w:tabs>
        <w:spacing w:after="240"/>
        <w:jc w:val="both"/>
        <w:rPr>
          <w:b/>
          <w:bCs/>
          <w:color w:val="000000"/>
          <w:sz w:val="22"/>
          <w:szCs w:val="22"/>
        </w:rPr>
      </w:pPr>
      <w:r w:rsidRPr="00F140BE">
        <w:rPr>
          <w:bCs/>
          <w:color w:val="000000"/>
          <w:sz w:val="22"/>
          <w:szCs w:val="22"/>
        </w:rPr>
        <w:lastRenderedPageBreak/>
        <w:t>Gráfico1</w:t>
      </w:r>
      <w:r w:rsidR="006B7638">
        <w:rPr>
          <w:b/>
          <w:bCs/>
          <w:color w:val="000000"/>
          <w:sz w:val="22"/>
          <w:szCs w:val="22"/>
        </w:rPr>
        <w:t xml:space="preserve">. </w:t>
      </w:r>
      <w:r w:rsidR="00066968">
        <w:rPr>
          <w:bCs/>
          <w:color w:val="000000"/>
          <w:sz w:val="22"/>
          <w:szCs w:val="22"/>
        </w:rPr>
        <w:t>H</w:t>
      </w:r>
      <w:r w:rsidR="006A2D4F">
        <w:rPr>
          <w:bCs/>
          <w:color w:val="000000"/>
          <w:sz w:val="22"/>
          <w:szCs w:val="22"/>
        </w:rPr>
        <w:t>istograma da distribuição de cores da intenção de compra para as formulações F1, F2 e F3</w:t>
      </w:r>
      <w:r w:rsidR="009D1F0C">
        <w:rPr>
          <w:bCs/>
          <w:color w:val="000000"/>
          <w:sz w:val="22"/>
          <w:szCs w:val="22"/>
        </w:rPr>
        <w:t>.</w:t>
      </w:r>
      <w:r w:rsidR="000A7B2F">
        <w:rPr>
          <w:sz w:val="22"/>
          <w:szCs w:val="22"/>
        </w:rPr>
        <w:tab/>
      </w:r>
    </w:p>
    <w:p w:rsidR="001A5F89" w:rsidRDefault="001A5F89" w:rsidP="005D615F">
      <w:pPr>
        <w:tabs>
          <w:tab w:val="left" w:pos="1290"/>
        </w:tabs>
        <w:jc w:val="center"/>
        <w:rPr>
          <w:b/>
          <w:sz w:val="24"/>
          <w:szCs w:val="24"/>
        </w:rPr>
      </w:pPr>
      <w:r w:rsidRPr="001A5F89">
        <w:rPr>
          <w:b/>
          <w:noProof/>
          <w:sz w:val="24"/>
          <w:szCs w:val="24"/>
        </w:rPr>
        <w:drawing>
          <wp:inline distT="0" distB="0" distL="0" distR="0">
            <wp:extent cx="4796589" cy="2831432"/>
            <wp:effectExtent l="19050" t="0" r="23061" b="7018"/>
            <wp:docPr id="2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87874" w:rsidRDefault="002A4E37" w:rsidP="002A4E37">
      <w:pPr>
        <w:tabs>
          <w:tab w:val="left" w:pos="129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Fonte: Autores (2018</w:t>
      </w:r>
      <w:r w:rsidR="00587874">
        <w:rPr>
          <w:sz w:val="22"/>
          <w:szCs w:val="22"/>
        </w:rPr>
        <w:t>)</w:t>
      </w:r>
      <w:r w:rsidR="00587874" w:rsidRPr="00D13969">
        <w:rPr>
          <w:sz w:val="22"/>
          <w:szCs w:val="22"/>
        </w:rPr>
        <w:t>.</w:t>
      </w:r>
    </w:p>
    <w:p w:rsidR="008F1EB4" w:rsidRDefault="008F1EB4" w:rsidP="00BE733E">
      <w:pPr>
        <w:tabs>
          <w:tab w:val="left" w:pos="1290"/>
        </w:tabs>
        <w:spacing w:line="360" w:lineRule="auto"/>
        <w:rPr>
          <w:sz w:val="24"/>
          <w:szCs w:val="23"/>
        </w:rPr>
      </w:pPr>
    </w:p>
    <w:p w:rsidR="00080D5B" w:rsidRDefault="00D24643" w:rsidP="00A5415E">
      <w:pPr>
        <w:tabs>
          <w:tab w:val="left" w:pos="851"/>
          <w:tab w:val="left" w:pos="3046"/>
        </w:tabs>
        <w:spacing w:line="360" w:lineRule="auto"/>
        <w:jc w:val="both"/>
        <w:rPr>
          <w:sz w:val="24"/>
          <w:szCs w:val="23"/>
        </w:rPr>
      </w:pPr>
      <w:r>
        <w:rPr>
          <w:sz w:val="24"/>
          <w:szCs w:val="23"/>
        </w:rPr>
        <w:tab/>
      </w:r>
      <w:r w:rsidR="006F24CB">
        <w:rPr>
          <w:sz w:val="24"/>
          <w:szCs w:val="23"/>
        </w:rPr>
        <w:t>Dentre os 60 ju</w:t>
      </w:r>
      <w:r w:rsidR="00296582">
        <w:rPr>
          <w:sz w:val="24"/>
          <w:szCs w:val="23"/>
        </w:rPr>
        <w:t>l</w:t>
      </w:r>
      <w:r w:rsidR="006F24CB">
        <w:rPr>
          <w:sz w:val="24"/>
          <w:szCs w:val="23"/>
        </w:rPr>
        <w:t>gadores</w:t>
      </w:r>
      <w:r w:rsidR="00296582">
        <w:rPr>
          <w:sz w:val="24"/>
          <w:szCs w:val="23"/>
        </w:rPr>
        <w:t xml:space="preserve"> que avaliaram </w:t>
      </w:r>
      <w:r w:rsidR="00066968">
        <w:rPr>
          <w:sz w:val="24"/>
          <w:szCs w:val="23"/>
        </w:rPr>
        <w:t>a intenção de compra das formulações de bolo</w:t>
      </w:r>
      <w:r w:rsidR="0028770D">
        <w:rPr>
          <w:sz w:val="24"/>
          <w:szCs w:val="23"/>
        </w:rPr>
        <w:t xml:space="preserve">, </w:t>
      </w:r>
      <w:r w:rsidR="002A4E37">
        <w:rPr>
          <w:sz w:val="24"/>
          <w:szCs w:val="23"/>
        </w:rPr>
        <w:t xml:space="preserve">destacou-se o item </w:t>
      </w:r>
      <w:r w:rsidR="00080D5B">
        <w:rPr>
          <w:sz w:val="24"/>
          <w:szCs w:val="23"/>
        </w:rPr>
        <w:t>“</w:t>
      </w:r>
      <w:r w:rsidR="002A4E37">
        <w:rPr>
          <w:sz w:val="24"/>
          <w:szCs w:val="23"/>
        </w:rPr>
        <w:t>compraria</w:t>
      </w:r>
      <w:r w:rsidR="006B7638">
        <w:rPr>
          <w:sz w:val="24"/>
          <w:szCs w:val="23"/>
        </w:rPr>
        <w:t>”, com maior percentual</w:t>
      </w:r>
      <w:r w:rsidR="002A4E37">
        <w:rPr>
          <w:sz w:val="24"/>
          <w:szCs w:val="23"/>
        </w:rPr>
        <w:t xml:space="preserve"> para a </w:t>
      </w:r>
      <w:r w:rsidR="00080D5B">
        <w:rPr>
          <w:sz w:val="24"/>
          <w:szCs w:val="23"/>
        </w:rPr>
        <w:t>formulação</w:t>
      </w:r>
      <w:r>
        <w:rPr>
          <w:sz w:val="24"/>
          <w:szCs w:val="23"/>
        </w:rPr>
        <w:t xml:space="preserve"> F3</w:t>
      </w:r>
      <w:r w:rsidR="002A4E37">
        <w:rPr>
          <w:sz w:val="24"/>
          <w:szCs w:val="23"/>
        </w:rPr>
        <w:t xml:space="preserve"> com </w:t>
      </w:r>
      <w:r w:rsidR="00B0636A">
        <w:rPr>
          <w:sz w:val="24"/>
          <w:szCs w:val="23"/>
        </w:rPr>
        <w:t>75%</w:t>
      </w:r>
      <w:r w:rsidR="00066968">
        <w:rPr>
          <w:sz w:val="24"/>
          <w:szCs w:val="23"/>
        </w:rPr>
        <w:t>,</w:t>
      </w:r>
      <w:r w:rsidR="009D1F0C">
        <w:rPr>
          <w:sz w:val="24"/>
          <w:szCs w:val="23"/>
        </w:rPr>
        <w:t xml:space="preserve"> tornando-se </w:t>
      </w:r>
      <w:r w:rsidR="00F33174">
        <w:rPr>
          <w:sz w:val="24"/>
          <w:szCs w:val="23"/>
        </w:rPr>
        <w:t>um resultado promissor</w:t>
      </w:r>
      <w:r>
        <w:rPr>
          <w:sz w:val="24"/>
          <w:szCs w:val="23"/>
        </w:rPr>
        <w:t xml:space="preserve"> ao ser comparado com a</w:t>
      </w:r>
      <w:r w:rsidR="00B0636A">
        <w:rPr>
          <w:sz w:val="24"/>
          <w:szCs w:val="23"/>
        </w:rPr>
        <w:t>s</w:t>
      </w:r>
      <w:r>
        <w:rPr>
          <w:sz w:val="24"/>
          <w:szCs w:val="23"/>
        </w:rPr>
        <w:t xml:space="preserve"> formulaç</w:t>
      </w:r>
      <w:r w:rsidR="00B0636A">
        <w:rPr>
          <w:sz w:val="24"/>
          <w:szCs w:val="23"/>
        </w:rPr>
        <w:t>ões</w:t>
      </w:r>
      <w:r>
        <w:rPr>
          <w:sz w:val="24"/>
          <w:szCs w:val="23"/>
        </w:rPr>
        <w:t xml:space="preserve"> F1</w:t>
      </w:r>
      <w:r w:rsidR="00B0636A">
        <w:rPr>
          <w:sz w:val="24"/>
          <w:szCs w:val="23"/>
        </w:rPr>
        <w:t xml:space="preserve"> e F2</w:t>
      </w:r>
      <w:r w:rsidR="004A75F7">
        <w:rPr>
          <w:sz w:val="24"/>
          <w:szCs w:val="23"/>
        </w:rPr>
        <w:t>,</w:t>
      </w:r>
      <w:r>
        <w:rPr>
          <w:sz w:val="24"/>
          <w:szCs w:val="23"/>
        </w:rPr>
        <w:t xml:space="preserve"> que </w:t>
      </w:r>
      <w:r w:rsidR="00B0636A">
        <w:rPr>
          <w:sz w:val="24"/>
          <w:szCs w:val="23"/>
        </w:rPr>
        <w:t>obtiveram</w:t>
      </w:r>
      <w:r w:rsidR="006B7638">
        <w:rPr>
          <w:sz w:val="24"/>
          <w:szCs w:val="23"/>
        </w:rPr>
        <w:t xml:space="preserve"> um percentual de 52</w:t>
      </w:r>
      <w:r w:rsidR="00B0636A">
        <w:rPr>
          <w:sz w:val="24"/>
          <w:szCs w:val="23"/>
        </w:rPr>
        <w:t xml:space="preserve"> e 58</w:t>
      </w:r>
      <w:r w:rsidR="006B7638">
        <w:rPr>
          <w:sz w:val="24"/>
          <w:szCs w:val="23"/>
        </w:rPr>
        <w:t xml:space="preserve"> </w:t>
      </w:r>
      <w:r w:rsidR="00B0636A">
        <w:rPr>
          <w:sz w:val="24"/>
          <w:szCs w:val="23"/>
        </w:rPr>
        <w:t>% respectivamente.</w:t>
      </w:r>
    </w:p>
    <w:p w:rsidR="00A4121F" w:rsidRPr="002A4E37" w:rsidRDefault="00080D5B" w:rsidP="00A5415E">
      <w:pPr>
        <w:tabs>
          <w:tab w:val="left" w:pos="851"/>
          <w:tab w:val="left" w:pos="3046"/>
        </w:tabs>
        <w:spacing w:line="360" w:lineRule="auto"/>
        <w:jc w:val="both"/>
        <w:rPr>
          <w:sz w:val="24"/>
          <w:szCs w:val="23"/>
        </w:rPr>
      </w:pPr>
      <w:r>
        <w:rPr>
          <w:sz w:val="24"/>
          <w:szCs w:val="23"/>
        </w:rPr>
        <w:tab/>
      </w:r>
      <w:r w:rsidR="006B7638">
        <w:rPr>
          <w:sz w:val="24"/>
          <w:szCs w:val="22"/>
        </w:rPr>
        <w:t xml:space="preserve">Zavareza </w:t>
      </w:r>
      <w:r w:rsidR="00A5415E" w:rsidRPr="005D615F">
        <w:rPr>
          <w:sz w:val="24"/>
          <w:szCs w:val="22"/>
        </w:rPr>
        <w:t>et al. (2010),</w:t>
      </w:r>
      <w:r w:rsidR="006B7638">
        <w:rPr>
          <w:sz w:val="24"/>
          <w:szCs w:val="22"/>
        </w:rPr>
        <w:t xml:space="preserve"> </w:t>
      </w:r>
      <w:r w:rsidR="00066968">
        <w:rPr>
          <w:sz w:val="24"/>
          <w:szCs w:val="22"/>
        </w:rPr>
        <w:t>ao</w:t>
      </w:r>
      <w:r w:rsidR="00A5415E">
        <w:rPr>
          <w:sz w:val="24"/>
          <w:szCs w:val="22"/>
        </w:rPr>
        <w:t xml:space="preserve"> estud</w:t>
      </w:r>
      <w:r w:rsidR="00066968">
        <w:rPr>
          <w:sz w:val="24"/>
          <w:szCs w:val="22"/>
        </w:rPr>
        <w:t>ar</w:t>
      </w:r>
      <w:r w:rsidR="00FA14A5">
        <w:rPr>
          <w:sz w:val="24"/>
          <w:szCs w:val="22"/>
        </w:rPr>
        <w:t xml:space="preserve"> </w:t>
      </w:r>
      <w:r w:rsidR="00066968">
        <w:rPr>
          <w:sz w:val="24"/>
          <w:szCs w:val="22"/>
        </w:rPr>
        <w:t>em</w:t>
      </w:r>
      <w:r w:rsidR="00FA14A5">
        <w:rPr>
          <w:sz w:val="24"/>
          <w:szCs w:val="22"/>
        </w:rPr>
        <w:t xml:space="preserve"> </w:t>
      </w:r>
      <w:r w:rsidR="004C1ADF">
        <w:rPr>
          <w:sz w:val="24"/>
          <w:szCs w:val="22"/>
        </w:rPr>
        <w:t>bolos</w:t>
      </w:r>
      <w:r w:rsidR="00A5415E">
        <w:rPr>
          <w:sz w:val="24"/>
          <w:szCs w:val="22"/>
        </w:rPr>
        <w:t xml:space="preserve"> formulados com</w:t>
      </w:r>
      <w:r w:rsidR="004C1ADF">
        <w:rPr>
          <w:sz w:val="24"/>
          <w:szCs w:val="22"/>
        </w:rPr>
        <w:t xml:space="preserve"> soro </w:t>
      </w:r>
      <w:r w:rsidR="004C1ADF" w:rsidRPr="00080D5B">
        <w:rPr>
          <w:i/>
          <w:sz w:val="24"/>
          <w:szCs w:val="22"/>
        </w:rPr>
        <w:t>in natura</w:t>
      </w:r>
      <w:r w:rsidR="004C1ADF">
        <w:rPr>
          <w:sz w:val="24"/>
          <w:szCs w:val="22"/>
        </w:rPr>
        <w:t>, soro concentrado e soro desidratado,</w:t>
      </w:r>
      <w:r>
        <w:rPr>
          <w:sz w:val="24"/>
          <w:szCs w:val="22"/>
        </w:rPr>
        <w:t xml:space="preserve"> relat</w:t>
      </w:r>
      <w:r w:rsidR="00066968">
        <w:rPr>
          <w:sz w:val="24"/>
          <w:szCs w:val="22"/>
        </w:rPr>
        <w:t>aram</w:t>
      </w:r>
      <w:r>
        <w:rPr>
          <w:sz w:val="24"/>
          <w:szCs w:val="22"/>
        </w:rPr>
        <w:t xml:space="preserve"> que</w:t>
      </w:r>
      <w:r w:rsidR="00A5415E">
        <w:rPr>
          <w:sz w:val="24"/>
          <w:szCs w:val="22"/>
        </w:rPr>
        <w:t xml:space="preserve"> a formulação com soro concentradoalcançou</w:t>
      </w:r>
      <w:r w:rsidR="00A4121F">
        <w:rPr>
          <w:sz w:val="24"/>
          <w:szCs w:val="22"/>
        </w:rPr>
        <w:t xml:space="preserve">maior </w:t>
      </w:r>
      <w:r w:rsidR="004C1ADF">
        <w:rPr>
          <w:sz w:val="24"/>
          <w:szCs w:val="22"/>
        </w:rPr>
        <w:t>preferência</w:t>
      </w:r>
      <w:r w:rsidR="00933968">
        <w:rPr>
          <w:sz w:val="24"/>
          <w:szCs w:val="22"/>
        </w:rPr>
        <w:t xml:space="preserve"> pelos julgadores</w:t>
      </w:r>
      <w:r w:rsidR="00A4121F">
        <w:rPr>
          <w:sz w:val="24"/>
          <w:szCs w:val="22"/>
        </w:rPr>
        <w:t>.</w:t>
      </w:r>
      <w:r>
        <w:rPr>
          <w:sz w:val="24"/>
          <w:szCs w:val="22"/>
        </w:rPr>
        <w:t xml:space="preserve"> Logo</w:t>
      </w:r>
      <w:r w:rsidR="00B0636A">
        <w:rPr>
          <w:sz w:val="24"/>
          <w:szCs w:val="22"/>
        </w:rPr>
        <w:t>,</w:t>
      </w:r>
      <w:r w:rsidR="00FA14A5">
        <w:rPr>
          <w:sz w:val="24"/>
          <w:szCs w:val="22"/>
        </w:rPr>
        <w:t xml:space="preserve"> </w:t>
      </w:r>
      <w:r w:rsidR="00B0636A">
        <w:rPr>
          <w:sz w:val="24"/>
          <w:szCs w:val="22"/>
        </w:rPr>
        <w:t>a</w:t>
      </w:r>
      <w:r>
        <w:rPr>
          <w:sz w:val="24"/>
          <w:szCs w:val="22"/>
        </w:rPr>
        <w:t xml:space="preserve">s características </w:t>
      </w:r>
      <w:r w:rsidR="00B0636A">
        <w:rPr>
          <w:sz w:val="24"/>
          <w:szCs w:val="22"/>
        </w:rPr>
        <w:t xml:space="preserve">nutricionais contidas no soro do leite, </w:t>
      </w:r>
      <w:r w:rsidR="0040312E">
        <w:rPr>
          <w:sz w:val="24"/>
          <w:szCs w:val="22"/>
        </w:rPr>
        <w:t>podem estar influenciando</w:t>
      </w:r>
      <w:r w:rsidR="00B0636A">
        <w:rPr>
          <w:sz w:val="24"/>
          <w:szCs w:val="22"/>
        </w:rPr>
        <w:t xml:space="preserve"> nas características sensoriais</w:t>
      </w:r>
      <w:r w:rsidR="0040312E">
        <w:rPr>
          <w:sz w:val="24"/>
          <w:szCs w:val="22"/>
        </w:rPr>
        <w:t xml:space="preserve"> finais</w:t>
      </w:r>
      <w:r w:rsidR="00B0636A">
        <w:rPr>
          <w:sz w:val="24"/>
          <w:szCs w:val="22"/>
        </w:rPr>
        <w:t xml:space="preserve"> do produto.</w:t>
      </w:r>
    </w:p>
    <w:p w:rsidR="0016266D" w:rsidRDefault="0016266D" w:rsidP="0016266D">
      <w:pPr>
        <w:rPr>
          <w:b/>
          <w:sz w:val="22"/>
          <w:szCs w:val="22"/>
        </w:rPr>
      </w:pPr>
    </w:p>
    <w:p w:rsidR="007307E5" w:rsidRDefault="0012462E" w:rsidP="0012462E">
      <w:pPr>
        <w:tabs>
          <w:tab w:val="left" w:pos="129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42057D">
        <w:rPr>
          <w:b/>
          <w:sz w:val="24"/>
          <w:szCs w:val="24"/>
        </w:rPr>
        <w:t>CONCLUSÃO</w:t>
      </w:r>
    </w:p>
    <w:p w:rsidR="007307E5" w:rsidRDefault="007307E5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4F07EE" w:rsidRPr="006B7638" w:rsidRDefault="00B006A2" w:rsidP="006B7638">
      <w:pPr>
        <w:tabs>
          <w:tab w:val="left" w:pos="851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 w:rsidR="00555B5E">
        <w:rPr>
          <w:sz w:val="24"/>
          <w:szCs w:val="28"/>
        </w:rPr>
        <w:t>O bolo elaborado</w:t>
      </w:r>
      <w:r w:rsidR="000469D2" w:rsidRPr="0016266D">
        <w:rPr>
          <w:sz w:val="24"/>
          <w:szCs w:val="28"/>
        </w:rPr>
        <w:t xml:space="preserve"> com o soro de leite</w:t>
      </w:r>
      <w:r w:rsidR="00555B5E">
        <w:rPr>
          <w:sz w:val="24"/>
          <w:szCs w:val="28"/>
        </w:rPr>
        <w:t xml:space="preserve"> bubalino</w:t>
      </w:r>
      <w:r w:rsidR="000469D2" w:rsidRPr="0016266D">
        <w:rPr>
          <w:sz w:val="24"/>
          <w:szCs w:val="28"/>
        </w:rPr>
        <w:t xml:space="preserve"> apresentou resultado</w:t>
      </w:r>
      <w:r>
        <w:rPr>
          <w:sz w:val="24"/>
          <w:szCs w:val="28"/>
        </w:rPr>
        <w:t>s</w:t>
      </w:r>
      <w:r w:rsidR="000469D2" w:rsidRPr="0016266D">
        <w:rPr>
          <w:sz w:val="24"/>
          <w:szCs w:val="28"/>
        </w:rPr>
        <w:t xml:space="preserve"> positivos, na composição físico-química</w:t>
      </w:r>
      <w:r w:rsidR="00C62510" w:rsidRPr="00410FAE">
        <w:rPr>
          <w:sz w:val="24"/>
          <w:szCs w:val="28"/>
        </w:rPr>
        <w:t xml:space="preserve"> e sensorial, pelo fato de</w:t>
      </w:r>
      <w:r w:rsidR="00555B5E">
        <w:rPr>
          <w:sz w:val="24"/>
          <w:szCs w:val="28"/>
        </w:rPr>
        <w:t xml:space="preserve"> ser uma matéria-</w:t>
      </w:r>
      <w:r w:rsidR="00C62510" w:rsidRPr="00410FAE">
        <w:rPr>
          <w:sz w:val="24"/>
          <w:szCs w:val="28"/>
        </w:rPr>
        <w:t>prima</w:t>
      </w:r>
      <w:r w:rsidR="00D917DB">
        <w:rPr>
          <w:sz w:val="24"/>
          <w:szCs w:val="28"/>
        </w:rPr>
        <w:t xml:space="preserve"> rica </w:t>
      </w:r>
      <w:r w:rsidR="00C62510">
        <w:rPr>
          <w:sz w:val="24"/>
          <w:szCs w:val="28"/>
        </w:rPr>
        <w:t>nutricional</w:t>
      </w:r>
      <w:r w:rsidR="00D917DB">
        <w:rPr>
          <w:sz w:val="24"/>
          <w:szCs w:val="28"/>
        </w:rPr>
        <w:t>mente</w:t>
      </w:r>
      <w:r w:rsidR="00C62510">
        <w:rPr>
          <w:sz w:val="24"/>
          <w:szCs w:val="28"/>
        </w:rPr>
        <w:t xml:space="preserve"> e apresent</w:t>
      </w:r>
      <w:r w:rsidR="00555B5E">
        <w:rPr>
          <w:sz w:val="24"/>
          <w:szCs w:val="28"/>
        </w:rPr>
        <w:t>ar características sensórias agradáveis</w:t>
      </w:r>
      <w:r w:rsidR="00C62510">
        <w:rPr>
          <w:sz w:val="24"/>
          <w:szCs w:val="28"/>
        </w:rPr>
        <w:t xml:space="preserve"> ao paladar</w:t>
      </w:r>
      <w:r w:rsidR="00555B5E">
        <w:rPr>
          <w:sz w:val="24"/>
          <w:szCs w:val="28"/>
        </w:rPr>
        <w:t>. Desta forma,</w:t>
      </w:r>
      <w:r w:rsidR="001551B1">
        <w:rPr>
          <w:sz w:val="24"/>
          <w:szCs w:val="28"/>
        </w:rPr>
        <w:t xml:space="preserve"> a elaboração de bolo com substituição parcial ou total </w:t>
      </w:r>
      <w:r w:rsidR="00555B5E">
        <w:rPr>
          <w:sz w:val="24"/>
          <w:szCs w:val="28"/>
        </w:rPr>
        <w:t xml:space="preserve">da água pelo soro </w:t>
      </w:r>
      <w:r w:rsidR="005E54D5">
        <w:rPr>
          <w:sz w:val="24"/>
          <w:szCs w:val="28"/>
        </w:rPr>
        <w:t>de leite</w:t>
      </w:r>
      <w:r w:rsidR="00555B5E">
        <w:rPr>
          <w:sz w:val="24"/>
          <w:szCs w:val="28"/>
        </w:rPr>
        <w:t xml:space="preserve"> bubalino</w:t>
      </w:r>
      <w:r w:rsidR="005E54D5">
        <w:rPr>
          <w:sz w:val="24"/>
          <w:szCs w:val="28"/>
        </w:rPr>
        <w:t xml:space="preserve"> é viável,</w:t>
      </w:r>
      <w:r w:rsidR="00FA14A5">
        <w:rPr>
          <w:sz w:val="24"/>
          <w:szCs w:val="28"/>
        </w:rPr>
        <w:t xml:space="preserve"> </w:t>
      </w:r>
      <w:r w:rsidR="00555B5E">
        <w:rPr>
          <w:sz w:val="24"/>
          <w:szCs w:val="28"/>
        </w:rPr>
        <w:t>podendo ser um</w:t>
      </w:r>
      <w:r w:rsidR="00D917DB">
        <w:rPr>
          <w:sz w:val="24"/>
          <w:szCs w:val="28"/>
        </w:rPr>
        <w:t>a nova alternativa de</w:t>
      </w:r>
      <w:r w:rsidR="00555B5E">
        <w:rPr>
          <w:sz w:val="24"/>
          <w:szCs w:val="28"/>
        </w:rPr>
        <w:t xml:space="preserve"> produto no mercado</w:t>
      </w:r>
      <w:r w:rsidR="00D917DB">
        <w:rPr>
          <w:sz w:val="24"/>
          <w:szCs w:val="28"/>
        </w:rPr>
        <w:t xml:space="preserve"> local</w:t>
      </w:r>
      <w:r w:rsidR="00555B5E">
        <w:rPr>
          <w:sz w:val="24"/>
          <w:szCs w:val="28"/>
        </w:rPr>
        <w:t>, tornando-se</w:t>
      </w:r>
      <w:r w:rsidR="00FA14A5">
        <w:rPr>
          <w:sz w:val="24"/>
          <w:szCs w:val="28"/>
        </w:rPr>
        <w:t xml:space="preserve"> </w:t>
      </w:r>
      <w:r w:rsidR="00D917DB">
        <w:rPr>
          <w:sz w:val="24"/>
          <w:szCs w:val="28"/>
        </w:rPr>
        <w:t xml:space="preserve">assim </w:t>
      </w:r>
      <w:r>
        <w:rPr>
          <w:sz w:val="24"/>
          <w:szCs w:val="28"/>
        </w:rPr>
        <w:t>uma</w:t>
      </w:r>
      <w:r w:rsidR="00555B5E">
        <w:rPr>
          <w:sz w:val="24"/>
          <w:szCs w:val="28"/>
        </w:rPr>
        <w:t xml:space="preserve"> alt</w:t>
      </w:r>
      <w:r w:rsidR="006B7638">
        <w:rPr>
          <w:sz w:val="24"/>
          <w:szCs w:val="28"/>
        </w:rPr>
        <w:t>ernativa saudável ao consumidor</w:t>
      </w:r>
      <w:r w:rsidR="00FA14A5">
        <w:rPr>
          <w:sz w:val="24"/>
          <w:szCs w:val="28"/>
        </w:rPr>
        <w:t>.</w:t>
      </w:r>
    </w:p>
    <w:p w:rsidR="0012462E" w:rsidRDefault="0012462E" w:rsidP="00223C84">
      <w:pPr>
        <w:tabs>
          <w:tab w:val="left" w:pos="1290"/>
        </w:tabs>
        <w:jc w:val="both"/>
        <w:rPr>
          <w:color w:val="FF0000"/>
          <w:sz w:val="24"/>
          <w:szCs w:val="24"/>
        </w:rPr>
      </w:pPr>
      <w:r w:rsidRPr="00001E41">
        <w:rPr>
          <w:b/>
          <w:sz w:val="24"/>
          <w:szCs w:val="24"/>
        </w:rPr>
        <w:lastRenderedPageBreak/>
        <w:t xml:space="preserve">REFERÊNCIAS </w:t>
      </w:r>
    </w:p>
    <w:p w:rsidR="005A562F" w:rsidRDefault="005A562F" w:rsidP="005A562F">
      <w:pPr>
        <w:autoSpaceDE w:val="0"/>
        <w:autoSpaceDN w:val="0"/>
        <w:adjustRightInd w:val="0"/>
        <w:rPr>
          <w:sz w:val="24"/>
          <w:szCs w:val="28"/>
        </w:rPr>
      </w:pPr>
    </w:p>
    <w:p w:rsidR="000941DE" w:rsidRDefault="000941DE" w:rsidP="00555B5E">
      <w:pPr>
        <w:autoSpaceDE w:val="0"/>
        <w:autoSpaceDN w:val="0"/>
        <w:adjustRightInd w:val="0"/>
        <w:jc w:val="both"/>
        <w:rPr>
          <w:rFonts w:eastAsia="MinionPro-Regular"/>
          <w:sz w:val="24"/>
        </w:rPr>
      </w:pPr>
      <w:r w:rsidRPr="000941DE">
        <w:rPr>
          <w:bCs/>
          <w:sz w:val="24"/>
        </w:rPr>
        <w:t>BASSAN, Juliana Cristina. Caracterização Do Soro De Lei</w:t>
      </w:r>
      <w:r w:rsidR="005A562F">
        <w:rPr>
          <w:bCs/>
          <w:sz w:val="24"/>
        </w:rPr>
        <w:t xml:space="preserve">te De Búfala: Identificação Das </w:t>
      </w:r>
      <w:r w:rsidRPr="000941DE">
        <w:rPr>
          <w:bCs/>
          <w:sz w:val="24"/>
        </w:rPr>
        <w:t xml:space="preserve">Proteínas E Produção De Hidrolisados Com Médio </w:t>
      </w:r>
      <w:r w:rsidR="005A562F">
        <w:rPr>
          <w:bCs/>
          <w:sz w:val="24"/>
        </w:rPr>
        <w:t xml:space="preserve">E Alto Grau De Hidrólise. 2012. </w:t>
      </w:r>
      <w:r w:rsidRPr="000941DE">
        <w:rPr>
          <w:bCs/>
          <w:sz w:val="24"/>
        </w:rPr>
        <w:t>f.71</w:t>
      </w:r>
      <w:r w:rsidR="00084F5C">
        <w:rPr>
          <w:bCs/>
          <w:sz w:val="24"/>
        </w:rPr>
        <w:t>.</w:t>
      </w:r>
      <w:r w:rsidRPr="00084F5C">
        <w:rPr>
          <w:b/>
          <w:bCs/>
          <w:sz w:val="24"/>
        </w:rPr>
        <w:t>Dissertação</w:t>
      </w:r>
      <w:r w:rsidRPr="000941DE">
        <w:rPr>
          <w:bCs/>
          <w:sz w:val="24"/>
        </w:rPr>
        <w:t xml:space="preserve"> (mestrado)</w:t>
      </w:r>
      <w:r w:rsidRPr="000941DE">
        <w:rPr>
          <w:sz w:val="24"/>
          <w:shd w:val="clear" w:color="auto" w:fill="FFFFFF"/>
        </w:rPr>
        <w:t xml:space="preserve"> Universidade Estadual </w:t>
      </w:r>
      <w:r w:rsidR="005A562F">
        <w:rPr>
          <w:sz w:val="24"/>
          <w:shd w:val="clear" w:color="auto" w:fill="FFFFFF"/>
        </w:rPr>
        <w:t xml:space="preserve">Paulista, Faculdade de Ciências </w:t>
      </w:r>
      <w:r w:rsidRPr="000941DE">
        <w:rPr>
          <w:sz w:val="24"/>
          <w:shd w:val="clear" w:color="auto" w:fill="FFFFFF"/>
        </w:rPr>
        <w:t xml:space="preserve">Farmacêuticas, </w:t>
      </w:r>
      <w:r w:rsidRPr="000941DE">
        <w:rPr>
          <w:bCs/>
          <w:sz w:val="24"/>
        </w:rPr>
        <w:t xml:space="preserve">Araraquara, 2012. </w:t>
      </w:r>
      <w:r w:rsidR="005A562F">
        <w:rPr>
          <w:rFonts w:eastAsia="MinionPro-Regular"/>
          <w:sz w:val="24"/>
        </w:rPr>
        <w:t xml:space="preserve">Disponível em: </w:t>
      </w:r>
      <w:r w:rsidR="00084F5C">
        <w:rPr>
          <w:rFonts w:eastAsia="MinionPro-Regular"/>
          <w:sz w:val="24"/>
        </w:rPr>
        <w:t>&lt;</w:t>
      </w:r>
      <w:hyperlink r:id="rId15" w:history="1">
        <w:r w:rsidR="00084F5C" w:rsidRPr="00084F5C">
          <w:rPr>
            <w:rStyle w:val="Hyperlink"/>
            <w:rFonts w:eastAsia="MinionPro-Regular"/>
            <w:color w:val="auto"/>
            <w:sz w:val="24"/>
            <w:u w:val="none"/>
          </w:rPr>
          <w:t>https://repositorio.unesp.br/handle/11449/96241</w:t>
        </w:r>
      </w:hyperlink>
      <w:r w:rsidR="00084F5C">
        <w:rPr>
          <w:rFonts w:eastAsia="MinionPro-Regular"/>
          <w:sz w:val="24"/>
        </w:rPr>
        <w:t>&gt;.   acesso em: 20 out. 2018</w:t>
      </w:r>
      <w:r w:rsidRPr="000941DE">
        <w:rPr>
          <w:rFonts w:eastAsia="MinionPro-Regular"/>
          <w:sz w:val="24"/>
        </w:rPr>
        <w:t>.</w:t>
      </w:r>
    </w:p>
    <w:p w:rsidR="00682EDE" w:rsidRDefault="00682EDE" w:rsidP="00555B5E">
      <w:pPr>
        <w:jc w:val="both"/>
        <w:rPr>
          <w:color w:val="000000"/>
          <w:sz w:val="24"/>
          <w:szCs w:val="18"/>
        </w:rPr>
      </w:pPr>
    </w:p>
    <w:p w:rsidR="00896ABF" w:rsidRPr="0016266D" w:rsidRDefault="00682EDE" w:rsidP="00555B5E">
      <w:pPr>
        <w:jc w:val="both"/>
        <w:rPr>
          <w:color w:val="000000"/>
          <w:sz w:val="24"/>
          <w:szCs w:val="18"/>
        </w:rPr>
      </w:pPr>
      <w:r w:rsidRPr="0078307B">
        <w:rPr>
          <w:color w:val="000000"/>
          <w:sz w:val="24"/>
          <w:szCs w:val="18"/>
        </w:rPr>
        <w:t xml:space="preserve">ESTELLER, M. S.; ZANCANARO JÚNIOR, O.; LANNE, S. C. S. Bolo de “chocolate” produzido com pó de cupuaçu e kefir. </w:t>
      </w:r>
      <w:r w:rsidRPr="0078307B">
        <w:rPr>
          <w:b/>
          <w:bCs/>
          <w:color w:val="000000"/>
          <w:sz w:val="24"/>
          <w:szCs w:val="18"/>
        </w:rPr>
        <w:t>Revista Brasileira de Ciências Farmacêuticas</w:t>
      </w:r>
      <w:r w:rsidRPr="0078307B">
        <w:rPr>
          <w:color w:val="000000"/>
          <w:sz w:val="24"/>
          <w:szCs w:val="18"/>
        </w:rPr>
        <w:t>, São Paulo, v. 42, n. 3, p. 447-454, 2006. Disponível em:&lt;http://dx.doi.org/10.1590/S1516- 93322006000300014&gt;. Acesso em 01 nov. 2018.</w:t>
      </w:r>
    </w:p>
    <w:p w:rsidR="000941DE" w:rsidRDefault="000941DE" w:rsidP="00555B5E">
      <w:pPr>
        <w:autoSpaceDE w:val="0"/>
        <w:autoSpaceDN w:val="0"/>
        <w:adjustRightInd w:val="0"/>
        <w:jc w:val="both"/>
        <w:rPr>
          <w:rFonts w:eastAsia="MinionPro-Regular"/>
        </w:rPr>
      </w:pPr>
    </w:p>
    <w:p w:rsidR="00223C84" w:rsidRPr="000941DE" w:rsidRDefault="00223C84" w:rsidP="00555B5E">
      <w:pPr>
        <w:autoSpaceDE w:val="0"/>
        <w:autoSpaceDN w:val="0"/>
        <w:adjustRightInd w:val="0"/>
        <w:jc w:val="both"/>
        <w:rPr>
          <w:rFonts w:eastAsia="MinionPro-Regular"/>
          <w:sz w:val="24"/>
          <w:szCs w:val="24"/>
          <w:lang w:eastAsia="en-US"/>
        </w:rPr>
      </w:pPr>
      <w:r w:rsidRPr="00223C84">
        <w:rPr>
          <w:rFonts w:eastAsia="MinionPro-Regular"/>
          <w:sz w:val="24"/>
          <w:szCs w:val="24"/>
          <w:lang w:eastAsia="en-US"/>
        </w:rPr>
        <w:t xml:space="preserve">FERREIRA, Ana Carla Oliveira et al. Criação de búfalos no Brasil. </w:t>
      </w:r>
      <w:r w:rsidRPr="00223C84">
        <w:rPr>
          <w:rFonts w:eastAsia="MinionPro-Regular"/>
          <w:b/>
          <w:sz w:val="24"/>
          <w:szCs w:val="24"/>
          <w:lang w:eastAsia="en-US"/>
        </w:rPr>
        <w:t>Petvet</w:t>
      </w:r>
      <w:r w:rsidRPr="00223C84">
        <w:rPr>
          <w:rFonts w:eastAsia="MinionPro-Regular"/>
          <w:sz w:val="24"/>
          <w:szCs w:val="24"/>
          <w:lang w:eastAsia="en-US"/>
        </w:rPr>
        <w:t>, Belem, ano 1, n.9, 2014, Cartilha. Disponível em: &lt;www.petvet.ufra.edu.br/images/cartilhapetvet2014.</w:t>
      </w:r>
      <w:r w:rsidR="00084F5C">
        <w:rPr>
          <w:rFonts w:eastAsia="MinionPro-Regular"/>
          <w:sz w:val="24"/>
          <w:szCs w:val="24"/>
          <w:lang w:eastAsia="en-US"/>
        </w:rPr>
        <w:t>9.pdf.&gt;. Acesso em: 22 out. 2018</w:t>
      </w:r>
      <w:r w:rsidRPr="00223C84">
        <w:rPr>
          <w:rFonts w:eastAsia="MinionPro-Regular"/>
          <w:sz w:val="24"/>
          <w:szCs w:val="24"/>
          <w:lang w:eastAsia="en-US"/>
        </w:rPr>
        <w:t>.</w:t>
      </w:r>
    </w:p>
    <w:p w:rsidR="00223C84" w:rsidRDefault="00223C84" w:rsidP="00555B5E">
      <w:pPr>
        <w:autoSpaceDE w:val="0"/>
        <w:autoSpaceDN w:val="0"/>
        <w:adjustRightInd w:val="0"/>
        <w:jc w:val="both"/>
        <w:rPr>
          <w:rFonts w:eastAsia="MinionPro-Regular"/>
          <w:sz w:val="24"/>
          <w:szCs w:val="24"/>
          <w:lang w:eastAsia="en-US"/>
        </w:rPr>
      </w:pPr>
    </w:p>
    <w:p w:rsidR="000941DE" w:rsidRPr="000941DE" w:rsidRDefault="000941DE" w:rsidP="00555B5E">
      <w:pPr>
        <w:autoSpaceDE w:val="0"/>
        <w:autoSpaceDN w:val="0"/>
        <w:adjustRightInd w:val="0"/>
        <w:jc w:val="both"/>
        <w:rPr>
          <w:rFonts w:eastAsia="MinionPro-Regular"/>
          <w:sz w:val="24"/>
          <w:szCs w:val="24"/>
          <w:lang w:eastAsia="en-US"/>
        </w:rPr>
      </w:pPr>
      <w:r>
        <w:rPr>
          <w:rFonts w:eastAsia="MinionPro-Regular"/>
          <w:sz w:val="24"/>
          <w:szCs w:val="24"/>
          <w:lang w:eastAsia="en-US"/>
        </w:rPr>
        <w:t xml:space="preserve">INSTITUTO ADOLF LUTZ. </w:t>
      </w:r>
      <w:r>
        <w:rPr>
          <w:rFonts w:eastAsia="MinionPro-Regular"/>
          <w:b/>
          <w:sz w:val="24"/>
          <w:szCs w:val="24"/>
          <w:lang w:eastAsia="en-US"/>
        </w:rPr>
        <w:t>Métodos físico-químicos para análise de alimentos</w:t>
      </w:r>
      <w:r>
        <w:rPr>
          <w:rFonts w:eastAsia="MinionPro-Regular"/>
          <w:sz w:val="24"/>
          <w:szCs w:val="24"/>
          <w:lang w:eastAsia="en-US"/>
        </w:rPr>
        <w:t>. ed. 4. São Paulo, 2008.</w:t>
      </w:r>
      <w:r w:rsidR="00084F5C">
        <w:rPr>
          <w:rFonts w:eastAsia="MinionPro-Regular"/>
          <w:sz w:val="24"/>
          <w:szCs w:val="24"/>
          <w:lang w:eastAsia="en-US"/>
        </w:rPr>
        <w:t xml:space="preserve"> Disponível em:&lt;</w:t>
      </w:r>
      <w:hyperlink r:id="rId16" w:history="1">
        <w:r w:rsidR="00084F5C" w:rsidRPr="00084F5C">
          <w:rPr>
            <w:rStyle w:val="Hyperlink"/>
            <w:rFonts w:eastAsia="MinionPro-Regular"/>
            <w:color w:val="auto"/>
            <w:sz w:val="24"/>
            <w:szCs w:val="24"/>
            <w:u w:val="none"/>
            <w:lang w:eastAsia="en-US"/>
          </w:rPr>
          <w:t>https://www.crq4.org.br/sms/files/file/analisedealimentosial_2008.pdf</w:t>
        </w:r>
      </w:hyperlink>
      <w:r w:rsidR="00084F5C">
        <w:rPr>
          <w:rFonts w:eastAsia="MinionPro-Regular"/>
          <w:sz w:val="24"/>
          <w:szCs w:val="24"/>
          <w:lang w:eastAsia="en-US"/>
        </w:rPr>
        <w:t>&gt;.Acesso em:</w:t>
      </w:r>
    </w:p>
    <w:p w:rsidR="000941DE" w:rsidRDefault="000941DE" w:rsidP="00555B5E">
      <w:pPr>
        <w:pStyle w:val="Default"/>
        <w:jc w:val="both"/>
        <w:rPr>
          <w:rFonts w:ascii="Times New Roman" w:hAnsi="Times New Roman" w:cs="Times New Roman"/>
        </w:rPr>
      </w:pPr>
    </w:p>
    <w:p w:rsidR="000941DE" w:rsidRPr="00223C84" w:rsidRDefault="000941DE" w:rsidP="00555B5E">
      <w:pPr>
        <w:pStyle w:val="Default"/>
        <w:jc w:val="both"/>
        <w:rPr>
          <w:rFonts w:ascii="Times New Roman" w:eastAsia="MinionPro-Regular" w:hAnsi="Times New Roman" w:cs="Times New Roman"/>
          <w:szCs w:val="18"/>
        </w:rPr>
      </w:pPr>
      <w:r w:rsidRPr="00223C84">
        <w:rPr>
          <w:rFonts w:ascii="Times New Roman" w:hAnsi="Times New Roman" w:cs="Times New Roman"/>
        </w:rPr>
        <w:t xml:space="preserve">LIRA, Hércules de Lucena et al. </w:t>
      </w:r>
      <w:r w:rsidRPr="00223C84">
        <w:rPr>
          <w:rFonts w:ascii="Times New Roman" w:hAnsi="Times New Roman" w:cs="Times New Roman"/>
          <w:bCs/>
        </w:rPr>
        <w:t xml:space="preserve">Microfiltração do soro de leite de búfala utilizando membranas cerâmicas como alternativa ao processo de pasteurização. </w:t>
      </w:r>
      <w:r w:rsidRPr="00223C84">
        <w:rPr>
          <w:rFonts w:ascii="Times New Roman" w:hAnsi="Times New Roman" w:cs="Times New Roman"/>
          <w:b/>
          <w:szCs w:val="16"/>
        </w:rPr>
        <w:t>Ciênc</w:t>
      </w:r>
      <w:r w:rsidR="006B7638">
        <w:rPr>
          <w:rFonts w:ascii="Times New Roman" w:hAnsi="Times New Roman" w:cs="Times New Roman"/>
          <w:b/>
          <w:szCs w:val="16"/>
        </w:rPr>
        <w:t>ia Tecnologia de</w:t>
      </w:r>
      <w:r w:rsidRPr="00223C84">
        <w:rPr>
          <w:rFonts w:ascii="Times New Roman" w:hAnsi="Times New Roman" w:cs="Times New Roman"/>
          <w:b/>
          <w:szCs w:val="16"/>
        </w:rPr>
        <w:t xml:space="preserve"> </w:t>
      </w:r>
      <w:r w:rsidRPr="006B7638">
        <w:rPr>
          <w:rFonts w:ascii="Times New Roman" w:hAnsi="Times New Roman" w:cs="Times New Roman"/>
          <w:b/>
          <w:szCs w:val="16"/>
        </w:rPr>
        <w:t>Aliment</w:t>
      </w:r>
      <w:r w:rsidR="006B7638" w:rsidRPr="006B7638">
        <w:rPr>
          <w:rFonts w:ascii="Times New Roman" w:hAnsi="Times New Roman" w:cs="Times New Roman"/>
          <w:b/>
          <w:szCs w:val="16"/>
        </w:rPr>
        <w:t>os.</w:t>
      </w:r>
      <w:r w:rsidR="006B7638">
        <w:rPr>
          <w:rFonts w:ascii="Times New Roman" w:hAnsi="Times New Roman" w:cs="Times New Roman"/>
          <w:szCs w:val="16"/>
        </w:rPr>
        <w:t xml:space="preserve"> </w:t>
      </w:r>
      <w:r w:rsidRPr="00223C84">
        <w:rPr>
          <w:rFonts w:ascii="Times New Roman" w:hAnsi="Times New Roman" w:cs="Times New Roman"/>
          <w:szCs w:val="16"/>
        </w:rPr>
        <w:t xml:space="preserve">Campinas, 2009. </w:t>
      </w:r>
      <w:r w:rsidRPr="00223C84">
        <w:rPr>
          <w:rFonts w:ascii="Times New Roman" w:eastAsia="MinionPro-Regular" w:hAnsi="Times New Roman" w:cs="Times New Roman"/>
          <w:szCs w:val="18"/>
        </w:rPr>
        <w:t>Disponível em:</w:t>
      </w:r>
      <w:r w:rsidR="00084F5C">
        <w:rPr>
          <w:rFonts w:ascii="Times New Roman" w:eastAsia="MinionPro-Regular" w:hAnsi="Times New Roman" w:cs="Times New Roman"/>
          <w:szCs w:val="18"/>
        </w:rPr>
        <w:t>&lt;</w:t>
      </w:r>
      <w:hyperlink r:id="rId17" w:history="1">
        <w:r w:rsidR="00084F5C" w:rsidRPr="00084F5C">
          <w:rPr>
            <w:rStyle w:val="Hyperlink"/>
            <w:rFonts w:ascii="Times New Roman" w:eastAsia="MinionPro-Regular" w:hAnsi="Times New Roman" w:cs="Times New Roman"/>
            <w:color w:val="auto"/>
            <w:szCs w:val="18"/>
            <w:u w:val="none"/>
          </w:rPr>
          <w:t>http://www.readcube.com/articles/10.1590/s0101-20612009000100006</w:t>
        </w:r>
      </w:hyperlink>
      <w:r w:rsidR="00084F5C">
        <w:rPr>
          <w:rFonts w:ascii="Times New Roman" w:eastAsia="MinionPro-Regular" w:hAnsi="Times New Roman" w:cs="Times New Roman"/>
          <w:szCs w:val="18"/>
        </w:rPr>
        <w:t>&gt;.</w:t>
      </w:r>
      <w:r w:rsidR="00796215">
        <w:rPr>
          <w:rFonts w:ascii="Times New Roman" w:eastAsia="MinionPro-Regular" w:hAnsi="Times New Roman" w:cs="Times New Roman"/>
          <w:szCs w:val="18"/>
        </w:rPr>
        <w:t xml:space="preserve"> A</w:t>
      </w:r>
      <w:r w:rsidRPr="00223C84">
        <w:rPr>
          <w:rFonts w:ascii="Times New Roman" w:eastAsia="MinionPro-Regular" w:hAnsi="Times New Roman" w:cs="Times New Roman"/>
          <w:szCs w:val="18"/>
        </w:rPr>
        <w:t>cesso em: 20 o</w:t>
      </w:r>
      <w:r w:rsidR="00084F5C">
        <w:rPr>
          <w:rFonts w:ascii="Times New Roman" w:eastAsia="MinionPro-Regular" w:hAnsi="Times New Roman" w:cs="Times New Roman"/>
          <w:szCs w:val="18"/>
        </w:rPr>
        <w:t>ut. 2018</w:t>
      </w:r>
      <w:r w:rsidRPr="00223C84">
        <w:rPr>
          <w:rFonts w:ascii="Times New Roman" w:eastAsia="MinionPro-Regular" w:hAnsi="Times New Roman" w:cs="Times New Roman"/>
          <w:szCs w:val="18"/>
        </w:rPr>
        <w:t>.</w:t>
      </w:r>
    </w:p>
    <w:p w:rsidR="000941DE" w:rsidRDefault="000941DE" w:rsidP="00555B5E">
      <w:pPr>
        <w:autoSpaceDE w:val="0"/>
        <w:autoSpaceDN w:val="0"/>
        <w:adjustRightInd w:val="0"/>
        <w:jc w:val="both"/>
        <w:rPr>
          <w:rFonts w:eastAsia="MinionPro-Regular"/>
          <w:sz w:val="24"/>
          <w:szCs w:val="24"/>
          <w:lang w:eastAsia="en-US"/>
        </w:rPr>
      </w:pPr>
    </w:p>
    <w:p w:rsidR="00223C84" w:rsidRPr="00223C84" w:rsidRDefault="00223C84" w:rsidP="00555B5E">
      <w:pPr>
        <w:autoSpaceDE w:val="0"/>
        <w:autoSpaceDN w:val="0"/>
        <w:adjustRightInd w:val="0"/>
        <w:jc w:val="both"/>
        <w:rPr>
          <w:rFonts w:eastAsia="MinionPro-Regular"/>
          <w:sz w:val="24"/>
          <w:szCs w:val="18"/>
          <w:lang w:eastAsia="en-US"/>
        </w:rPr>
      </w:pPr>
      <w:r w:rsidRPr="00223C84">
        <w:rPr>
          <w:rFonts w:eastAsia="MinionPro-Regular"/>
          <w:sz w:val="24"/>
          <w:szCs w:val="24"/>
          <w:lang w:eastAsia="en-US"/>
        </w:rPr>
        <w:t xml:space="preserve">MARINO, Augusto Ludvik Filip et al. </w:t>
      </w:r>
      <w:r w:rsidRPr="00223C84">
        <w:rPr>
          <w:rFonts w:eastAsia="MinionPro-Bold"/>
          <w:bCs/>
          <w:sz w:val="24"/>
          <w:szCs w:val="24"/>
          <w:lang w:eastAsia="en-US"/>
        </w:rPr>
        <w:t xml:space="preserve">Características físico-químicas e sensoriais de marcas comerciais de queijo mozarela de leite de búfala. </w:t>
      </w:r>
      <w:r w:rsidRPr="00223C84">
        <w:rPr>
          <w:rFonts w:eastAsia="MinionPro-Bold"/>
          <w:b/>
          <w:bCs/>
          <w:sz w:val="24"/>
          <w:szCs w:val="18"/>
          <w:lang w:eastAsia="en-US"/>
        </w:rPr>
        <w:t>Ver. Inst. Adolfo Lutz</w:t>
      </w:r>
      <w:r w:rsidRPr="00223C84">
        <w:rPr>
          <w:rFonts w:eastAsia="MinionPro-Regular"/>
          <w:sz w:val="24"/>
          <w:szCs w:val="18"/>
          <w:lang w:eastAsia="en-US"/>
        </w:rPr>
        <w:t xml:space="preserve">. </w:t>
      </w:r>
      <w:r w:rsidR="00084F5C">
        <w:rPr>
          <w:rFonts w:eastAsia="MinionPro-Regular"/>
          <w:sz w:val="24"/>
          <w:szCs w:val="18"/>
          <w:lang w:eastAsia="en-US"/>
        </w:rPr>
        <w:t>São Paulo, 2010. Disponível em:&lt;</w:t>
      </w:r>
      <w:r w:rsidR="00084F5C" w:rsidRPr="00084F5C">
        <w:rPr>
          <w:rFonts w:eastAsia="MinionPro-Regular"/>
          <w:sz w:val="24"/>
          <w:szCs w:val="18"/>
          <w:lang w:eastAsia="en-US"/>
        </w:rPr>
        <w:t>http://revistas.bvs-vet.org.br/rialutz/article/view/63</w:t>
      </w:r>
      <w:r w:rsidR="00084F5C">
        <w:rPr>
          <w:rFonts w:eastAsia="MinionPro-Regular"/>
          <w:sz w:val="24"/>
          <w:szCs w:val="18"/>
          <w:lang w:eastAsia="en-US"/>
        </w:rPr>
        <w:t>38/0&gt;. Acesso em: 20 out. 2018</w:t>
      </w:r>
      <w:r w:rsidRPr="00223C84">
        <w:rPr>
          <w:rFonts w:eastAsia="MinionPro-Regular"/>
          <w:sz w:val="24"/>
          <w:szCs w:val="18"/>
          <w:lang w:eastAsia="en-US"/>
        </w:rPr>
        <w:t>.</w:t>
      </w:r>
    </w:p>
    <w:p w:rsidR="00223C84" w:rsidRDefault="00223C84" w:rsidP="00555B5E">
      <w:pPr>
        <w:autoSpaceDE w:val="0"/>
        <w:autoSpaceDN w:val="0"/>
        <w:adjustRightInd w:val="0"/>
        <w:jc w:val="both"/>
        <w:rPr>
          <w:rFonts w:eastAsia="MinionPro-Regular"/>
          <w:sz w:val="24"/>
          <w:szCs w:val="18"/>
          <w:lang w:eastAsia="en-US"/>
        </w:rPr>
      </w:pPr>
    </w:p>
    <w:p w:rsidR="00682EDE" w:rsidRDefault="00682EDE" w:rsidP="00555B5E">
      <w:pPr>
        <w:shd w:val="clear" w:color="auto" w:fill="FFFFFF"/>
        <w:jc w:val="both"/>
        <w:outlineLvl w:val="2"/>
        <w:rPr>
          <w:bCs/>
          <w:sz w:val="24"/>
          <w:szCs w:val="24"/>
        </w:rPr>
      </w:pPr>
      <w:r w:rsidRPr="0078307B">
        <w:rPr>
          <w:bCs/>
          <w:sz w:val="24"/>
          <w:szCs w:val="24"/>
        </w:rPr>
        <w:t>Portaria ADEPARA Nº 418 DE 26/02/2013</w:t>
      </w:r>
      <w:r>
        <w:rPr>
          <w:b/>
          <w:bCs/>
          <w:sz w:val="24"/>
          <w:szCs w:val="24"/>
        </w:rPr>
        <w:t>.</w:t>
      </w:r>
      <w:r w:rsidRPr="0078307B">
        <w:rPr>
          <w:rStyle w:val="nfase"/>
          <w:b/>
          <w:i w:val="0"/>
          <w:sz w:val="24"/>
          <w:szCs w:val="24"/>
          <w:shd w:val="clear" w:color="auto" w:fill="FFFFFF"/>
        </w:rPr>
        <w:t>Aprova o Regulamento Técnico de Produção do Queijo do Marajó e dá outras providências</w:t>
      </w:r>
      <w:r w:rsidRPr="0078307B">
        <w:rPr>
          <w:rStyle w:val="nfase"/>
          <w:i w:val="0"/>
          <w:sz w:val="24"/>
          <w:szCs w:val="24"/>
          <w:shd w:val="clear" w:color="auto" w:fill="FFFFFF"/>
        </w:rPr>
        <w:t>.</w:t>
      </w:r>
      <w:r w:rsidR="006B7638">
        <w:rPr>
          <w:rStyle w:val="nfase"/>
          <w:i w:val="0"/>
          <w:sz w:val="24"/>
          <w:szCs w:val="24"/>
          <w:shd w:val="clear" w:color="auto" w:fill="FFFFFF"/>
        </w:rPr>
        <w:t xml:space="preserve"> </w:t>
      </w:r>
      <w:r w:rsidRPr="0078307B">
        <w:rPr>
          <w:bCs/>
          <w:sz w:val="24"/>
          <w:szCs w:val="24"/>
        </w:rPr>
        <w:t xml:space="preserve">Disponível em: </w:t>
      </w:r>
      <w:r>
        <w:rPr>
          <w:bCs/>
          <w:sz w:val="24"/>
          <w:szCs w:val="24"/>
        </w:rPr>
        <w:t>&lt;</w:t>
      </w:r>
      <w:r w:rsidRPr="0078307B">
        <w:rPr>
          <w:rStyle w:val="nfase"/>
          <w:bCs/>
          <w:i w:val="0"/>
          <w:iCs w:val="0"/>
          <w:sz w:val="24"/>
          <w:szCs w:val="24"/>
        </w:rPr>
        <w:t>https://www.legisweb.com.br/legislacao/?id=252036</w:t>
      </w:r>
      <w:r>
        <w:rPr>
          <w:bCs/>
          <w:sz w:val="24"/>
          <w:szCs w:val="24"/>
        </w:rPr>
        <w:t>&gt;</w:t>
      </w:r>
      <w:r w:rsidRPr="0078307B">
        <w:rPr>
          <w:bCs/>
          <w:sz w:val="24"/>
          <w:szCs w:val="24"/>
        </w:rPr>
        <w:t>. Acesso em</w:t>
      </w:r>
      <w:r w:rsidR="00796215">
        <w:rPr>
          <w:bCs/>
          <w:sz w:val="24"/>
          <w:szCs w:val="24"/>
        </w:rPr>
        <w:t>:</w:t>
      </w:r>
      <w:r w:rsidRPr="0078307B">
        <w:rPr>
          <w:bCs/>
          <w:sz w:val="24"/>
          <w:szCs w:val="24"/>
        </w:rPr>
        <w:t xml:space="preserve"> 01 nov. 2018.</w:t>
      </w:r>
    </w:p>
    <w:p w:rsidR="0044779E" w:rsidRDefault="0044779E" w:rsidP="00555B5E">
      <w:pPr>
        <w:shd w:val="clear" w:color="auto" w:fill="FFFFFF"/>
        <w:jc w:val="both"/>
        <w:outlineLvl w:val="2"/>
        <w:rPr>
          <w:bCs/>
          <w:sz w:val="24"/>
          <w:szCs w:val="24"/>
        </w:rPr>
      </w:pPr>
    </w:p>
    <w:p w:rsidR="0044779E" w:rsidRPr="00796215" w:rsidRDefault="00796215" w:rsidP="00555B5E">
      <w:pPr>
        <w:shd w:val="clear" w:color="auto" w:fill="FFFFFF"/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SILVA, Valdete Campo; COSTA, Tereziana Silva da; FERNANDES, Vanessa Silva; MELO, Maria do Livramento Nascimento de Melo; FLORÊNCIA, Isanna Menezes; FLORENTINA, Elaine Rolim. </w:t>
      </w:r>
      <w:r>
        <w:rPr>
          <w:b/>
          <w:bCs/>
          <w:sz w:val="24"/>
          <w:szCs w:val="24"/>
        </w:rPr>
        <w:t xml:space="preserve">Caracterização de bolo enriquecido com soro de queijo. </w:t>
      </w:r>
      <w:r>
        <w:rPr>
          <w:bCs/>
          <w:sz w:val="24"/>
          <w:szCs w:val="24"/>
        </w:rPr>
        <w:t>2011. Disponível em: &lt;</w:t>
      </w:r>
      <w:r w:rsidRPr="00796215">
        <w:rPr>
          <w:bCs/>
          <w:sz w:val="24"/>
          <w:szCs w:val="24"/>
        </w:rPr>
        <w:t>http://www.annq.org/congresso2011/arquivos/1300407795.pdf</w:t>
      </w:r>
      <w:r>
        <w:rPr>
          <w:bCs/>
          <w:sz w:val="24"/>
          <w:szCs w:val="24"/>
        </w:rPr>
        <w:t>&gt;. Acesso em: 29 out. 2018.</w:t>
      </w:r>
    </w:p>
    <w:p w:rsidR="00682EDE" w:rsidRDefault="00682EDE" w:rsidP="00555B5E">
      <w:pPr>
        <w:autoSpaceDE w:val="0"/>
        <w:autoSpaceDN w:val="0"/>
        <w:adjustRightInd w:val="0"/>
        <w:jc w:val="both"/>
        <w:rPr>
          <w:rFonts w:eastAsia="MinionPro-Regular"/>
          <w:sz w:val="24"/>
          <w:szCs w:val="18"/>
          <w:lang w:eastAsia="en-US"/>
        </w:rPr>
      </w:pPr>
    </w:p>
    <w:p w:rsidR="00682EDE" w:rsidRDefault="00682EDE" w:rsidP="0044779E">
      <w:pPr>
        <w:jc w:val="both"/>
        <w:rPr>
          <w:sz w:val="24"/>
        </w:rPr>
      </w:pPr>
      <w:r w:rsidRPr="0078307B">
        <w:rPr>
          <w:sz w:val="24"/>
        </w:rPr>
        <w:t xml:space="preserve">SOARES, Jéssica Pazzaro. Efeito da adição de proteína do soro do leite como substituto do trigo na formulação de bolos sem adição de açúcar. </w:t>
      </w:r>
      <w:r w:rsidRPr="0078307B">
        <w:rPr>
          <w:b/>
          <w:sz w:val="24"/>
        </w:rPr>
        <w:t>Braz. J. Food</w:t>
      </w:r>
      <w:r w:rsidR="006B7638">
        <w:rPr>
          <w:b/>
          <w:sz w:val="24"/>
        </w:rPr>
        <w:t xml:space="preserve"> </w:t>
      </w:r>
      <w:r w:rsidRPr="0078307B">
        <w:rPr>
          <w:b/>
          <w:sz w:val="24"/>
        </w:rPr>
        <w:t>Technol</w:t>
      </w:r>
      <w:r w:rsidRPr="0078307B">
        <w:rPr>
          <w:sz w:val="24"/>
        </w:rPr>
        <w:t>., Campinas, v. 21, 2018. Disponível em: &lt;http://www.scielo.br/pdf/bjft/v21/1981-6723-bjft-21-e2016190.pdf&gt;. Acesso e</w:t>
      </w:r>
      <w:r w:rsidR="00796215">
        <w:rPr>
          <w:sz w:val="24"/>
        </w:rPr>
        <w:t xml:space="preserve">m: </w:t>
      </w:r>
      <w:r w:rsidRPr="0078307B">
        <w:rPr>
          <w:sz w:val="24"/>
        </w:rPr>
        <w:t>29 out. 2018.</w:t>
      </w:r>
    </w:p>
    <w:p w:rsidR="00682EDE" w:rsidRDefault="00682EDE" w:rsidP="00555B5E">
      <w:pPr>
        <w:shd w:val="clear" w:color="auto" w:fill="FFFFFF"/>
        <w:jc w:val="both"/>
        <w:outlineLvl w:val="2"/>
        <w:rPr>
          <w:sz w:val="24"/>
        </w:rPr>
      </w:pPr>
    </w:p>
    <w:p w:rsidR="00682EDE" w:rsidRPr="00410FAE" w:rsidRDefault="00682EDE" w:rsidP="00555B5E">
      <w:pPr>
        <w:shd w:val="clear" w:color="auto" w:fill="FFFFFF"/>
        <w:jc w:val="both"/>
        <w:outlineLvl w:val="2"/>
        <w:rPr>
          <w:bCs/>
          <w:sz w:val="24"/>
          <w:szCs w:val="24"/>
        </w:rPr>
      </w:pPr>
      <w:r w:rsidRPr="0078307B">
        <w:rPr>
          <w:bCs/>
          <w:sz w:val="24"/>
          <w:szCs w:val="24"/>
        </w:rPr>
        <w:lastRenderedPageBreak/>
        <w:t>Portaria ADEPARA Nº 418 DE 26/02/2013</w:t>
      </w:r>
      <w:r>
        <w:rPr>
          <w:b/>
          <w:bCs/>
          <w:sz w:val="24"/>
          <w:szCs w:val="24"/>
        </w:rPr>
        <w:t>.</w:t>
      </w:r>
      <w:r w:rsidRPr="0078307B">
        <w:rPr>
          <w:rStyle w:val="nfase"/>
          <w:b/>
          <w:i w:val="0"/>
          <w:sz w:val="24"/>
          <w:szCs w:val="24"/>
          <w:shd w:val="clear" w:color="auto" w:fill="FFFFFF"/>
        </w:rPr>
        <w:t>Aprova o Regulamento Técnico de Produção do Queijo do Marajó e dá outras providências</w:t>
      </w:r>
      <w:r w:rsidRPr="0078307B">
        <w:rPr>
          <w:rStyle w:val="nfase"/>
          <w:i w:val="0"/>
          <w:sz w:val="24"/>
          <w:szCs w:val="24"/>
          <w:shd w:val="clear" w:color="auto" w:fill="FFFFFF"/>
        </w:rPr>
        <w:t>.</w:t>
      </w:r>
      <w:r w:rsidR="006B7638">
        <w:rPr>
          <w:rStyle w:val="nfase"/>
          <w:i w:val="0"/>
          <w:sz w:val="24"/>
          <w:szCs w:val="24"/>
          <w:shd w:val="clear" w:color="auto" w:fill="FFFFFF"/>
        </w:rPr>
        <w:t xml:space="preserve"> </w:t>
      </w:r>
      <w:r w:rsidRPr="0078307B">
        <w:rPr>
          <w:bCs/>
          <w:sz w:val="24"/>
          <w:szCs w:val="24"/>
        </w:rPr>
        <w:t xml:space="preserve">Disponível em: </w:t>
      </w:r>
      <w:r>
        <w:rPr>
          <w:bCs/>
          <w:sz w:val="24"/>
          <w:szCs w:val="24"/>
        </w:rPr>
        <w:t>&lt;</w:t>
      </w:r>
      <w:r w:rsidRPr="0078307B">
        <w:rPr>
          <w:rStyle w:val="nfase"/>
          <w:bCs/>
          <w:i w:val="0"/>
          <w:iCs w:val="0"/>
          <w:sz w:val="24"/>
          <w:szCs w:val="24"/>
        </w:rPr>
        <w:t>https://www.legisweb.com.br/legislacao/?id=252036</w:t>
      </w:r>
      <w:r>
        <w:rPr>
          <w:bCs/>
          <w:sz w:val="24"/>
          <w:szCs w:val="24"/>
        </w:rPr>
        <w:t>&gt;</w:t>
      </w:r>
      <w:r w:rsidRPr="0078307B">
        <w:rPr>
          <w:bCs/>
          <w:sz w:val="24"/>
          <w:szCs w:val="24"/>
        </w:rPr>
        <w:t>. Acesso em 01 nov. 2018.</w:t>
      </w:r>
    </w:p>
    <w:p w:rsidR="00682EDE" w:rsidRPr="00223C84" w:rsidRDefault="00682EDE" w:rsidP="00555B5E">
      <w:pPr>
        <w:autoSpaceDE w:val="0"/>
        <w:autoSpaceDN w:val="0"/>
        <w:adjustRightInd w:val="0"/>
        <w:jc w:val="both"/>
        <w:rPr>
          <w:rFonts w:eastAsia="MinionPro-Regular"/>
          <w:sz w:val="24"/>
          <w:szCs w:val="18"/>
          <w:lang w:eastAsia="en-US"/>
        </w:rPr>
      </w:pPr>
    </w:p>
    <w:p w:rsidR="00223C84" w:rsidRPr="00223C84" w:rsidRDefault="00223C84" w:rsidP="00555B5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223C84">
        <w:rPr>
          <w:rFonts w:eastAsia="MinionPro-Bold"/>
          <w:bCs/>
          <w:sz w:val="24"/>
          <w:szCs w:val="24"/>
          <w:lang w:eastAsia="en-US"/>
        </w:rPr>
        <w:t xml:space="preserve">TEXEIRA, </w:t>
      </w:r>
      <w:r w:rsidRPr="00223C84">
        <w:rPr>
          <w:rFonts w:eastAsiaTheme="minorHAnsi"/>
          <w:bCs/>
          <w:sz w:val="24"/>
          <w:szCs w:val="24"/>
          <w:lang w:eastAsia="en-US"/>
        </w:rPr>
        <w:t xml:space="preserve">Lílian Viana; </w:t>
      </w:r>
      <w:r w:rsidRPr="00223C84">
        <w:rPr>
          <w:rFonts w:eastAsiaTheme="minorHAnsi"/>
          <w:bCs/>
          <w:iCs/>
          <w:sz w:val="24"/>
          <w:szCs w:val="24"/>
          <w:lang w:eastAsia="en-US"/>
        </w:rPr>
        <w:t xml:space="preserve">BASTIANETTO, </w:t>
      </w:r>
      <w:r w:rsidRPr="00223C84">
        <w:rPr>
          <w:rFonts w:eastAsiaTheme="minorHAnsi"/>
          <w:bCs/>
          <w:sz w:val="24"/>
          <w:szCs w:val="24"/>
          <w:lang w:eastAsia="en-US"/>
        </w:rPr>
        <w:t>Eduardo</w:t>
      </w:r>
      <w:r w:rsidRPr="00223C84">
        <w:rPr>
          <w:rFonts w:eastAsiaTheme="minorHAnsi"/>
          <w:bCs/>
          <w:iCs/>
          <w:sz w:val="24"/>
          <w:szCs w:val="24"/>
          <w:lang w:eastAsia="en-US"/>
        </w:rPr>
        <w:t>;OLIVEIRA,</w:t>
      </w:r>
      <w:r w:rsidRPr="00223C84">
        <w:rPr>
          <w:rFonts w:eastAsiaTheme="minorHAnsi"/>
          <w:bCs/>
          <w:sz w:val="24"/>
          <w:szCs w:val="24"/>
          <w:lang w:eastAsia="en-US"/>
        </w:rPr>
        <w:t xml:space="preserve"> Denise A. A.Leite de búfala na indústria de produtos lácteos.</w:t>
      </w:r>
      <w:r w:rsidRPr="00223C84">
        <w:rPr>
          <w:rFonts w:eastAsiaTheme="minorHAnsi"/>
          <w:b/>
          <w:sz w:val="24"/>
          <w:szCs w:val="24"/>
          <w:lang w:eastAsia="en-US"/>
        </w:rPr>
        <w:t>Ver. Bras. Reprod. Anim.</w:t>
      </w:r>
      <w:r w:rsidRPr="00223C84">
        <w:rPr>
          <w:rFonts w:eastAsiaTheme="minorHAnsi"/>
          <w:sz w:val="24"/>
          <w:szCs w:val="24"/>
          <w:lang w:eastAsia="en-US"/>
        </w:rPr>
        <w:t>, Belo Horizonte, v.29, n.2, p.96-100, abril/jun. 2005</w:t>
      </w:r>
      <w:r w:rsidRPr="00223C84">
        <w:rPr>
          <w:rFonts w:eastAsiaTheme="minorHAnsi"/>
          <w:bCs/>
          <w:sz w:val="24"/>
          <w:szCs w:val="24"/>
          <w:lang w:eastAsia="en-US"/>
        </w:rPr>
        <w:t xml:space="preserve">. </w:t>
      </w:r>
      <w:r w:rsidRPr="00223C84">
        <w:rPr>
          <w:rFonts w:eastAsia="MinionPro-Regular"/>
          <w:sz w:val="24"/>
          <w:szCs w:val="18"/>
          <w:lang w:eastAsia="en-US"/>
        </w:rPr>
        <w:t>Disponível em: &lt;http://www.cbra.org.br/pages/publicacoes/rbra/download/RE02</w:t>
      </w:r>
      <w:r w:rsidR="00084F5C">
        <w:rPr>
          <w:rFonts w:eastAsia="MinionPro-Regular"/>
          <w:sz w:val="24"/>
          <w:szCs w:val="18"/>
          <w:lang w:eastAsia="en-US"/>
        </w:rPr>
        <w:t>4.pdf&gt;</w:t>
      </w:r>
      <w:r w:rsidR="00F00BCE">
        <w:rPr>
          <w:rFonts w:eastAsia="MinionPro-Regular"/>
          <w:sz w:val="24"/>
          <w:szCs w:val="18"/>
          <w:lang w:eastAsia="en-US"/>
        </w:rPr>
        <w:t>. A</w:t>
      </w:r>
      <w:r w:rsidR="00084F5C">
        <w:rPr>
          <w:rFonts w:eastAsia="MinionPro-Regular"/>
          <w:sz w:val="24"/>
          <w:szCs w:val="18"/>
          <w:lang w:eastAsia="en-US"/>
        </w:rPr>
        <w:t>cesso em: 20 out. 2018</w:t>
      </w:r>
      <w:r w:rsidRPr="00223C84">
        <w:rPr>
          <w:rFonts w:eastAsia="MinionPro-Regular"/>
          <w:sz w:val="24"/>
          <w:szCs w:val="18"/>
          <w:lang w:eastAsia="en-US"/>
        </w:rPr>
        <w:t>.</w:t>
      </w:r>
    </w:p>
    <w:p w:rsidR="0016266D" w:rsidRDefault="0016266D" w:rsidP="00555B5E">
      <w:pPr>
        <w:pStyle w:val="Default"/>
        <w:jc w:val="both"/>
        <w:rPr>
          <w:rFonts w:ascii="Times New Roman" w:hAnsi="Times New Roman" w:cs="Times New Roman"/>
          <w:bCs/>
        </w:rPr>
      </w:pPr>
    </w:p>
    <w:p w:rsidR="009B0125" w:rsidRPr="00084F5C" w:rsidRDefault="0098773B" w:rsidP="00084F5C">
      <w:pPr>
        <w:pStyle w:val="Default"/>
        <w:jc w:val="both"/>
        <w:rPr>
          <w:rFonts w:ascii="Times New Roman" w:eastAsiaTheme="minorHAnsi" w:hAnsi="Times New Roman" w:cs="Times New Roman"/>
        </w:rPr>
      </w:pPr>
      <w:r w:rsidRPr="002F7DE6">
        <w:rPr>
          <w:rFonts w:ascii="Times New Roman" w:hAnsi="Times New Roman" w:cs="Times New Roman"/>
          <w:bCs/>
        </w:rPr>
        <w:t xml:space="preserve">ZAVAREZA, </w:t>
      </w:r>
      <w:r w:rsidR="003B4442" w:rsidRPr="002F7DE6">
        <w:rPr>
          <w:rFonts w:ascii="Times New Roman" w:hAnsi="Times New Roman" w:cs="Times New Roman"/>
        </w:rPr>
        <w:t xml:space="preserve">Elessandra da Rosa; MORAES, Kessiane Silva; SALAS-MELLADO, Myriam de Las Mercedes. </w:t>
      </w:r>
      <w:r w:rsidR="003B4442" w:rsidRPr="002F7DE6">
        <w:rPr>
          <w:rFonts w:ascii="Times New Roman" w:hAnsi="Times New Roman" w:cs="Times New Roman"/>
          <w:bCs/>
          <w:lang w:eastAsia="pt-BR"/>
        </w:rPr>
        <w:t xml:space="preserve">Qualidade tecnológica e sensorial de bolos elaborados com soro de leite. </w:t>
      </w:r>
      <w:r w:rsidR="003B4442" w:rsidRPr="002F7DE6">
        <w:rPr>
          <w:rFonts w:ascii="Times New Roman" w:hAnsi="Times New Roman" w:cs="Times New Roman"/>
          <w:b/>
          <w:lang w:eastAsia="pt-BR"/>
        </w:rPr>
        <w:t>Ciênc</w:t>
      </w:r>
      <w:r w:rsidR="006B7638">
        <w:rPr>
          <w:rFonts w:ascii="Times New Roman" w:hAnsi="Times New Roman" w:cs="Times New Roman"/>
          <w:b/>
          <w:lang w:eastAsia="pt-BR"/>
        </w:rPr>
        <w:t>ia Tecnologia de</w:t>
      </w:r>
      <w:r w:rsidR="003B4442" w:rsidRPr="002F7DE6">
        <w:rPr>
          <w:rFonts w:ascii="Times New Roman" w:hAnsi="Times New Roman" w:cs="Times New Roman"/>
          <w:b/>
          <w:lang w:eastAsia="pt-BR"/>
        </w:rPr>
        <w:t xml:space="preserve"> Aliment</w:t>
      </w:r>
      <w:r w:rsidR="006B7638" w:rsidRPr="006B7638">
        <w:rPr>
          <w:rFonts w:ascii="Times New Roman" w:hAnsi="Times New Roman" w:cs="Times New Roman"/>
          <w:b/>
          <w:lang w:eastAsia="pt-BR"/>
        </w:rPr>
        <w:t>os</w:t>
      </w:r>
      <w:r w:rsidR="003B4442" w:rsidRPr="006B7638">
        <w:rPr>
          <w:rFonts w:ascii="Times New Roman" w:hAnsi="Times New Roman" w:cs="Times New Roman"/>
          <w:b/>
          <w:lang w:eastAsia="pt-BR"/>
        </w:rPr>
        <w:t xml:space="preserve"> </w:t>
      </w:r>
      <w:r w:rsidR="003B4442" w:rsidRPr="002F7DE6">
        <w:rPr>
          <w:rFonts w:ascii="Times New Roman" w:hAnsi="Times New Roman" w:cs="Times New Roman"/>
          <w:lang w:eastAsia="pt-BR"/>
        </w:rPr>
        <w:t>Campinas, v. 30, n. 1, p. 100-105, 2010. Disponível em: &lt;</w:t>
      </w:r>
      <w:r w:rsidR="002F7DE6" w:rsidRPr="002F7DE6">
        <w:rPr>
          <w:rFonts w:ascii="Times New Roman" w:hAnsi="Times New Roman" w:cs="Times New Roman"/>
        </w:rPr>
        <w:t>http://www.scielo.br/pdf/cta/v30n1/v30n1a15.pdf</w:t>
      </w:r>
      <w:r w:rsidR="003B4442" w:rsidRPr="002F7DE6">
        <w:rPr>
          <w:rFonts w:ascii="Times New Roman" w:hAnsi="Times New Roman" w:cs="Times New Roman"/>
          <w:lang w:eastAsia="pt-BR"/>
        </w:rPr>
        <w:t>&gt;. Acesso em 02 nov. 2018.</w:t>
      </w:r>
    </w:p>
    <w:sectPr w:rsidR="009B0125" w:rsidRPr="00084F5C" w:rsidSect="00353EEF">
      <w:headerReference w:type="default" r:id="rId18"/>
      <w:footerReference w:type="even" r:id="rId19"/>
      <w:footerReference w:type="default" r:id="rId20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58732B1" w15:done="0"/>
  <w15:commentEx w15:paraId="7EB05DFF" w15:done="0"/>
  <w15:commentEx w15:paraId="4F130B6F" w15:done="0"/>
  <w15:commentEx w15:paraId="28AA80DC" w15:done="0"/>
  <w15:commentEx w15:paraId="301E421A" w15:done="0"/>
  <w15:commentEx w15:paraId="7AFBADA8" w15:done="0"/>
  <w15:commentEx w15:paraId="1103D9F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8732B1" w16cid:durableId="1F8983CB"/>
  <w16cid:commentId w16cid:paraId="7EB05DFF" w16cid:durableId="1F89880F"/>
  <w16cid:commentId w16cid:paraId="4F130B6F" w16cid:durableId="1F898667"/>
  <w16cid:commentId w16cid:paraId="28AA80DC" w16cid:durableId="1F89861F"/>
  <w16cid:commentId w16cid:paraId="301E421A" w16cid:durableId="1F89899B"/>
  <w16cid:commentId w16cid:paraId="7AFBADA8" w16cid:durableId="1F899476"/>
  <w16cid:commentId w16cid:paraId="1103D9FB" w16cid:durableId="1F8996D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D3B" w:rsidRDefault="00D03D3B" w:rsidP="00392012">
      <w:r>
        <w:separator/>
      </w:r>
    </w:p>
  </w:endnote>
  <w:endnote w:type="continuationSeparator" w:id="1">
    <w:p w:rsidR="00D03D3B" w:rsidRDefault="00D03D3B" w:rsidP="00392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inionPro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1C" w:rsidRDefault="001518E1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CE3" w:rsidRPr="00261E93" w:rsidRDefault="005F7C4E" w:rsidP="00261E93">
    <w:pPr>
      <w:pStyle w:val="Rodap"/>
      <w:pBdr>
        <w:top w:val="single" w:sz="4" w:space="1" w:color="auto"/>
      </w:pBdr>
    </w:pPr>
    <w:r w:rsidRPr="005F7C4E">
      <w:rPr>
        <w:noProof/>
      </w:rPr>
      <w:drawing>
        <wp:inline distT="0" distB="0" distL="0" distR="0">
          <wp:extent cx="5867400" cy="581025"/>
          <wp:effectExtent l="0" t="0" r="0" b="9525"/>
          <wp:docPr id="3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D3B" w:rsidRDefault="00D03D3B" w:rsidP="00392012">
      <w:r>
        <w:separator/>
      </w:r>
    </w:p>
  </w:footnote>
  <w:footnote w:type="continuationSeparator" w:id="1">
    <w:p w:rsidR="00D03D3B" w:rsidRDefault="00D03D3B" w:rsidP="00392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CE3" w:rsidRDefault="00F140BE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25.95pt;margin-top:-20.3pt;width:187.75pt;height:51.7pt;z-index:-251658240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sjiw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" stroked="f">
          <v:textbox style="mso-fit-shape-to-text:t">
            <w:txbxContent>
              <w:p w:rsidR="005F7C4E" w:rsidRDefault="005F7C4E" w:rsidP="005F7C4E">
                <w:r w:rsidRPr="004C583D">
                  <w:rPr>
                    <w:noProof/>
                  </w:rPr>
                  <w:drawing>
                    <wp:inline distT="0" distB="0" distL="0" distR="0">
                      <wp:extent cx="1786153" cy="565150"/>
                      <wp:effectExtent l="0" t="0" r="5080" b="6350"/>
                      <wp:docPr id="6" name="Imagem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8" descr="C:\Users\Altem\Dropbox\2017\VI Simpósio\Imagens para Site\Imagens do Site\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86153" cy="56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Caixa de Texto 2" o:spid="_x0000_s2052" type="#_x0000_t202" style="position:absolute;margin-left:234.1pt;margin-top:-12.1pt;width:238.6pt;height:32.9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jlf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GDKOV+6&#10;AgAAvwUAAA4AAAAAAAAAAAAAAAAALgIAAGRycy9lMm9Eb2MueG1sUEsBAi0AFAAGAAgAAAAhAHcH&#10;lm/eAAAACgEAAA8AAAAAAAAAAAAAAAAAFAUAAGRycy9kb3ducmV2LnhtbFBLBQYAAAAABAAEAPMA&#10;AAAfBgAAAAA=&#10;" filled="f" fillcolor="#f2f2f2" stroked="f">
          <v:textbox>
            <w:txbxContent>
              <w:p w:rsidR="00B24CE3" w:rsidRPr="001001BB" w:rsidRDefault="00524FF4" w:rsidP="00C100B9">
                <w:pPr>
                  <w:pStyle w:val="Rodap"/>
                  <w:spacing w:line="276" w:lineRule="auto"/>
                  <w:jc w:val="right"/>
                </w:pPr>
                <w:r>
                  <w:t xml:space="preserve">Belém (PA), 28 a 30 de </w:t>
                </w:r>
                <w:r w:rsidR="00B24CE3" w:rsidRPr="001001BB">
                  <w:t xml:space="preserve">novembro </w:t>
                </w:r>
                <w:r>
                  <w:t>de 2018</w:t>
                </w:r>
              </w:p>
              <w:p w:rsidR="00B24CE3" w:rsidRPr="001001BB" w:rsidRDefault="00B24CE3" w:rsidP="00C100B9">
                <w:pPr>
                  <w:pStyle w:val="Rodap"/>
                  <w:tabs>
                    <w:tab w:val="left" w:pos="3802"/>
                    <w:tab w:val="center" w:pos="4535"/>
                  </w:tabs>
                  <w:spacing w:line="276" w:lineRule="auto"/>
                  <w:jc w:val="right"/>
                </w:pPr>
                <w:r w:rsidRPr="001001BB">
                  <w:t>ISSN 2316-7637</w:t>
                </w:r>
              </w:p>
              <w:p w:rsidR="00B24CE3" w:rsidRPr="00206969" w:rsidRDefault="00B24CE3" w:rsidP="007422FB">
                <w:pPr>
                  <w:pStyle w:val="Rodap"/>
                  <w:tabs>
                    <w:tab w:val="left" w:pos="3802"/>
                    <w:tab w:val="center" w:pos="4535"/>
                  </w:tabs>
                  <w:spacing w:line="276" w:lineRule="auto"/>
                  <w:jc w:val="right"/>
                  <w:rPr>
                    <w:i/>
                  </w:rPr>
                </w:pPr>
              </w:p>
            </w:txbxContent>
          </v:textbox>
        </v:shape>
      </w:pict>
    </w:r>
  </w:p>
  <w:p w:rsidR="00B24CE3" w:rsidRDefault="00B24CE3" w:rsidP="0095437F">
    <w:pPr>
      <w:pStyle w:val="Cabealho"/>
      <w:pBdr>
        <w:bottom w:val="single" w:sz="4" w:space="1" w:color="auto"/>
      </w:pBdr>
      <w:rPr>
        <w:noProof/>
      </w:rPr>
    </w:pPr>
  </w:p>
  <w:p w:rsidR="00B24CE3" w:rsidRDefault="00B24CE3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47116"/>
    <w:multiLevelType w:val="hybridMultilevel"/>
    <w:tmpl w:val="DB8C34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84167"/>
    <w:multiLevelType w:val="hybridMultilevel"/>
    <w:tmpl w:val="0C78B562"/>
    <w:lvl w:ilvl="0" w:tplc="FEF80B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fael Vitti Mota">
    <w15:presenceInfo w15:providerId="Windows Live" w15:userId="405300ffb209954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>
      <o:colormru v:ext="edit" colors="#f1ff9f,white,#ffc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C04FA"/>
    <w:rsid w:val="0001355C"/>
    <w:rsid w:val="00021025"/>
    <w:rsid w:val="00027D99"/>
    <w:rsid w:val="000315AA"/>
    <w:rsid w:val="00046262"/>
    <w:rsid w:val="000469D2"/>
    <w:rsid w:val="0005087B"/>
    <w:rsid w:val="00054185"/>
    <w:rsid w:val="00062909"/>
    <w:rsid w:val="00065A47"/>
    <w:rsid w:val="00066968"/>
    <w:rsid w:val="00076CED"/>
    <w:rsid w:val="00080D5B"/>
    <w:rsid w:val="00084F5C"/>
    <w:rsid w:val="00085F8D"/>
    <w:rsid w:val="000914BC"/>
    <w:rsid w:val="00093B4E"/>
    <w:rsid w:val="000941DE"/>
    <w:rsid w:val="00094A6D"/>
    <w:rsid w:val="000A5EC8"/>
    <w:rsid w:val="000A7B2F"/>
    <w:rsid w:val="000B0814"/>
    <w:rsid w:val="000D461F"/>
    <w:rsid w:val="000D7664"/>
    <w:rsid w:val="000E6287"/>
    <w:rsid w:val="000F40E4"/>
    <w:rsid w:val="000F7B8F"/>
    <w:rsid w:val="001179C2"/>
    <w:rsid w:val="001202C9"/>
    <w:rsid w:val="00121F29"/>
    <w:rsid w:val="0012462E"/>
    <w:rsid w:val="00141634"/>
    <w:rsid w:val="001518E1"/>
    <w:rsid w:val="00155068"/>
    <w:rsid w:val="001551B1"/>
    <w:rsid w:val="00160D2E"/>
    <w:rsid w:val="00161786"/>
    <w:rsid w:val="0016266D"/>
    <w:rsid w:val="00163754"/>
    <w:rsid w:val="0017144E"/>
    <w:rsid w:val="00184084"/>
    <w:rsid w:val="00193614"/>
    <w:rsid w:val="00195E0E"/>
    <w:rsid w:val="001A5F89"/>
    <w:rsid w:val="001B0160"/>
    <w:rsid w:val="001B02A8"/>
    <w:rsid w:val="001B1308"/>
    <w:rsid w:val="001B3370"/>
    <w:rsid w:val="001B6E63"/>
    <w:rsid w:val="001C1E03"/>
    <w:rsid w:val="001C7011"/>
    <w:rsid w:val="001C79FB"/>
    <w:rsid w:val="001D0877"/>
    <w:rsid w:val="001F03A8"/>
    <w:rsid w:val="001F6D29"/>
    <w:rsid w:val="00202A94"/>
    <w:rsid w:val="00206969"/>
    <w:rsid w:val="002076EF"/>
    <w:rsid w:val="00223C84"/>
    <w:rsid w:val="00225A1C"/>
    <w:rsid w:val="0024156F"/>
    <w:rsid w:val="0024285C"/>
    <w:rsid w:val="00253593"/>
    <w:rsid w:val="00253D7B"/>
    <w:rsid w:val="00260762"/>
    <w:rsid w:val="00261E93"/>
    <w:rsid w:val="00263ABB"/>
    <w:rsid w:val="00270F09"/>
    <w:rsid w:val="00273A6E"/>
    <w:rsid w:val="00275F89"/>
    <w:rsid w:val="00277A81"/>
    <w:rsid w:val="00284043"/>
    <w:rsid w:val="0028770D"/>
    <w:rsid w:val="00296582"/>
    <w:rsid w:val="002A456B"/>
    <w:rsid w:val="002A4E37"/>
    <w:rsid w:val="002B4C8E"/>
    <w:rsid w:val="002C04FA"/>
    <w:rsid w:val="002C1E48"/>
    <w:rsid w:val="002C3F9C"/>
    <w:rsid w:val="002E36F9"/>
    <w:rsid w:val="002E458C"/>
    <w:rsid w:val="002E651A"/>
    <w:rsid w:val="002F114A"/>
    <w:rsid w:val="002F37D6"/>
    <w:rsid w:val="002F7DE6"/>
    <w:rsid w:val="0031380D"/>
    <w:rsid w:val="00314A42"/>
    <w:rsid w:val="003246EF"/>
    <w:rsid w:val="00330211"/>
    <w:rsid w:val="00330AA8"/>
    <w:rsid w:val="0033307D"/>
    <w:rsid w:val="0033409D"/>
    <w:rsid w:val="00334ABB"/>
    <w:rsid w:val="00353EEF"/>
    <w:rsid w:val="00370BC8"/>
    <w:rsid w:val="003729DD"/>
    <w:rsid w:val="00374CC7"/>
    <w:rsid w:val="00392012"/>
    <w:rsid w:val="003A4B26"/>
    <w:rsid w:val="003B02AD"/>
    <w:rsid w:val="003B090B"/>
    <w:rsid w:val="003B4442"/>
    <w:rsid w:val="003C60D2"/>
    <w:rsid w:val="003C7789"/>
    <w:rsid w:val="003D0994"/>
    <w:rsid w:val="003E0543"/>
    <w:rsid w:val="003E06E4"/>
    <w:rsid w:val="003E1ADB"/>
    <w:rsid w:val="003F32BC"/>
    <w:rsid w:val="003F6DE7"/>
    <w:rsid w:val="004006AC"/>
    <w:rsid w:val="00400D61"/>
    <w:rsid w:val="00401309"/>
    <w:rsid w:val="0040312E"/>
    <w:rsid w:val="00405CCF"/>
    <w:rsid w:val="00410FAE"/>
    <w:rsid w:val="0042057D"/>
    <w:rsid w:val="00422D99"/>
    <w:rsid w:val="00423752"/>
    <w:rsid w:val="00423E5A"/>
    <w:rsid w:val="00425C21"/>
    <w:rsid w:val="00426873"/>
    <w:rsid w:val="00436326"/>
    <w:rsid w:val="004365F3"/>
    <w:rsid w:val="004435FC"/>
    <w:rsid w:val="0044459F"/>
    <w:rsid w:val="0044779E"/>
    <w:rsid w:val="004709D3"/>
    <w:rsid w:val="004776EA"/>
    <w:rsid w:val="004777CC"/>
    <w:rsid w:val="00497F38"/>
    <w:rsid w:val="004A1254"/>
    <w:rsid w:val="004A42A6"/>
    <w:rsid w:val="004A75F7"/>
    <w:rsid w:val="004A77D1"/>
    <w:rsid w:val="004B03F7"/>
    <w:rsid w:val="004B1E75"/>
    <w:rsid w:val="004C173A"/>
    <w:rsid w:val="004C1ADF"/>
    <w:rsid w:val="004C52D5"/>
    <w:rsid w:val="004C746A"/>
    <w:rsid w:val="004D256E"/>
    <w:rsid w:val="004D707E"/>
    <w:rsid w:val="004E01B3"/>
    <w:rsid w:val="004E0267"/>
    <w:rsid w:val="004E71FF"/>
    <w:rsid w:val="004F07EE"/>
    <w:rsid w:val="004F3394"/>
    <w:rsid w:val="004F6258"/>
    <w:rsid w:val="00510F33"/>
    <w:rsid w:val="00511E8F"/>
    <w:rsid w:val="005128CB"/>
    <w:rsid w:val="005159DA"/>
    <w:rsid w:val="005225D5"/>
    <w:rsid w:val="00524FF4"/>
    <w:rsid w:val="0052579D"/>
    <w:rsid w:val="00527EB8"/>
    <w:rsid w:val="00532930"/>
    <w:rsid w:val="00532B5B"/>
    <w:rsid w:val="00543059"/>
    <w:rsid w:val="00555769"/>
    <w:rsid w:val="00555B5E"/>
    <w:rsid w:val="00567758"/>
    <w:rsid w:val="0057628C"/>
    <w:rsid w:val="005817C9"/>
    <w:rsid w:val="00587874"/>
    <w:rsid w:val="0059095C"/>
    <w:rsid w:val="00594956"/>
    <w:rsid w:val="00597D83"/>
    <w:rsid w:val="005A1E4D"/>
    <w:rsid w:val="005A3942"/>
    <w:rsid w:val="005A562F"/>
    <w:rsid w:val="005A5B17"/>
    <w:rsid w:val="005B5208"/>
    <w:rsid w:val="005B5F17"/>
    <w:rsid w:val="005C6204"/>
    <w:rsid w:val="005C7534"/>
    <w:rsid w:val="005D615F"/>
    <w:rsid w:val="005D71A6"/>
    <w:rsid w:val="005E31E3"/>
    <w:rsid w:val="005E54D5"/>
    <w:rsid w:val="005E616C"/>
    <w:rsid w:val="005E6909"/>
    <w:rsid w:val="005F6D5F"/>
    <w:rsid w:val="005F7C4E"/>
    <w:rsid w:val="00600E94"/>
    <w:rsid w:val="00605E43"/>
    <w:rsid w:val="00610CCB"/>
    <w:rsid w:val="00612D68"/>
    <w:rsid w:val="00614FB7"/>
    <w:rsid w:val="0061672B"/>
    <w:rsid w:val="00616DDB"/>
    <w:rsid w:val="006174EC"/>
    <w:rsid w:val="006201D8"/>
    <w:rsid w:val="00633AA8"/>
    <w:rsid w:val="00634144"/>
    <w:rsid w:val="00645C1C"/>
    <w:rsid w:val="0066022A"/>
    <w:rsid w:val="00661E3C"/>
    <w:rsid w:val="00664894"/>
    <w:rsid w:val="00680C6B"/>
    <w:rsid w:val="00682EDE"/>
    <w:rsid w:val="00683150"/>
    <w:rsid w:val="0068555A"/>
    <w:rsid w:val="00696A2E"/>
    <w:rsid w:val="006A2D4F"/>
    <w:rsid w:val="006A3D69"/>
    <w:rsid w:val="006A56C3"/>
    <w:rsid w:val="006A6B36"/>
    <w:rsid w:val="006B3ECC"/>
    <w:rsid w:val="006B7638"/>
    <w:rsid w:val="006C5D36"/>
    <w:rsid w:val="006D4E2C"/>
    <w:rsid w:val="006D5D80"/>
    <w:rsid w:val="006E2E41"/>
    <w:rsid w:val="006F24CB"/>
    <w:rsid w:val="006F431A"/>
    <w:rsid w:val="007021FC"/>
    <w:rsid w:val="00707D9F"/>
    <w:rsid w:val="007107EA"/>
    <w:rsid w:val="00714821"/>
    <w:rsid w:val="00715A5D"/>
    <w:rsid w:val="00716973"/>
    <w:rsid w:val="007178DF"/>
    <w:rsid w:val="007218EB"/>
    <w:rsid w:val="007307E5"/>
    <w:rsid w:val="00732E16"/>
    <w:rsid w:val="007422FB"/>
    <w:rsid w:val="007452FD"/>
    <w:rsid w:val="00760822"/>
    <w:rsid w:val="0076407B"/>
    <w:rsid w:val="00764BD7"/>
    <w:rsid w:val="007853CB"/>
    <w:rsid w:val="00796215"/>
    <w:rsid w:val="00796CF0"/>
    <w:rsid w:val="007A2813"/>
    <w:rsid w:val="007B1EDB"/>
    <w:rsid w:val="007C5BEC"/>
    <w:rsid w:val="007C7639"/>
    <w:rsid w:val="007D15C8"/>
    <w:rsid w:val="007D2B87"/>
    <w:rsid w:val="007D58F5"/>
    <w:rsid w:val="007E1D4B"/>
    <w:rsid w:val="007E40D8"/>
    <w:rsid w:val="007F1D29"/>
    <w:rsid w:val="007F4B80"/>
    <w:rsid w:val="00802659"/>
    <w:rsid w:val="008030DD"/>
    <w:rsid w:val="00811FDD"/>
    <w:rsid w:val="00814223"/>
    <w:rsid w:val="0081539D"/>
    <w:rsid w:val="0082742C"/>
    <w:rsid w:val="0083077E"/>
    <w:rsid w:val="00834BE9"/>
    <w:rsid w:val="00836BB5"/>
    <w:rsid w:val="00842BFA"/>
    <w:rsid w:val="00844C1C"/>
    <w:rsid w:val="00846BFA"/>
    <w:rsid w:val="00852788"/>
    <w:rsid w:val="008553C1"/>
    <w:rsid w:val="00856747"/>
    <w:rsid w:val="008601DD"/>
    <w:rsid w:val="00863A0D"/>
    <w:rsid w:val="008644EF"/>
    <w:rsid w:val="00872C2D"/>
    <w:rsid w:val="00883BEE"/>
    <w:rsid w:val="008922FD"/>
    <w:rsid w:val="00896ABF"/>
    <w:rsid w:val="008A13F2"/>
    <w:rsid w:val="008A61DF"/>
    <w:rsid w:val="008B40C9"/>
    <w:rsid w:val="008B7353"/>
    <w:rsid w:val="008D1003"/>
    <w:rsid w:val="008E5D5F"/>
    <w:rsid w:val="008F146A"/>
    <w:rsid w:val="008F1EB4"/>
    <w:rsid w:val="008F4782"/>
    <w:rsid w:val="009021D5"/>
    <w:rsid w:val="009072A1"/>
    <w:rsid w:val="009247C6"/>
    <w:rsid w:val="009331C3"/>
    <w:rsid w:val="00933968"/>
    <w:rsid w:val="00940576"/>
    <w:rsid w:val="00943D72"/>
    <w:rsid w:val="0095437F"/>
    <w:rsid w:val="00961709"/>
    <w:rsid w:val="00967C82"/>
    <w:rsid w:val="0097264E"/>
    <w:rsid w:val="009755DF"/>
    <w:rsid w:val="009778C7"/>
    <w:rsid w:val="0098358D"/>
    <w:rsid w:val="009841AD"/>
    <w:rsid w:val="0098773B"/>
    <w:rsid w:val="00990894"/>
    <w:rsid w:val="00991A68"/>
    <w:rsid w:val="009962E6"/>
    <w:rsid w:val="009965FA"/>
    <w:rsid w:val="009B0125"/>
    <w:rsid w:val="009B265C"/>
    <w:rsid w:val="009B306B"/>
    <w:rsid w:val="009B6286"/>
    <w:rsid w:val="009B7330"/>
    <w:rsid w:val="009C407A"/>
    <w:rsid w:val="009D1867"/>
    <w:rsid w:val="009D1F0C"/>
    <w:rsid w:val="009D5F95"/>
    <w:rsid w:val="009D6FE6"/>
    <w:rsid w:val="009E0771"/>
    <w:rsid w:val="009E3B3C"/>
    <w:rsid w:val="00A06EA2"/>
    <w:rsid w:val="00A126BC"/>
    <w:rsid w:val="00A14A7B"/>
    <w:rsid w:val="00A15D9D"/>
    <w:rsid w:val="00A209BF"/>
    <w:rsid w:val="00A22AF6"/>
    <w:rsid w:val="00A26486"/>
    <w:rsid w:val="00A4121F"/>
    <w:rsid w:val="00A50262"/>
    <w:rsid w:val="00A516B8"/>
    <w:rsid w:val="00A522B1"/>
    <w:rsid w:val="00A5415E"/>
    <w:rsid w:val="00A57710"/>
    <w:rsid w:val="00A6179F"/>
    <w:rsid w:val="00A62B6B"/>
    <w:rsid w:val="00A732BC"/>
    <w:rsid w:val="00A77CA4"/>
    <w:rsid w:val="00A92240"/>
    <w:rsid w:val="00A9494E"/>
    <w:rsid w:val="00A95B23"/>
    <w:rsid w:val="00AB063A"/>
    <w:rsid w:val="00AC3B03"/>
    <w:rsid w:val="00AD1A58"/>
    <w:rsid w:val="00AD1AC7"/>
    <w:rsid w:val="00AD2378"/>
    <w:rsid w:val="00AD6DFD"/>
    <w:rsid w:val="00AE32A0"/>
    <w:rsid w:val="00AE4957"/>
    <w:rsid w:val="00B006A2"/>
    <w:rsid w:val="00B03F68"/>
    <w:rsid w:val="00B0636A"/>
    <w:rsid w:val="00B1381D"/>
    <w:rsid w:val="00B162CF"/>
    <w:rsid w:val="00B2281F"/>
    <w:rsid w:val="00B24CE3"/>
    <w:rsid w:val="00B259FE"/>
    <w:rsid w:val="00B36C1D"/>
    <w:rsid w:val="00B40020"/>
    <w:rsid w:val="00B428F8"/>
    <w:rsid w:val="00B51029"/>
    <w:rsid w:val="00B55AB2"/>
    <w:rsid w:val="00B570EB"/>
    <w:rsid w:val="00B637F1"/>
    <w:rsid w:val="00B63838"/>
    <w:rsid w:val="00B64760"/>
    <w:rsid w:val="00B7165F"/>
    <w:rsid w:val="00B77A27"/>
    <w:rsid w:val="00B83610"/>
    <w:rsid w:val="00B864F5"/>
    <w:rsid w:val="00B90944"/>
    <w:rsid w:val="00BA6C45"/>
    <w:rsid w:val="00BB2377"/>
    <w:rsid w:val="00BB576D"/>
    <w:rsid w:val="00BB5D54"/>
    <w:rsid w:val="00BC229E"/>
    <w:rsid w:val="00BC29A4"/>
    <w:rsid w:val="00BD3FDA"/>
    <w:rsid w:val="00BD490C"/>
    <w:rsid w:val="00BD7F98"/>
    <w:rsid w:val="00BE10B2"/>
    <w:rsid w:val="00BE733E"/>
    <w:rsid w:val="00BF5246"/>
    <w:rsid w:val="00BF7AD6"/>
    <w:rsid w:val="00C100B9"/>
    <w:rsid w:val="00C15CD1"/>
    <w:rsid w:val="00C30C59"/>
    <w:rsid w:val="00C41918"/>
    <w:rsid w:val="00C43882"/>
    <w:rsid w:val="00C46A3C"/>
    <w:rsid w:val="00C62510"/>
    <w:rsid w:val="00C70228"/>
    <w:rsid w:val="00C71504"/>
    <w:rsid w:val="00C71785"/>
    <w:rsid w:val="00C733E1"/>
    <w:rsid w:val="00C87267"/>
    <w:rsid w:val="00C9035E"/>
    <w:rsid w:val="00CA548D"/>
    <w:rsid w:val="00CA59C8"/>
    <w:rsid w:val="00CA71A9"/>
    <w:rsid w:val="00CB02E1"/>
    <w:rsid w:val="00CB193D"/>
    <w:rsid w:val="00CB40AF"/>
    <w:rsid w:val="00CB7D10"/>
    <w:rsid w:val="00CC2116"/>
    <w:rsid w:val="00CC3789"/>
    <w:rsid w:val="00CC5C92"/>
    <w:rsid w:val="00CD3E3D"/>
    <w:rsid w:val="00CE45A6"/>
    <w:rsid w:val="00CE4F5C"/>
    <w:rsid w:val="00CE581B"/>
    <w:rsid w:val="00CF50FB"/>
    <w:rsid w:val="00D03D3B"/>
    <w:rsid w:val="00D048E7"/>
    <w:rsid w:val="00D13969"/>
    <w:rsid w:val="00D14CD7"/>
    <w:rsid w:val="00D24016"/>
    <w:rsid w:val="00D24643"/>
    <w:rsid w:val="00D34D39"/>
    <w:rsid w:val="00D40455"/>
    <w:rsid w:val="00D446F4"/>
    <w:rsid w:val="00D507CA"/>
    <w:rsid w:val="00D5638C"/>
    <w:rsid w:val="00D66D9D"/>
    <w:rsid w:val="00D76B6D"/>
    <w:rsid w:val="00D81A7B"/>
    <w:rsid w:val="00D917DB"/>
    <w:rsid w:val="00D93209"/>
    <w:rsid w:val="00D95AB7"/>
    <w:rsid w:val="00DA0B68"/>
    <w:rsid w:val="00DB0473"/>
    <w:rsid w:val="00DB67E5"/>
    <w:rsid w:val="00DC31F5"/>
    <w:rsid w:val="00DC31FC"/>
    <w:rsid w:val="00DC4E10"/>
    <w:rsid w:val="00DC6C06"/>
    <w:rsid w:val="00DD34B9"/>
    <w:rsid w:val="00DD6A4D"/>
    <w:rsid w:val="00DE1739"/>
    <w:rsid w:val="00DE1A6B"/>
    <w:rsid w:val="00E05E73"/>
    <w:rsid w:val="00E0707A"/>
    <w:rsid w:val="00E34F91"/>
    <w:rsid w:val="00E54EE3"/>
    <w:rsid w:val="00E550A5"/>
    <w:rsid w:val="00E624D1"/>
    <w:rsid w:val="00E70833"/>
    <w:rsid w:val="00E72AF5"/>
    <w:rsid w:val="00E74717"/>
    <w:rsid w:val="00E74749"/>
    <w:rsid w:val="00E753BE"/>
    <w:rsid w:val="00E76DCA"/>
    <w:rsid w:val="00E77703"/>
    <w:rsid w:val="00E83CAF"/>
    <w:rsid w:val="00E85C97"/>
    <w:rsid w:val="00E902B9"/>
    <w:rsid w:val="00E916FA"/>
    <w:rsid w:val="00EA2908"/>
    <w:rsid w:val="00EA4CAA"/>
    <w:rsid w:val="00EA69BC"/>
    <w:rsid w:val="00EC2EB8"/>
    <w:rsid w:val="00ED2EC3"/>
    <w:rsid w:val="00EE0703"/>
    <w:rsid w:val="00EE4602"/>
    <w:rsid w:val="00EF1C09"/>
    <w:rsid w:val="00EF273F"/>
    <w:rsid w:val="00F00BCE"/>
    <w:rsid w:val="00F01B25"/>
    <w:rsid w:val="00F02671"/>
    <w:rsid w:val="00F0405D"/>
    <w:rsid w:val="00F06F8F"/>
    <w:rsid w:val="00F140BE"/>
    <w:rsid w:val="00F253D0"/>
    <w:rsid w:val="00F33174"/>
    <w:rsid w:val="00F41AF5"/>
    <w:rsid w:val="00F43D66"/>
    <w:rsid w:val="00F47276"/>
    <w:rsid w:val="00F5269B"/>
    <w:rsid w:val="00F528A5"/>
    <w:rsid w:val="00F6083D"/>
    <w:rsid w:val="00F67AA9"/>
    <w:rsid w:val="00F67D3B"/>
    <w:rsid w:val="00F67D99"/>
    <w:rsid w:val="00F71B5F"/>
    <w:rsid w:val="00F76C81"/>
    <w:rsid w:val="00F90BC1"/>
    <w:rsid w:val="00F949C8"/>
    <w:rsid w:val="00FA14A5"/>
    <w:rsid w:val="00FB4531"/>
    <w:rsid w:val="00FB6399"/>
    <w:rsid w:val="00FC5ED2"/>
    <w:rsid w:val="00FC6F31"/>
    <w:rsid w:val="00FE0E72"/>
    <w:rsid w:val="00FE12AD"/>
    <w:rsid w:val="00FE2CCA"/>
    <w:rsid w:val="00FE7052"/>
    <w:rsid w:val="00FE7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1ff9f,white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paragraph" w:styleId="Ttulo3">
    <w:name w:val="heading 3"/>
    <w:basedOn w:val="Normal"/>
    <w:link w:val="Ttulo3Char"/>
    <w:uiPriority w:val="9"/>
    <w:qFormat/>
    <w:rsid w:val="005A1E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E76DCA"/>
    <w:rPr>
      <w:rFonts w:hAnsi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5">
    <w:name w:val="Pa15"/>
    <w:basedOn w:val="Default"/>
    <w:next w:val="Default"/>
    <w:uiPriority w:val="99"/>
    <w:rsid w:val="00844C1C"/>
    <w:pPr>
      <w:autoSpaceDE w:val="0"/>
      <w:autoSpaceDN w:val="0"/>
      <w:adjustRightInd w:val="0"/>
      <w:spacing w:line="171" w:lineRule="atLeast"/>
    </w:pPr>
    <w:rPr>
      <w:rFonts w:ascii="Minion Pro" w:eastAsiaTheme="minorHAnsi" w:hAnsi="Minion Pro"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844C1C"/>
    <w:pPr>
      <w:autoSpaceDE w:val="0"/>
      <w:autoSpaceDN w:val="0"/>
      <w:adjustRightInd w:val="0"/>
      <w:spacing w:line="171" w:lineRule="atLeast"/>
    </w:pPr>
    <w:rPr>
      <w:rFonts w:ascii="Minion Pro" w:eastAsiaTheme="minorHAnsi" w:hAnsi="Minion Pro"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844C1C"/>
    <w:pPr>
      <w:autoSpaceDE w:val="0"/>
      <w:autoSpaceDN w:val="0"/>
      <w:adjustRightInd w:val="0"/>
      <w:spacing w:line="141" w:lineRule="atLeast"/>
    </w:pPr>
    <w:rPr>
      <w:rFonts w:ascii="Minion Pro" w:eastAsiaTheme="minorHAnsi" w:hAnsi="Minion Pro" w:cs="Times New Roman"/>
      <w:color w:val="auto"/>
    </w:rPr>
  </w:style>
  <w:style w:type="character" w:styleId="Refdecomentrio">
    <w:name w:val="annotation reference"/>
    <w:basedOn w:val="Fontepargpadro"/>
    <w:uiPriority w:val="99"/>
    <w:semiHidden/>
    <w:unhideWhenUsed/>
    <w:rsid w:val="007F4B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4B8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4B80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4B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4B80"/>
    <w:rPr>
      <w:rFonts w:ascii="Times New Roman" w:eastAsia="Times New Roman" w:hAnsi="Times New Roman"/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5A1E4D"/>
    <w:rPr>
      <w:rFonts w:ascii="Times New Roman" w:eastAsia="Times New Roman" w:hAnsi="Times New Roman"/>
      <w:b/>
      <w:bCs/>
      <w:sz w:val="27"/>
      <w:szCs w:val="27"/>
    </w:rPr>
  </w:style>
  <w:style w:type="character" w:styleId="nfase">
    <w:name w:val="Emphasis"/>
    <w:basedOn w:val="Fontepargpadro"/>
    <w:uiPriority w:val="20"/>
    <w:qFormat/>
    <w:rsid w:val="005A1E4D"/>
    <w:rPr>
      <w:i/>
      <w:iCs/>
    </w:rPr>
  </w:style>
  <w:style w:type="character" w:customStyle="1" w:styleId="A7">
    <w:name w:val="A7"/>
    <w:uiPriority w:val="99"/>
    <w:rsid w:val="003F32BC"/>
    <w:rPr>
      <w:color w:val="000000"/>
      <w:sz w:val="20"/>
      <w:szCs w:val="2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75F8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8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lainnybrito@gmail.com" TargetMode="External"/><Relationship Id="rId13" Type="http://schemas.openxmlformats.org/officeDocument/2006/relationships/hyperlink" Target="mailto:vittimota@uepa.br" TargetMode="External"/><Relationship Id="rId18" Type="http://schemas.openxmlformats.org/officeDocument/2006/relationships/header" Target="header1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jeanss291@gmail.com" TargetMode="External"/><Relationship Id="rId17" Type="http://schemas.openxmlformats.org/officeDocument/2006/relationships/hyperlink" Target="http://www.readcube.com/articles/10.1590/s0101-20612009000100006%20" TargetMode="Externa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s://www.crq4.org.br/sms/files/file/analisedealimentosial_2008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yraevangelista05@gmail.com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repositorio.unesp.br/handle/11449/96241" TargetMode="External"/><Relationship Id="rId10" Type="http://schemas.openxmlformats.org/officeDocument/2006/relationships/hyperlink" Target="mailto:janny7@hotmail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aianegon19@gmail.com" TargetMode="External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ilsom\Documents\Dados%20da%20Sensorial%20do%20Bol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plotArea>
      <c:layout>
        <c:manualLayout>
          <c:layoutTarget val="inner"/>
          <c:xMode val="edge"/>
          <c:yMode val="edge"/>
          <c:x val="0.13089128476478892"/>
          <c:y val="6.2759171621216692E-2"/>
          <c:w val="0.72037634428514452"/>
          <c:h val="0.79116481452279563"/>
        </c:manualLayout>
      </c:layout>
      <c:barChart>
        <c:barDir val="col"/>
        <c:grouping val="clustered"/>
        <c:ser>
          <c:idx val="0"/>
          <c:order val="0"/>
          <c:tx>
            <c:v>Compraria</c:v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(Plan1!$W$30,Plan1!$X$30,Plan1!$Y$30)</c:f>
              <c:strCache>
                <c:ptCount val="3"/>
                <c:pt idx="0">
                  <c:v>F1</c:v>
                </c:pt>
                <c:pt idx="1">
                  <c:v>F2</c:v>
                </c:pt>
                <c:pt idx="2">
                  <c:v>F3</c:v>
                </c:pt>
              </c:strCache>
            </c:strRef>
          </c:cat>
          <c:val>
            <c:numRef>
              <c:f>(Plan1!$W$31,Plan1!$X$31,Plan1!$Y$31)</c:f>
              <c:numCache>
                <c:formatCode>General</c:formatCode>
                <c:ptCount val="3"/>
                <c:pt idx="0">
                  <c:v>52</c:v>
                </c:pt>
                <c:pt idx="1">
                  <c:v>58</c:v>
                </c:pt>
                <c:pt idx="2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FB-4D3E-8E38-C9B03A308AB9}"/>
            </c:ext>
          </c:extLst>
        </c:ser>
        <c:ser>
          <c:idx val="1"/>
          <c:order val="1"/>
          <c:tx>
            <c:v>Talvez compraria</c:v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(Plan1!$W$30,Plan1!$X$30,Plan1!$Y$30)</c:f>
              <c:strCache>
                <c:ptCount val="3"/>
                <c:pt idx="0">
                  <c:v>F1</c:v>
                </c:pt>
                <c:pt idx="1">
                  <c:v>F2</c:v>
                </c:pt>
                <c:pt idx="2">
                  <c:v>F3</c:v>
                </c:pt>
              </c:strCache>
            </c:strRef>
          </c:cat>
          <c:val>
            <c:numRef>
              <c:f>(Plan1!$W$32,Plan1!$X$32,Plan1!$Y$32)</c:f>
              <c:numCache>
                <c:formatCode>General</c:formatCode>
                <c:ptCount val="3"/>
                <c:pt idx="0">
                  <c:v>37</c:v>
                </c:pt>
                <c:pt idx="1">
                  <c:v>35</c:v>
                </c:pt>
                <c:pt idx="2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4FB-4D3E-8E38-C9B03A308AB9}"/>
            </c:ext>
          </c:extLst>
        </c:ser>
        <c:ser>
          <c:idx val="2"/>
          <c:order val="2"/>
          <c:tx>
            <c:v>Não compraria</c:v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(Plan1!$W$30,Plan1!$X$30,Plan1!$Y$30)</c:f>
              <c:strCache>
                <c:ptCount val="3"/>
                <c:pt idx="0">
                  <c:v>F1</c:v>
                </c:pt>
                <c:pt idx="1">
                  <c:v>F2</c:v>
                </c:pt>
                <c:pt idx="2">
                  <c:v>F3</c:v>
                </c:pt>
              </c:strCache>
            </c:strRef>
          </c:cat>
          <c:val>
            <c:numRef>
              <c:f>(Plan1!$W$33,Plan1!$X$33,Plan1!$Y$33)</c:f>
              <c:numCache>
                <c:formatCode>General</c:formatCode>
                <c:ptCount val="3"/>
                <c:pt idx="0">
                  <c:v>12</c:v>
                </c:pt>
                <c:pt idx="1">
                  <c:v>7</c:v>
                </c:pt>
                <c:pt idx="2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4FB-4D3E-8E38-C9B03A308AB9}"/>
            </c:ext>
          </c:extLst>
        </c:ser>
        <c:dLbls>
          <c:showVal val="1"/>
        </c:dLbls>
        <c:axId val="112420736"/>
        <c:axId val="112427392"/>
      </c:barChart>
      <c:catAx>
        <c:axId val="11242073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pt-BR">
                    <a:latin typeface="Times New Roman" pitchFamily="18" charset="0"/>
                    <a:cs typeface="Times New Roman" pitchFamily="18" charset="0"/>
                  </a:rPr>
                  <a:t>Intenção de compra</a:t>
                </a:r>
              </a:p>
            </c:rich>
          </c:tx>
        </c:title>
        <c:numFmt formatCode="General" sourceLinked="0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112427392"/>
        <c:crosses val="autoZero"/>
        <c:auto val="1"/>
        <c:lblAlgn val="ctr"/>
        <c:lblOffset val="100"/>
      </c:catAx>
      <c:valAx>
        <c:axId val="112427392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Percentual de aceitação (%)</a:t>
                </a:r>
              </a:p>
            </c:rich>
          </c:tx>
          <c:layout>
            <c:manualLayout>
              <c:xMode val="edge"/>
              <c:yMode val="edge"/>
              <c:x val="1.9495012730345495E-2"/>
              <c:y val="0.23820217976355887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112420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006794620093558"/>
          <c:y val="7.4032838918391228E-2"/>
          <c:w val="0.18349602186053493"/>
          <c:h val="0.62324442002889358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gap"/>
  </c:chart>
  <c:spPr>
    <a:ln w="0"/>
  </c:spPr>
  <c:externalData r:id="rId1"/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62F64-61D4-4FF8-966F-C62AE1E12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2615</Words>
  <Characters>14124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16706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Altem</dc:creator>
  <cp:lastModifiedBy>Aldejane Prado</cp:lastModifiedBy>
  <cp:revision>2</cp:revision>
  <cp:lastPrinted>2018-11-03T17:41:00Z</cp:lastPrinted>
  <dcterms:created xsi:type="dcterms:W3CDTF">2018-11-04T22:34:00Z</dcterms:created>
  <dcterms:modified xsi:type="dcterms:W3CDTF">2018-11-04T22:34:00Z</dcterms:modified>
</cp:coreProperties>
</file>