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990" w14:textId="3785D3D5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02">
        <w:rPr>
          <w:b/>
          <w:bCs/>
          <w:color w:val="000000"/>
        </w:rPr>
        <w:t>USO DE STENT INTRA ORAL PARA PROTEÇÃO DOS TECIDOS BUCAIS DURANTE A RADIOTERAPIA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234E25FB" w14:textId="7CA0A53F" w:rsidR="003B4C02" w:rsidRPr="003B4C02" w:rsidRDefault="003B4C02" w:rsidP="003B4C02">
      <w:pPr>
        <w:pStyle w:val="NormalWeb"/>
        <w:spacing w:before="0" w:beforeAutospacing="0" w:after="0" w:afterAutospacing="0"/>
        <w:jc w:val="center"/>
      </w:pPr>
      <w:r w:rsidRPr="003B4C02">
        <w:rPr>
          <w:color w:val="000000"/>
        </w:rPr>
        <w:t>Autores:</w:t>
      </w:r>
      <w:r w:rsidRPr="003B4C02">
        <w:rPr>
          <w:b/>
          <w:bCs/>
          <w:color w:val="000000"/>
        </w:rPr>
        <w:t xml:space="preserve"> </w:t>
      </w:r>
      <w:r w:rsidRPr="003B4C02">
        <w:rPr>
          <w:color w:val="000000"/>
        </w:rPr>
        <w:t>Sandiele Duarte Dias¹, Camila Yasmin Craveiro Sacramento¹, Thais Gomes Mateus¹, Charles William Cavalcante de Oliveira¹, Lucas Cabral Trindade¹, Erick Nelo Pedreira²</w:t>
      </w:r>
    </w:p>
    <w:p w14:paraId="0813D0E0" w14:textId="77777777" w:rsidR="003B4C02" w:rsidRPr="003B4C02" w:rsidRDefault="003B4C02" w:rsidP="003B4C02">
      <w:pPr>
        <w:widowControl/>
        <w:autoSpaceDE/>
        <w:autoSpaceDN/>
        <w:jc w:val="both"/>
        <w:rPr>
          <w:sz w:val="24"/>
          <w:szCs w:val="24"/>
          <w:lang w:val="pt-BR" w:eastAsia="pt-BR"/>
        </w:rPr>
      </w:pPr>
      <w:r w:rsidRPr="003B4C02">
        <w:rPr>
          <w:color w:val="000000"/>
          <w:sz w:val="24"/>
          <w:szCs w:val="24"/>
          <w:lang w:val="pt-BR" w:eastAsia="pt-BR"/>
        </w:rPr>
        <w:t>¹Acadêmico de Odontologia, Universidade Federal do Pará;</w:t>
      </w:r>
    </w:p>
    <w:p w14:paraId="7B40C7CF" w14:textId="77777777" w:rsidR="003B4C02" w:rsidRPr="003B4C02" w:rsidRDefault="003B4C02" w:rsidP="003B4C02">
      <w:pPr>
        <w:widowControl/>
        <w:autoSpaceDE/>
        <w:autoSpaceDN/>
        <w:jc w:val="both"/>
        <w:rPr>
          <w:sz w:val="24"/>
          <w:szCs w:val="24"/>
          <w:lang w:val="pt-BR" w:eastAsia="pt-BR"/>
        </w:rPr>
      </w:pPr>
      <w:r w:rsidRPr="003B4C02">
        <w:rPr>
          <w:color w:val="000000"/>
          <w:sz w:val="24"/>
          <w:szCs w:val="24"/>
          <w:lang w:val="pt-BR" w:eastAsia="pt-BR"/>
        </w:rPr>
        <w:t>²Doutor, Universidade Federal do Pará; Professor Associado a faculdade de odontologia.</w:t>
      </w:r>
    </w:p>
    <w:p w14:paraId="6D617D4F" w14:textId="77777777" w:rsidR="003B4C02" w:rsidRDefault="003B4C02" w:rsidP="003B4C02">
      <w:pPr>
        <w:widowControl/>
        <w:autoSpaceDE/>
        <w:autoSpaceDN/>
        <w:rPr>
          <w:color w:val="000000"/>
          <w:sz w:val="24"/>
          <w:szCs w:val="24"/>
          <w:lang w:val="pt-BR" w:eastAsia="pt-BR"/>
        </w:rPr>
      </w:pPr>
    </w:p>
    <w:p w14:paraId="7F3E575E" w14:textId="78B5B158" w:rsidR="003B4C02" w:rsidRPr="003B4C02" w:rsidRDefault="003B4C02" w:rsidP="003B4C02">
      <w:pPr>
        <w:widowControl/>
        <w:autoSpaceDE/>
        <w:autoSpaceDN/>
        <w:rPr>
          <w:sz w:val="24"/>
          <w:szCs w:val="24"/>
          <w:lang w:val="pt-BR" w:eastAsia="pt-BR"/>
        </w:rPr>
      </w:pPr>
      <w:r w:rsidRPr="003B4C02">
        <w:rPr>
          <w:color w:val="000000"/>
          <w:sz w:val="24"/>
          <w:szCs w:val="24"/>
          <w:lang w:val="pt-BR" w:eastAsia="pt-BR"/>
        </w:rPr>
        <w:t>E-mail: sandiele.dias@altamira.ufpa.br; camila.craveiro@icen.ufpa.br; thais.mateus@ics.ufpa.br; charles.oliveira@ics.ufpa.br; lucas.trindade@ics.ufpa.br; erickpedreira@ufpa.br. </w:t>
      </w:r>
    </w:p>
    <w:p w14:paraId="15AAA511" w14:textId="77777777" w:rsidR="003B4C02" w:rsidRPr="003B4C02" w:rsidRDefault="003B4C02" w:rsidP="003B4C02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E8B30A7" w14:textId="3C75C166" w:rsidR="003B4C02" w:rsidRPr="003B4C02" w:rsidRDefault="003B4C02" w:rsidP="003B4C02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3B4C02">
        <w:rPr>
          <w:color w:val="000000"/>
          <w:sz w:val="24"/>
          <w:szCs w:val="24"/>
          <w:lang w:val="pt-BR" w:eastAsia="pt-BR"/>
        </w:rPr>
        <w:t xml:space="preserve">Este trabalho tem como objetivo avaliar a eficácia e os benefícios clínicos da utilização do </w:t>
      </w:r>
      <w:proofErr w:type="spellStart"/>
      <w:r w:rsidRPr="003B4C02">
        <w:rPr>
          <w:color w:val="000000"/>
          <w:sz w:val="24"/>
          <w:szCs w:val="24"/>
          <w:lang w:val="pt-BR" w:eastAsia="pt-BR"/>
        </w:rPr>
        <w:t>stents</w:t>
      </w:r>
      <w:proofErr w:type="spellEnd"/>
      <w:r w:rsidRPr="003B4C02">
        <w:rPr>
          <w:color w:val="000000"/>
          <w:sz w:val="24"/>
          <w:szCs w:val="24"/>
          <w:lang w:val="pt-BR" w:eastAsia="pt-BR"/>
        </w:rPr>
        <w:t xml:space="preserve"> intraorais como medida de proteção dos tecidos não-alvo durante tratamentos de radioterapia em região de cabeça e pescoço. A pesquisa foi conduzida nas bases de dados </w:t>
      </w:r>
      <w:proofErr w:type="spellStart"/>
      <w:r w:rsidRPr="003B4C02">
        <w:rPr>
          <w:color w:val="000000"/>
          <w:sz w:val="24"/>
          <w:szCs w:val="24"/>
          <w:lang w:val="pt-BR" w:eastAsia="pt-BR"/>
        </w:rPr>
        <w:t>PubMed</w:t>
      </w:r>
      <w:proofErr w:type="spellEnd"/>
      <w:r w:rsidRPr="003B4C02">
        <w:rPr>
          <w:color w:val="000000"/>
          <w:sz w:val="24"/>
          <w:szCs w:val="24"/>
          <w:lang w:val="pt-BR" w:eastAsia="pt-BR"/>
        </w:rPr>
        <w:t xml:space="preserve">, </w:t>
      </w:r>
      <w:proofErr w:type="spellStart"/>
      <w:r w:rsidRPr="003B4C02">
        <w:rPr>
          <w:color w:val="000000"/>
          <w:sz w:val="24"/>
          <w:szCs w:val="24"/>
          <w:lang w:val="pt-BR" w:eastAsia="pt-BR"/>
        </w:rPr>
        <w:t>ScienceDirect</w:t>
      </w:r>
      <w:proofErr w:type="spellEnd"/>
      <w:r w:rsidRPr="003B4C02">
        <w:rPr>
          <w:color w:val="000000"/>
          <w:sz w:val="24"/>
          <w:szCs w:val="24"/>
          <w:lang w:val="pt-BR" w:eastAsia="pt-BR"/>
        </w:rPr>
        <w:t xml:space="preserve">, Medline e Google Acadêmico, usando os termos "intraoral </w:t>
      </w:r>
      <w:proofErr w:type="spellStart"/>
      <w:r w:rsidRPr="003B4C02">
        <w:rPr>
          <w:color w:val="000000"/>
          <w:sz w:val="24"/>
          <w:szCs w:val="24"/>
          <w:lang w:val="pt-BR" w:eastAsia="pt-BR"/>
        </w:rPr>
        <w:t>stents</w:t>
      </w:r>
      <w:proofErr w:type="spellEnd"/>
      <w:r w:rsidRPr="003B4C02">
        <w:rPr>
          <w:color w:val="000000"/>
          <w:sz w:val="24"/>
          <w:szCs w:val="24"/>
          <w:lang w:val="pt-BR" w:eastAsia="pt-BR"/>
        </w:rPr>
        <w:t>", "</w:t>
      </w:r>
      <w:proofErr w:type="spellStart"/>
      <w:r w:rsidRPr="003B4C02">
        <w:rPr>
          <w:color w:val="000000"/>
          <w:sz w:val="24"/>
          <w:szCs w:val="24"/>
          <w:lang w:val="pt-BR" w:eastAsia="pt-BR"/>
        </w:rPr>
        <w:t>protect</w:t>
      </w:r>
      <w:proofErr w:type="spellEnd"/>
      <w:r w:rsidRPr="003B4C02">
        <w:rPr>
          <w:color w:val="000000"/>
          <w:sz w:val="24"/>
          <w:szCs w:val="24"/>
          <w:lang w:val="pt-BR" w:eastAsia="pt-BR"/>
        </w:rPr>
        <w:t xml:space="preserve"> oral </w:t>
      </w:r>
      <w:proofErr w:type="spellStart"/>
      <w:r w:rsidRPr="003B4C02">
        <w:rPr>
          <w:color w:val="000000"/>
          <w:sz w:val="24"/>
          <w:szCs w:val="24"/>
          <w:lang w:val="pt-BR" w:eastAsia="pt-BR"/>
        </w:rPr>
        <w:t>tissues</w:t>
      </w:r>
      <w:proofErr w:type="spellEnd"/>
      <w:r w:rsidRPr="003B4C02">
        <w:rPr>
          <w:color w:val="000000"/>
          <w:sz w:val="24"/>
          <w:szCs w:val="24"/>
          <w:lang w:val="pt-BR" w:eastAsia="pt-BR"/>
        </w:rPr>
        <w:t>" e "</w:t>
      </w:r>
      <w:proofErr w:type="spellStart"/>
      <w:r w:rsidRPr="003B4C02">
        <w:rPr>
          <w:color w:val="000000"/>
          <w:sz w:val="24"/>
          <w:szCs w:val="24"/>
          <w:lang w:val="pt-BR" w:eastAsia="pt-BR"/>
        </w:rPr>
        <w:t>radiotherapy</w:t>
      </w:r>
      <w:proofErr w:type="spellEnd"/>
      <w:r w:rsidRPr="003B4C02">
        <w:rPr>
          <w:color w:val="000000"/>
          <w:sz w:val="24"/>
          <w:szCs w:val="24"/>
          <w:lang w:val="pt-BR" w:eastAsia="pt-BR"/>
        </w:rPr>
        <w:t xml:space="preserve">", combinados com o operador booleano AND e filtrados para artigos publicados nos últimos 5 anos e escritos na língua inglesa. O resultado das buscas incluiu 10 estudos potencialmente relevantes para a extração dos dados. O câncer de cabeça e pescoço é o sexto tipo de câncer mais frequente na população, representando entre 4% e 6% de todos os casos de câncer. A radioterapia é empregada no tratamento de aproximadamente 80% dos pacientes diagnosticados com câncer nessas regiões. Apesar dos avanços na oncologia, a radioterapia continua associada a uma toxicidade significativa, resultando em condições como </w:t>
      </w:r>
      <w:proofErr w:type="spellStart"/>
      <w:r w:rsidRPr="003B4C02">
        <w:rPr>
          <w:color w:val="000000"/>
          <w:sz w:val="24"/>
          <w:szCs w:val="24"/>
          <w:lang w:val="pt-BR" w:eastAsia="pt-BR"/>
        </w:rPr>
        <w:t>mucosite</w:t>
      </w:r>
      <w:proofErr w:type="spellEnd"/>
      <w:r w:rsidRPr="003B4C02">
        <w:rPr>
          <w:color w:val="000000"/>
          <w:sz w:val="24"/>
          <w:szCs w:val="24"/>
          <w:lang w:val="pt-BR" w:eastAsia="pt-BR"/>
        </w:rPr>
        <w:t xml:space="preserve"> oral, alterações na produção de saliva, necrose óssea, disgeusia, disfagia e trismo. Para enfrentar esses desafios, os </w:t>
      </w:r>
      <w:proofErr w:type="spellStart"/>
      <w:r w:rsidRPr="003B4C02">
        <w:rPr>
          <w:color w:val="000000"/>
          <w:sz w:val="24"/>
          <w:szCs w:val="24"/>
          <w:lang w:val="pt-BR" w:eastAsia="pt-BR"/>
        </w:rPr>
        <w:t>stents</w:t>
      </w:r>
      <w:proofErr w:type="spellEnd"/>
      <w:r w:rsidRPr="003B4C02">
        <w:rPr>
          <w:color w:val="000000"/>
          <w:sz w:val="24"/>
          <w:szCs w:val="24"/>
          <w:lang w:val="pt-BR" w:eastAsia="pt-BR"/>
        </w:rPr>
        <w:t xml:space="preserve"> intraorais personalizados sugerem uma estratégia promissora para reduzir tais efeitos adversos e melhorar a eficácia do controle tumoral. Esses dispositivos atuam ampliando o espaço entre a maxila e a mandíbula, afastando assim os tecidos saudáveis das regiões-alvo da radiação. Além desse efeito protetor, eles também oferecem estabilização mandibular e contribuem para otimizar o planejamento da radioterapia, permitindo a administração precisa da dose de radiação diretamente no sítio tumoral. Em síntese, a colaboração de especialistas como cirurgiões-dentistas e </w:t>
      </w:r>
      <w:proofErr w:type="spellStart"/>
      <w:r w:rsidRPr="003B4C02">
        <w:rPr>
          <w:color w:val="000000"/>
          <w:sz w:val="24"/>
          <w:szCs w:val="24"/>
          <w:lang w:val="pt-BR" w:eastAsia="pt-BR"/>
        </w:rPr>
        <w:t>protesistas</w:t>
      </w:r>
      <w:proofErr w:type="spellEnd"/>
      <w:r w:rsidRPr="003B4C02">
        <w:rPr>
          <w:color w:val="000000"/>
          <w:sz w:val="24"/>
          <w:szCs w:val="24"/>
          <w:lang w:val="pt-BR" w:eastAsia="pt-BR"/>
        </w:rPr>
        <w:t xml:space="preserve"> bucomaxilofaciais são </w:t>
      </w:r>
      <w:r w:rsidRPr="003B4C02">
        <w:rPr>
          <w:color w:val="000000"/>
          <w:sz w:val="24"/>
          <w:szCs w:val="24"/>
          <w:lang w:val="pt-BR" w:eastAsia="pt-BR"/>
        </w:rPr>
        <w:t>essenciais</w:t>
      </w:r>
      <w:r w:rsidRPr="003B4C02">
        <w:rPr>
          <w:color w:val="000000"/>
          <w:sz w:val="24"/>
          <w:szCs w:val="24"/>
          <w:lang w:val="pt-BR" w:eastAsia="pt-BR"/>
        </w:rPr>
        <w:t xml:space="preserve"> para a fabricação e adaptação desses dispositivos, fortalecendo o papel da equipe multidisciplinar. </w:t>
      </w:r>
    </w:p>
    <w:p w14:paraId="4CD64857" w14:textId="77777777" w:rsidR="003B4C02" w:rsidRPr="003B4C02" w:rsidRDefault="003B4C02" w:rsidP="003B4C02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3B4C02">
        <w:rPr>
          <w:color w:val="000000"/>
          <w:sz w:val="24"/>
          <w:szCs w:val="24"/>
          <w:lang w:val="pt-BR" w:eastAsia="pt-BR"/>
        </w:rPr>
        <w:t>Área: Estomatologia e patologia oral; </w:t>
      </w:r>
    </w:p>
    <w:p w14:paraId="53A20AFE" w14:textId="77777777" w:rsidR="003B4C02" w:rsidRPr="003B4C02" w:rsidRDefault="003B4C02" w:rsidP="003B4C02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3B4C02">
        <w:rPr>
          <w:color w:val="000000"/>
          <w:sz w:val="24"/>
          <w:szCs w:val="24"/>
          <w:lang w:val="pt-BR" w:eastAsia="pt-BR"/>
        </w:rPr>
        <w:t>Modalidade: Revisão de Literatura. </w:t>
      </w:r>
    </w:p>
    <w:p w14:paraId="0A8CA6DE" w14:textId="77777777" w:rsidR="003B4C02" w:rsidRPr="003B4C02" w:rsidRDefault="003B4C02" w:rsidP="003B4C02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  <w:r w:rsidRPr="003B4C02">
        <w:rPr>
          <w:color w:val="000000"/>
          <w:sz w:val="24"/>
          <w:szCs w:val="24"/>
          <w:lang w:val="pt-BR" w:eastAsia="pt-BR"/>
        </w:rPr>
        <w:t>Palavras-chave: Neoplasias de Cabeça e Pescoço; Radioterapia; Fatores de Proteção.</w:t>
      </w:r>
    </w:p>
    <w:p w14:paraId="3D000168" w14:textId="50EA3809" w:rsidR="003B4C02" w:rsidRDefault="003B4C02" w:rsidP="003B4C02">
      <w:pPr>
        <w:pStyle w:val="Corpodetexto"/>
        <w:spacing w:line="276" w:lineRule="auto"/>
        <w:ind w:left="290" w:right="137"/>
        <w:jc w:val="center"/>
      </w:pPr>
    </w:p>
    <w:p w14:paraId="3080EB62" w14:textId="4BF3CF79" w:rsidR="00423E15" w:rsidRDefault="00423E15" w:rsidP="00E37590">
      <w:pPr>
        <w:pStyle w:val="Corpodetexto"/>
        <w:spacing w:before="138" w:line="360" w:lineRule="auto"/>
        <w:ind w:right="3887"/>
        <w:sectPr w:rsidR="00423E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340" w:right="1580" w:bottom="280" w:left="1460" w:header="720" w:footer="720" w:gutter="0"/>
          <w:cols w:space="720"/>
        </w:sect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FF45" w14:textId="77777777" w:rsidR="00C96329" w:rsidRDefault="00C96329" w:rsidP="00E37590">
      <w:r>
        <w:separator/>
      </w:r>
    </w:p>
  </w:endnote>
  <w:endnote w:type="continuationSeparator" w:id="0">
    <w:p w14:paraId="128E9D3B" w14:textId="77777777" w:rsidR="00C96329" w:rsidRDefault="00C96329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F878" w14:textId="77777777" w:rsidR="00C96329" w:rsidRDefault="00C96329" w:rsidP="00E37590">
      <w:r>
        <w:separator/>
      </w:r>
    </w:p>
  </w:footnote>
  <w:footnote w:type="continuationSeparator" w:id="0">
    <w:p w14:paraId="785631C7" w14:textId="77777777" w:rsidR="00C96329" w:rsidRDefault="00C96329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920559832">
    <w:abstractNumId w:val="5"/>
  </w:num>
  <w:num w:numId="2" w16cid:durableId="424611601">
    <w:abstractNumId w:val="11"/>
  </w:num>
  <w:num w:numId="3" w16cid:durableId="1753821161">
    <w:abstractNumId w:val="10"/>
  </w:num>
  <w:num w:numId="4" w16cid:durableId="225799002">
    <w:abstractNumId w:val="2"/>
  </w:num>
  <w:num w:numId="5" w16cid:durableId="211230284">
    <w:abstractNumId w:val="15"/>
  </w:num>
  <w:num w:numId="6" w16cid:durableId="1258370295">
    <w:abstractNumId w:val="0"/>
  </w:num>
  <w:num w:numId="7" w16cid:durableId="1812676763">
    <w:abstractNumId w:val="3"/>
  </w:num>
  <w:num w:numId="8" w16cid:durableId="1733775174">
    <w:abstractNumId w:val="6"/>
  </w:num>
  <w:num w:numId="9" w16cid:durableId="1310087659">
    <w:abstractNumId w:val="9"/>
  </w:num>
  <w:num w:numId="10" w16cid:durableId="754060684">
    <w:abstractNumId w:val="12"/>
  </w:num>
  <w:num w:numId="11" w16cid:durableId="1892572556">
    <w:abstractNumId w:val="4"/>
  </w:num>
  <w:num w:numId="12" w16cid:durableId="1495873979">
    <w:abstractNumId w:val="14"/>
  </w:num>
  <w:num w:numId="13" w16cid:durableId="632755151">
    <w:abstractNumId w:val="1"/>
  </w:num>
  <w:num w:numId="14" w16cid:durableId="1417288935">
    <w:abstractNumId w:val="8"/>
  </w:num>
  <w:num w:numId="15" w16cid:durableId="805663274">
    <w:abstractNumId w:val="7"/>
  </w:num>
  <w:num w:numId="16" w16cid:durableId="1035153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B4C02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96329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3B4C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sandiele duarte dias</cp:lastModifiedBy>
  <cp:revision>2</cp:revision>
  <dcterms:created xsi:type="dcterms:W3CDTF">2023-09-06T23:13:00Z</dcterms:created>
  <dcterms:modified xsi:type="dcterms:W3CDTF">2023-09-06T23:13:00Z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