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18465" w14:textId="1FC94CD4" w:rsidR="00E94E4E" w:rsidRPr="00E94E4E" w:rsidRDefault="00E94E4E" w:rsidP="00E94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0" w:name="_Hlk176892142"/>
      <w:r w:rsidRPr="00E94E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ESTUDO DAS PRÁTICAS PEDAGÓGICAS E DA RESISTÊNCIA IDENTITÁRIA DO POVO QUILOMBOLA GURUTUBANO NO CONTEXTO EDUCACIONAL RURAL DE JANAÚBA/MG</w:t>
      </w:r>
    </w:p>
    <w:bookmarkEnd w:id="0"/>
    <w:p w14:paraId="65195066" w14:textId="3EF0C8D2" w:rsidR="00881463" w:rsidRDefault="00881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1645330" w14:textId="034B408B" w:rsidR="009958ED" w:rsidRPr="009958ED" w:rsidRDefault="009958ED" w:rsidP="009958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58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Vaneide Pereira da Silva</w:t>
      </w:r>
    </w:p>
    <w:p w14:paraId="00D7F883" w14:textId="77777777" w:rsidR="009958ED" w:rsidRPr="009958ED" w:rsidRDefault="009958ED" w:rsidP="009958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58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</w:t>
      </w:r>
    </w:p>
    <w:p w14:paraId="7865632C" w14:textId="77777777" w:rsidR="009958ED" w:rsidRPr="009958ED" w:rsidRDefault="009958ED" w:rsidP="009958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58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Vaneidepsilva05@gmail.com</w:t>
      </w:r>
    </w:p>
    <w:p w14:paraId="6ECDF9DE" w14:textId="77777777" w:rsidR="009958ED" w:rsidRDefault="00465010" w:rsidP="009958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60B6CD8F" w14:textId="2D1C922A" w:rsidR="009958ED" w:rsidRPr="009958ED" w:rsidRDefault="00465010" w:rsidP="009958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9958ED" w:rsidRPr="009958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958ED" w:rsidRPr="009958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Processos Educativos dos Povos e Comunidades Tradicionais e Movimentos Sociais</w:t>
      </w:r>
    </w:p>
    <w:p w14:paraId="611E2531" w14:textId="5FF8D385" w:rsidR="00881463" w:rsidRDefault="00881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C85ABEE" w14:textId="769E6649" w:rsidR="00881463" w:rsidRDefault="00465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9958ED" w:rsidRPr="009958E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9958ED" w:rsidRPr="009958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Educação quilombola. Saberes tradicionais. </w:t>
      </w:r>
      <w:r w:rsidR="001F69CD" w:rsidRPr="001F69CD">
        <w:rPr>
          <w:rFonts w:ascii="Times New Roman" w:eastAsia="Times New Roman" w:hAnsi="Times New Roman" w:cs="Times New Roman"/>
          <w:sz w:val="24"/>
          <w:szCs w:val="24"/>
          <w:lang w:eastAsia="pt-BR"/>
        </w:rPr>
        <w:t>Interculturalidade.</w:t>
      </w:r>
    </w:p>
    <w:p w14:paraId="0F21AF38" w14:textId="77777777" w:rsidR="00881463" w:rsidRDefault="008814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4B9E16" w14:textId="77777777" w:rsidR="00881463" w:rsidRDefault="004650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61FC61F2" w14:textId="77777777" w:rsidR="00881463" w:rsidRDefault="008814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886226" w14:textId="5542779E" w:rsidR="009958ED" w:rsidRPr="00C3079B" w:rsidRDefault="00591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3079B">
        <w:rPr>
          <w:rFonts w:ascii="Times New Roman" w:hAnsi="Times New Roman" w:cs="Times New Roman"/>
          <w:sz w:val="24"/>
          <w:szCs w:val="24"/>
        </w:rPr>
        <w:t>Esta pesquisa investiga como a escola pública situada no território quilombola de Caetetus, em Janaúba/MG, contribui para a invisibilização ou valorização dos saberes e identidades do povo gurutubano. A justificativa reside na constatação de que, apesar de marcos legais como a Lei nº 10.639/2003 e as Diretrizes Curriculares Nacionais para a Educação Escolar Quilombola, as práticas pedagógicas ainda reproduzem currículos eurocentrados que silenciam a história e os conhecimentos tradicionais locais. O problema central questiona de que maneira a escola formal reproduz</w:t>
      </w:r>
      <w:r w:rsidR="00C2006F">
        <w:rPr>
          <w:rFonts w:ascii="Times New Roman" w:hAnsi="Times New Roman" w:cs="Times New Roman"/>
          <w:sz w:val="24"/>
          <w:szCs w:val="24"/>
        </w:rPr>
        <w:t xml:space="preserve"> o</w:t>
      </w:r>
      <w:r w:rsidRPr="00C3079B">
        <w:rPr>
          <w:rFonts w:ascii="Times New Roman" w:hAnsi="Times New Roman" w:cs="Times New Roman"/>
          <w:sz w:val="24"/>
          <w:szCs w:val="24"/>
        </w:rPr>
        <w:t xml:space="preserve"> silenciamento histórico e como pode tornar-se um espaço de resistência e reconstrução identitária por meio de uma pedagogia intercultural e antirracista. O objetivo geral é analisar o reconhecimento dos saberes gurutubanos no espaço escolar e propor caminhos para uma educação quilombola descolonizadora. Como objetivos específicos, busca-se identificar os mecanismos de invisibilidade, discutir a formação docente e sugerir práticas que envolvam mestres de saberes tradicionais.</w:t>
      </w:r>
      <w:r w:rsidR="00293967" w:rsidRPr="00293967">
        <w:t xml:space="preserve"> </w:t>
      </w:r>
      <w:r w:rsidR="00293967" w:rsidRPr="00293967">
        <w:rPr>
          <w:rFonts w:ascii="Times New Roman" w:hAnsi="Times New Roman" w:cs="Times New Roman"/>
          <w:sz w:val="24"/>
          <w:szCs w:val="24"/>
        </w:rPr>
        <w:t>O referencial teórico fundamenta-se na decolonialidade e interculturalidade crítica (GOMES, 2012), visando romper com a colonialidade do saber no currículo escolar. Aborda o racismo estrutural e o epistemicídio (CARNEIRO, 2023) como mecanismos de silenciamento de corpos e saberes negros. Apoia-se na valorização da ancestralidade, territorialidade e amefricanidade (GONZALEZ, 1988), reconhecendo os quilombos como espaços epistemológicos de resistência e preservação da memória coletiva.</w:t>
      </w:r>
      <w:r w:rsidRPr="00C3079B">
        <w:rPr>
          <w:rFonts w:ascii="Times New Roman" w:hAnsi="Times New Roman" w:cs="Times New Roman"/>
          <w:sz w:val="24"/>
          <w:szCs w:val="24"/>
        </w:rPr>
        <w:t xml:space="preserve"> Metodologicamente, a pesquisa adota uma abordagem qualitativa de cunho etnográfico, com técnicas de análise interpretativista. Os procedimentos incluem levantamento bibliográfico, entrevistas semiestruturadas com gestores e professores, observação participante em sala de aula. Como resultados parciais, observa-se que a escola atua de forma ambivalente, oscilando entre o reforço do racismo estrutural e o potencial para ser um território de resistência. A relevância social da investigação reside no fortalecimento da identidade étnico-racial e na promoção de um diálogo radical entre saberes escolares e comunitários, essenciais para a garantia do direito de comunidades tradicionais de se verem representadas como sujeitos históricos e culturais no campo da Educação.</w:t>
      </w:r>
      <w:r w:rsidR="0034789F" w:rsidRPr="00C3079B">
        <w:rPr>
          <w:rFonts w:ascii="Times New Roman" w:hAnsi="Times New Roman" w:cs="Times New Roman"/>
          <w:sz w:val="24"/>
          <w:szCs w:val="24"/>
        </w:rPr>
        <w:t xml:space="preserve"> </w:t>
      </w:r>
      <w:r w:rsidR="0034789F" w:rsidRPr="00C3079B">
        <w:rPr>
          <w:rFonts w:ascii="Times New Roman" w:hAnsi="Times New Roman" w:cs="Times New Roman"/>
          <w:sz w:val="24"/>
          <w:szCs w:val="24"/>
        </w:rPr>
        <w:t>Tendo em vista que essa comunicação trata-se da apresentação de um projeto de pesquisa, ainda não serão apresentados resultados e conclusões.</w:t>
      </w:r>
    </w:p>
    <w:p w14:paraId="2558A55A" w14:textId="77777777" w:rsidR="00184447" w:rsidRDefault="001844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466458" w14:textId="2D620B4F" w:rsidR="00881463" w:rsidRDefault="00465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00B26685" w14:textId="77777777" w:rsidR="0015197D" w:rsidRPr="0015197D" w:rsidRDefault="0015197D" w:rsidP="0015197D">
      <w:pPr>
        <w:pStyle w:val="NormalWeb"/>
      </w:pPr>
      <w:r w:rsidRPr="0015197D">
        <w:t xml:space="preserve">BARDIN, Laurence. </w:t>
      </w:r>
      <w:r w:rsidRPr="0015197D">
        <w:rPr>
          <w:b/>
          <w:bCs/>
        </w:rPr>
        <w:t>Análise de conteúdo</w:t>
      </w:r>
      <w:r w:rsidRPr="0015197D">
        <w:t>. Lisboa: Edições 70, 1977.</w:t>
      </w:r>
    </w:p>
    <w:p w14:paraId="0FF9B726" w14:textId="13A7291B" w:rsidR="001F69CD" w:rsidRDefault="001F69CD" w:rsidP="001F69CD">
      <w:pPr>
        <w:pStyle w:val="NormalWeb"/>
        <w:jc w:val="both"/>
      </w:pPr>
      <w:r w:rsidRPr="001F69CD">
        <w:lastRenderedPageBreak/>
        <w:t xml:space="preserve">BRASIL. </w:t>
      </w:r>
      <w:r w:rsidRPr="001F69CD">
        <w:rPr>
          <w:b/>
          <w:bCs/>
        </w:rPr>
        <w:t>Lei nº 10.639, de 9 de janeiro de 2003</w:t>
      </w:r>
      <w:r w:rsidRPr="001F69CD">
        <w:rPr>
          <w:i/>
          <w:iCs/>
        </w:rPr>
        <w:t>.</w:t>
      </w:r>
      <w:r w:rsidRPr="001F69CD">
        <w:t xml:space="preserve"> Altera a Lei nº 9.394/1996, para incluir no currículo oficial da Rede de Ensino a obrigatoriedade da temática "História e Cultura Afro-Brasileira". Brasília, DF, 2003.</w:t>
      </w:r>
    </w:p>
    <w:p w14:paraId="0EE0A9C2" w14:textId="3F250638" w:rsidR="003F13CD" w:rsidRPr="001F69CD" w:rsidRDefault="003F13CD" w:rsidP="001F69CD">
      <w:pPr>
        <w:pStyle w:val="NormalWeb"/>
        <w:jc w:val="both"/>
      </w:pPr>
      <w:r w:rsidRPr="003F13CD">
        <w:t xml:space="preserve">BRASIL. Ministério da Educação. Conselho Nacional de Educação. Câmara de Educação Básica. </w:t>
      </w:r>
      <w:r w:rsidRPr="003F13CD">
        <w:rPr>
          <w:b/>
          <w:bCs/>
        </w:rPr>
        <w:t>Resolução nº 8, de 20 de novembro de 2012</w:t>
      </w:r>
      <w:r w:rsidRPr="003F13CD">
        <w:t>. Define Diretrizes Curriculares Nacionais para a Educação Escolar Quilombola na Educação Básica. Brasília: Diário Oficial da União, 2012.</w:t>
      </w:r>
    </w:p>
    <w:p w14:paraId="79F3E6B9" w14:textId="77777777" w:rsidR="001F69CD" w:rsidRPr="001F69CD" w:rsidRDefault="001F69CD" w:rsidP="001F69CD">
      <w:pPr>
        <w:pStyle w:val="NormalWeb"/>
        <w:jc w:val="both"/>
      </w:pPr>
      <w:r w:rsidRPr="001F69CD">
        <w:t xml:space="preserve">CARNEIRO, Sueli. </w:t>
      </w:r>
      <w:r w:rsidRPr="001F69CD">
        <w:rPr>
          <w:b/>
          <w:bCs/>
        </w:rPr>
        <w:t>A construção do outro como não-ser como fundamento do ser</w:t>
      </w:r>
      <w:r w:rsidRPr="001F69CD">
        <w:t>. Rio de Janeiro: Zahar, 2023.</w:t>
      </w:r>
    </w:p>
    <w:p w14:paraId="1CE730B5" w14:textId="77777777" w:rsidR="001F69CD" w:rsidRPr="001F69CD" w:rsidRDefault="001F69CD" w:rsidP="001F69CD">
      <w:pPr>
        <w:pStyle w:val="NormalWeb"/>
        <w:jc w:val="both"/>
      </w:pPr>
      <w:r w:rsidRPr="001F69CD">
        <w:t xml:space="preserve">CASTRO, Diego Tavares de; OLIVEIRA, Iago Almeida de. </w:t>
      </w:r>
      <w:r w:rsidRPr="001F69CD">
        <w:rPr>
          <w:b/>
          <w:bCs/>
        </w:rPr>
        <w:t>Descolonização do saber</w:t>
      </w:r>
      <w:r w:rsidRPr="001F69CD">
        <w:rPr>
          <w:i/>
          <w:iCs/>
        </w:rPr>
        <w:t>: Paulo Freire e o pensamento indígena brasileiro</w:t>
      </w:r>
      <w:r w:rsidRPr="001F69CD">
        <w:t>. Educação &amp; Realidade, v. 47, p. e116268, 2022.</w:t>
      </w:r>
    </w:p>
    <w:p w14:paraId="6C446000" w14:textId="1DB42C0A" w:rsidR="001F69CD" w:rsidRDefault="001F69CD" w:rsidP="00B11661">
      <w:pPr>
        <w:pStyle w:val="NormalWeb"/>
        <w:jc w:val="both"/>
      </w:pPr>
      <w:r w:rsidRPr="001F69CD">
        <w:t xml:space="preserve">GOMES, Nilma Lino. </w:t>
      </w:r>
      <w:r w:rsidRPr="001F69CD">
        <w:rPr>
          <w:b/>
          <w:bCs/>
        </w:rPr>
        <w:t>Relações étnico-raciais, educação e descolonização dos currículos</w:t>
      </w:r>
      <w:r w:rsidRPr="001F69CD">
        <w:t>. Revista Currículo sem Fronteiras, v. 12, n. 1, p. 98-109, 2012.</w:t>
      </w:r>
    </w:p>
    <w:p w14:paraId="0527DD6C" w14:textId="77777777" w:rsidR="006957A1" w:rsidRPr="006957A1" w:rsidRDefault="006957A1" w:rsidP="00B11661">
      <w:pPr>
        <w:pStyle w:val="NormalWeb"/>
        <w:jc w:val="both"/>
      </w:pPr>
      <w:r w:rsidRPr="006957A1">
        <w:t xml:space="preserve">GONZALEZ, Lélia. </w:t>
      </w:r>
      <w:r w:rsidRPr="006957A1">
        <w:rPr>
          <w:b/>
          <w:bCs/>
        </w:rPr>
        <w:t>A categoria político-cultural de amefricanidade</w:t>
      </w:r>
      <w:r w:rsidRPr="006957A1">
        <w:t>. Tempo Brasileiro, n. 92/93, p. 69-82, 1988.</w:t>
      </w:r>
    </w:p>
    <w:p w14:paraId="7881D3C1" w14:textId="77777777" w:rsidR="00B11661" w:rsidRPr="00F30293" w:rsidRDefault="00B11661" w:rsidP="00F30293">
      <w:pPr>
        <w:pStyle w:val="NormalWeb"/>
      </w:pPr>
    </w:p>
    <w:p w14:paraId="2089AFEB" w14:textId="77777777" w:rsidR="00F30293" w:rsidRPr="001F69CD" w:rsidRDefault="00F30293" w:rsidP="001F69CD">
      <w:pPr>
        <w:pStyle w:val="NormalWeb"/>
        <w:jc w:val="both"/>
      </w:pPr>
    </w:p>
    <w:p w14:paraId="16463D6B" w14:textId="77777777" w:rsidR="00881463" w:rsidRDefault="00881463">
      <w:pPr>
        <w:pStyle w:val="NormalWeb"/>
      </w:pPr>
    </w:p>
    <w:p w14:paraId="1FAEE353" w14:textId="77777777" w:rsidR="00881463" w:rsidRDefault="00881463"/>
    <w:sectPr w:rsidR="00881463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51338" w14:textId="77777777" w:rsidR="00465010" w:rsidRDefault="00465010">
      <w:pPr>
        <w:spacing w:line="240" w:lineRule="auto"/>
      </w:pPr>
      <w:r>
        <w:separator/>
      </w:r>
    </w:p>
  </w:endnote>
  <w:endnote w:type="continuationSeparator" w:id="0">
    <w:p w14:paraId="51769466" w14:textId="77777777" w:rsidR="00465010" w:rsidRDefault="00465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31C9B" w14:textId="77777777" w:rsidR="00465010" w:rsidRDefault="00465010">
      <w:pPr>
        <w:spacing w:after="0"/>
      </w:pPr>
      <w:r>
        <w:separator/>
      </w:r>
    </w:p>
  </w:footnote>
  <w:footnote w:type="continuationSeparator" w:id="0">
    <w:p w14:paraId="67C1694B" w14:textId="77777777" w:rsidR="00465010" w:rsidRDefault="004650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54C06" w14:textId="77777777" w:rsidR="00881463" w:rsidRDefault="00465010">
    <w:pPr>
      <w:pStyle w:val="Cabealho"/>
    </w:pPr>
    <w:r>
      <w:rPr>
        <w:noProof/>
      </w:rPr>
      <w:drawing>
        <wp:inline distT="0" distB="0" distL="114300" distR="114300" wp14:anchorId="0140507D" wp14:editId="1B5C85DB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0284A"/>
    <w:rsid w:val="0015197D"/>
    <w:rsid w:val="00157FDF"/>
    <w:rsid w:val="00172A27"/>
    <w:rsid w:val="00184447"/>
    <w:rsid w:val="001F69CD"/>
    <w:rsid w:val="00270941"/>
    <w:rsid w:val="00293967"/>
    <w:rsid w:val="0034789F"/>
    <w:rsid w:val="00392E6D"/>
    <w:rsid w:val="003F13CD"/>
    <w:rsid w:val="00465010"/>
    <w:rsid w:val="005167A4"/>
    <w:rsid w:val="0059133E"/>
    <w:rsid w:val="005F5CE3"/>
    <w:rsid w:val="00677F30"/>
    <w:rsid w:val="006957A1"/>
    <w:rsid w:val="006B26A9"/>
    <w:rsid w:val="006D4C88"/>
    <w:rsid w:val="00741E2B"/>
    <w:rsid w:val="007F2425"/>
    <w:rsid w:val="008240CC"/>
    <w:rsid w:val="00881463"/>
    <w:rsid w:val="009958ED"/>
    <w:rsid w:val="00AB1637"/>
    <w:rsid w:val="00B11661"/>
    <w:rsid w:val="00B82A8F"/>
    <w:rsid w:val="00BC314E"/>
    <w:rsid w:val="00BD6064"/>
    <w:rsid w:val="00C07373"/>
    <w:rsid w:val="00C2006F"/>
    <w:rsid w:val="00C3079B"/>
    <w:rsid w:val="00E7045B"/>
    <w:rsid w:val="00E94E4E"/>
    <w:rsid w:val="00F30293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4770"/>
  <w15:docId w15:val="{C18EB555-EDC8-4B8A-BBEF-516CFC8A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E2293-4553-4AD0-B721-67678F6FC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620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Usuario</cp:lastModifiedBy>
  <cp:revision>39</cp:revision>
  <dcterms:created xsi:type="dcterms:W3CDTF">2026-05-03T18:23:00Z</dcterms:created>
  <dcterms:modified xsi:type="dcterms:W3CDTF">2026-05-03T19:35:00Z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