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64A8DB5E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084EA8">
        <w:rPr>
          <w:rFonts w:ascii="Arial" w:hAnsi="Arial" w:cs="Arial"/>
          <w:sz w:val="24"/>
          <w:szCs w:val="24"/>
        </w:rPr>
        <w:t>0</w:t>
      </w:r>
      <w:r w:rsidR="00631553">
        <w:rPr>
          <w:rFonts w:ascii="Arial" w:hAnsi="Arial" w:cs="Arial"/>
          <w:sz w:val="24"/>
          <w:szCs w:val="24"/>
        </w:rPr>
        <w:t>9</w:t>
      </w:r>
      <w:r w:rsidR="00084EA8">
        <w:rPr>
          <w:rFonts w:ascii="Arial" w:hAnsi="Arial" w:cs="Arial"/>
          <w:sz w:val="24"/>
          <w:szCs w:val="24"/>
        </w:rPr>
        <w:t xml:space="preserve"> – </w:t>
      </w:r>
      <w:r w:rsidR="00631553">
        <w:rPr>
          <w:rFonts w:ascii="Arial" w:hAnsi="Arial" w:cs="Arial"/>
          <w:sz w:val="24"/>
          <w:szCs w:val="24"/>
        </w:rPr>
        <w:t>Questões Ético-Raciais na Educação</w:t>
      </w:r>
      <w:r w:rsidR="00084EA8">
        <w:rPr>
          <w:rFonts w:ascii="Arial" w:hAnsi="Arial" w:cs="Arial"/>
          <w:sz w:val="24"/>
          <w:szCs w:val="24"/>
        </w:rPr>
        <w:t>.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66C8D2F3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00084EA8">
        <w:rPr>
          <w:rFonts w:ascii="Arial" w:hAnsi="Arial" w:cs="Arial"/>
          <w:sz w:val="24"/>
          <w:szCs w:val="24"/>
        </w:rPr>
        <w:t xml:space="preserve"> 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73274B27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084EA8">
        <w:rPr>
          <w:rFonts w:ascii="Arial" w:hAnsi="Arial" w:cs="Arial"/>
          <w:sz w:val="24"/>
          <w:szCs w:val="24"/>
        </w:rPr>
        <w:t>P</w:t>
      </w:r>
      <w:r w:rsidRPr="001F6136">
        <w:rPr>
          <w:rFonts w:ascii="Arial" w:hAnsi="Arial" w:cs="Arial"/>
          <w:sz w:val="24"/>
          <w:szCs w:val="24"/>
        </w:rPr>
        <w:t>resencial</w:t>
      </w:r>
    </w:p>
    <w:p w14:paraId="5191CADF" w14:textId="5F803C52" w:rsidR="0491D5EE" w:rsidRDefault="0491D5EE" w:rsidP="00E73320">
      <w:pPr>
        <w:pStyle w:val="Texto"/>
      </w:pPr>
    </w:p>
    <w:p w14:paraId="5A1B1E66" w14:textId="372F9BE7" w:rsidR="78AE189E" w:rsidRPr="00DA1797" w:rsidRDefault="00084EA8" w:rsidP="00084EA8">
      <w:pPr>
        <w:pStyle w:val="Texto"/>
        <w:jc w:val="center"/>
      </w:pPr>
      <w:r w:rsidRPr="00084EA8">
        <w:rPr>
          <w:rFonts w:eastAsiaTheme="majorEastAsia" w:cstheme="majorBidi"/>
          <w:b/>
          <w:spacing w:val="-10"/>
          <w:kern w:val="28"/>
          <w:szCs w:val="56"/>
        </w:rPr>
        <w:t xml:space="preserve">ENTRE CORPO E CULTURA: </w:t>
      </w:r>
      <w:r>
        <w:rPr>
          <w:rFonts w:eastAsiaTheme="majorEastAsia" w:cstheme="majorBidi"/>
          <w:b/>
          <w:spacing w:val="-10"/>
          <w:kern w:val="28"/>
          <w:szCs w:val="56"/>
        </w:rPr>
        <w:t>O PAPEL DA</w:t>
      </w:r>
      <w:r w:rsidRPr="00084EA8">
        <w:rPr>
          <w:rFonts w:eastAsiaTheme="majorEastAsia" w:cstheme="majorBidi"/>
          <w:b/>
          <w:spacing w:val="-10"/>
          <w:kern w:val="28"/>
          <w:szCs w:val="56"/>
        </w:rPr>
        <w:t xml:space="preserve"> EDUCAÇÃO FÍSICA PARA UMA ESCOLA ANTIRRACISTA</w:t>
      </w:r>
      <w:r>
        <w:rPr>
          <w:rFonts w:eastAsiaTheme="majorEastAsia" w:cstheme="majorBidi"/>
          <w:b/>
          <w:spacing w:val="-10"/>
          <w:kern w:val="28"/>
          <w:szCs w:val="56"/>
        </w:rPr>
        <w:t>.</w:t>
      </w:r>
    </w:p>
    <w:p w14:paraId="7DC4BC66" w14:textId="53CBB446" w:rsidR="00A161E5" w:rsidRPr="00DA1797" w:rsidRDefault="00084EA8" w:rsidP="004C446D">
      <w:pPr>
        <w:pStyle w:val="Autoria"/>
        <w:rPr>
          <w:sz w:val="24"/>
        </w:rPr>
      </w:pPr>
      <w:r>
        <w:rPr>
          <w:sz w:val="24"/>
        </w:rPr>
        <w:t>Wagner Eduardo Estácio de Paula</w:t>
      </w:r>
      <w:r w:rsidR="00A161E5" w:rsidRPr="00DA1797">
        <w:rPr>
          <w:sz w:val="24"/>
          <w:vertAlign w:val="superscript"/>
        </w:rPr>
        <w:footnoteReference w:id="1"/>
      </w:r>
    </w:p>
    <w:p w14:paraId="26B4B1F4" w14:textId="02CEFBB2" w:rsidR="00A161E5" w:rsidRPr="00DA1797" w:rsidRDefault="00F85839" w:rsidP="004C446D">
      <w:pPr>
        <w:pStyle w:val="Autoria"/>
        <w:rPr>
          <w:sz w:val="24"/>
        </w:rPr>
      </w:pPr>
      <w:r>
        <w:rPr>
          <w:sz w:val="24"/>
        </w:rPr>
        <w:t xml:space="preserve">Matheus </w:t>
      </w:r>
      <w:r w:rsidR="00A3225B">
        <w:rPr>
          <w:sz w:val="24"/>
        </w:rPr>
        <w:t>Ricardo Comper</w:t>
      </w:r>
      <w:r w:rsidR="00A161E5" w:rsidRPr="00DA1797">
        <w:rPr>
          <w:rStyle w:val="Refdenotaderodap"/>
          <w:sz w:val="24"/>
        </w:rPr>
        <w:footnoteReference w:id="2"/>
      </w:r>
      <w:r w:rsidR="00A161E5" w:rsidRPr="00DA1797">
        <w:rPr>
          <w:sz w:val="24"/>
        </w:rPr>
        <w:t xml:space="preserve"> </w:t>
      </w:r>
    </w:p>
    <w:p w14:paraId="4F47D999" w14:textId="77777777" w:rsidR="00DF040B" w:rsidRPr="00DA1797" w:rsidRDefault="00DF040B" w:rsidP="00E73320">
      <w:pPr>
        <w:pStyle w:val="Texto"/>
      </w:pPr>
    </w:p>
    <w:p w14:paraId="7783C2E5" w14:textId="7C9B548D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084EA8">
        <w:t>Educação Infantil; Educação Física; Educação Antirracista; Perspectiva Decolonial; Formação Docente</w:t>
      </w:r>
      <w:r w:rsidR="00222A61">
        <w:t>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3C6A372A" w14:textId="77777777" w:rsidR="000839BB" w:rsidRDefault="000839BB" w:rsidP="00222A61">
      <w:pPr>
        <w:spacing w:line="360" w:lineRule="auto"/>
        <w:rPr>
          <w:rFonts w:ascii="Arial" w:hAnsi="Arial" w:cs="Arial"/>
          <w:sz w:val="24"/>
          <w:szCs w:val="24"/>
        </w:rPr>
      </w:pPr>
    </w:p>
    <w:p w14:paraId="09CF2CDE" w14:textId="01022AC5" w:rsidR="00222A61" w:rsidRPr="00316783" w:rsidRDefault="00222A61" w:rsidP="00222A61">
      <w:pPr>
        <w:spacing w:line="360" w:lineRule="auto"/>
        <w:rPr>
          <w:rFonts w:ascii="Arial" w:hAnsi="Arial" w:cs="Arial"/>
          <w:sz w:val="24"/>
          <w:szCs w:val="24"/>
        </w:rPr>
      </w:pPr>
      <w:r w:rsidRPr="00316783">
        <w:rPr>
          <w:rFonts w:ascii="Arial" w:hAnsi="Arial" w:cs="Arial"/>
          <w:sz w:val="24"/>
          <w:szCs w:val="24"/>
        </w:rPr>
        <w:t>A Educação Infantil constitui etapa decisiva para a produção de identidades, pertenças e formas de convivência, sendo o espaço-tempo em que as crianças elaboram sentidos sobre corpo, cor, cabelo, traços fenotípicos, sotaques e referências culturais</w:t>
      </w:r>
      <w:r w:rsidR="00AC530C">
        <w:rPr>
          <w:rFonts w:ascii="Arial" w:hAnsi="Arial" w:cs="Arial"/>
          <w:sz w:val="24"/>
          <w:szCs w:val="24"/>
        </w:rPr>
        <w:t xml:space="preserve"> </w:t>
      </w:r>
      <w:r w:rsidR="00AC530C" w:rsidRPr="00AC530C">
        <w:rPr>
          <w:rFonts w:ascii="Arial" w:hAnsi="Arial" w:cs="Arial"/>
          <w:sz w:val="24"/>
          <w:szCs w:val="24"/>
        </w:rPr>
        <w:t>(GOMES, 2012; GONZALEZ, 1988)</w:t>
      </w:r>
      <w:r w:rsidRPr="00316783">
        <w:rPr>
          <w:rFonts w:ascii="Arial" w:hAnsi="Arial" w:cs="Arial"/>
          <w:sz w:val="24"/>
          <w:szCs w:val="24"/>
        </w:rPr>
        <w:t>. Em sociedades marcadas pelo racismo estrutural e institucional, a escola é convocada a assumir uma postura consequente, articulando currículo, linguagem, materiais e relações sob uma ética antirracista</w:t>
      </w:r>
      <w:r w:rsidR="00AC530C" w:rsidRPr="00AC530C">
        <w:t xml:space="preserve"> </w:t>
      </w:r>
      <w:r w:rsidR="00AC530C" w:rsidRPr="00AC530C">
        <w:rPr>
          <w:rFonts w:ascii="Arial" w:hAnsi="Arial" w:cs="Arial"/>
          <w:sz w:val="24"/>
          <w:szCs w:val="24"/>
        </w:rPr>
        <w:t>(CANDAU, 2011)</w:t>
      </w:r>
      <w:r w:rsidRPr="00316783">
        <w:rPr>
          <w:rFonts w:ascii="Arial" w:hAnsi="Arial" w:cs="Arial"/>
          <w:sz w:val="24"/>
          <w:szCs w:val="24"/>
        </w:rPr>
        <w:t>. No marco legal recente, destaca-se a Lei nº 14.532/2023, que alterou a Lei do Crime Racial e o Código Penal para tipificar a injúria racial como crime de racismo, prevendo agravantes, inclusive quando praticada em contexto esportivo ou artístico, o que dialoga diretamente com práticas corporais na Educação Física</w:t>
      </w:r>
      <w:r w:rsidR="00B55B5D" w:rsidRPr="00B55B5D">
        <w:t xml:space="preserve"> </w:t>
      </w:r>
      <w:r w:rsidR="00B55B5D" w:rsidRPr="00B55B5D">
        <w:rPr>
          <w:rFonts w:ascii="Arial" w:hAnsi="Arial" w:cs="Arial"/>
          <w:sz w:val="24"/>
          <w:szCs w:val="24"/>
        </w:rPr>
        <w:t>(BRASIL, 2023)</w:t>
      </w:r>
      <w:r w:rsidRPr="00316783">
        <w:rPr>
          <w:rFonts w:ascii="Arial" w:hAnsi="Arial" w:cs="Arial"/>
          <w:sz w:val="24"/>
          <w:szCs w:val="24"/>
        </w:rPr>
        <w:t xml:space="preserve">. </w:t>
      </w:r>
    </w:p>
    <w:p w14:paraId="6BF8E4FC" w14:textId="3B395C9C" w:rsidR="00222A61" w:rsidRPr="00316783" w:rsidRDefault="00222A61" w:rsidP="00222A61">
      <w:pPr>
        <w:spacing w:line="360" w:lineRule="auto"/>
        <w:rPr>
          <w:rFonts w:ascii="Arial" w:hAnsi="Arial" w:cs="Arial"/>
          <w:sz w:val="24"/>
          <w:szCs w:val="24"/>
        </w:rPr>
      </w:pPr>
      <w:r w:rsidRPr="00316783">
        <w:rPr>
          <w:rFonts w:ascii="Arial" w:hAnsi="Arial" w:cs="Arial"/>
          <w:sz w:val="24"/>
          <w:szCs w:val="24"/>
        </w:rPr>
        <w:t xml:space="preserve">As normativas brasileiras — com destaque para a Lei nº 10.639/2003 e para a Lei nº 12.519/2011, que institui o Dia Nacional de Zumbi e da Consciência Negra (20 </w:t>
      </w:r>
      <w:r w:rsidRPr="00316783">
        <w:rPr>
          <w:rFonts w:ascii="Arial" w:hAnsi="Arial" w:cs="Arial"/>
          <w:sz w:val="24"/>
          <w:szCs w:val="24"/>
        </w:rPr>
        <w:lastRenderedPageBreak/>
        <w:t>de novembro) — não demandam apenas a inclusão de conteúdos de história e culturas afro-brasileiras e africanas, mas uma reorganização formativa que recuse o exotismo e o multiculturalismo superficial, fortalecendo políticas e práticas escolares de enfrentamento ao racismo desde a primeira infância</w:t>
      </w:r>
      <w:r w:rsidR="00B55B5D" w:rsidRPr="00B55B5D">
        <w:t xml:space="preserve"> </w:t>
      </w:r>
      <w:r w:rsidR="00B55B5D" w:rsidRPr="00B55B5D">
        <w:rPr>
          <w:rFonts w:ascii="Arial" w:hAnsi="Arial" w:cs="Arial"/>
          <w:sz w:val="24"/>
          <w:szCs w:val="24"/>
        </w:rPr>
        <w:t>(BRASIL, 2004; BRASIL, 2011)</w:t>
      </w:r>
      <w:r w:rsidRPr="00316783">
        <w:rPr>
          <w:rFonts w:ascii="Arial" w:hAnsi="Arial" w:cs="Arial"/>
          <w:sz w:val="24"/>
          <w:szCs w:val="24"/>
        </w:rPr>
        <w:t xml:space="preserve">. </w:t>
      </w:r>
    </w:p>
    <w:p w14:paraId="46759B6C" w14:textId="05ACAAFF" w:rsidR="00222A61" w:rsidRPr="00316783" w:rsidRDefault="00222A61" w:rsidP="00222A61">
      <w:pPr>
        <w:spacing w:line="360" w:lineRule="auto"/>
        <w:rPr>
          <w:rFonts w:ascii="Arial" w:hAnsi="Arial" w:cs="Arial"/>
          <w:sz w:val="24"/>
          <w:szCs w:val="24"/>
        </w:rPr>
      </w:pPr>
      <w:r w:rsidRPr="00316783">
        <w:rPr>
          <w:rFonts w:ascii="Arial" w:hAnsi="Arial" w:cs="Arial"/>
          <w:sz w:val="24"/>
          <w:szCs w:val="24"/>
        </w:rPr>
        <w:t>Nesse cenário, a Educação Física oferece terreno Original para integrar corpo, cultura e movimento, criando experiências em que ancestralidades negras e afro-diaspóricas são valorizadas como matrizes civilizatórias e não como temas episódicos</w:t>
      </w:r>
      <w:r w:rsidR="00390D12" w:rsidRPr="00390D12">
        <w:t xml:space="preserve"> </w:t>
      </w:r>
      <w:r w:rsidR="00390D12" w:rsidRPr="00390D12">
        <w:rPr>
          <w:rFonts w:ascii="Arial" w:hAnsi="Arial" w:cs="Arial"/>
          <w:sz w:val="24"/>
          <w:szCs w:val="24"/>
        </w:rPr>
        <w:t>(DARIDO; SOUZA, 2020; UNESCO, 2021)</w:t>
      </w:r>
      <w:r w:rsidRPr="00316783">
        <w:rPr>
          <w:rFonts w:ascii="Arial" w:hAnsi="Arial" w:cs="Arial"/>
          <w:sz w:val="24"/>
          <w:szCs w:val="24"/>
        </w:rPr>
        <w:t>. Ao mobilizar jogos, danças, lutas, cantigas, brincadeiras e narrativas corporais, a área tensiona estereótipos, produz reconhecimento e afirma o direito de todas as crianças a vivências estéticas, políticas e lúdicas vinculadas à pluralidade de seus mundos. Este trabalho tem como objetivos descrever e analisar um percurso formativo com professoras(es) da Educação Infantil voltado à implementação de práticas antirracistas na Educação Física, examinar as transformações observadas nas práticas pedagógicas, nos materiais e na mediação de conflitos interraciais, e discutir implicações ético-políticas e de gestão do trabalho docente para a sustentação dessas práticas.</w:t>
      </w:r>
    </w:p>
    <w:p w14:paraId="01007FFE" w14:textId="77777777" w:rsidR="00222A61" w:rsidRPr="009A33DE" w:rsidRDefault="00222A61" w:rsidP="00222A61">
      <w:pPr>
        <w:pStyle w:val="Texto"/>
        <w:ind w:firstLine="0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0B3AE388" w14:textId="7F9D50DF" w:rsidR="00222A61" w:rsidRPr="00222A61" w:rsidRDefault="00222A61" w:rsidP="00222A61">
      <w:pPr>
        <w:spacing w:line="360" w:lineRule="auto"/>
        <w:rPr>
          <w:rFonts w:ascii="Arial" w:hAnsi="Arial" w:cs="Arial"/>
          <w:sz w:val="24"/>
          <w:szCs w:val="24"/>
        </w:rPr>
      </w:pPr>
      <w:r w:rsidRPr="00222A61">
        <w:rPr>
          <w:rFonts w:ascii="Arial" w:hAnsi="Arial" w:cs="Arial"/>
          <w:sz w:val="24"/>
          <w:szCs w:val="24"/>
        </w:rPr>
        <w:t>O estudo ancora-se em abordagem decolonial que problematiza hierarquias epistêmicas e a colonialidade do poder e do saber, evidenciando a necessidade de reinscrever epistemologias afro-diaspóricas e latino-americanas nos currículos</w:t>
      </w:r>
      <w:r w:rsidR="00616563" w:rsidRPr="00616563">
        <w:t xml:space="preserve"> </w:t>
      </w:r>
      <w:r w:rsidR="00616563" w:rsidRPr="00616563">
        <w:rPr>
          <w:rFonts w:ascii="Arial" w:hAnsi="Arial" w:cs="Arial"/>
          <w:sz w:val="24"/>
          <w:szCs w:val="24"/>
        </w:rPr>
        <w:t>(QUIJANO, 2000; MIGNOLO, 2017)</w:t>
      </w:r>
      <w:r w:rsidRPr="00222A61">
        <w:rPr>
          <w:rFonts w:ascii="Arial" w:hAnsi="Arial" w:cs="Arial"/>
          <w:sz w:val="24"/>
          <w:szCs w:val="24"/>
        </w:rPr>
        <w:t>. Ao deslocar o eurocentrismo como metanarrativa única, amplia-se o horizonte do que conta como conhecimento legítimo, linguagem válida e corpo autorizado na escola.</w:t>
      </w:r>
    </w:p>
    <w:p w14:paraId="6D378AFB" w14:textId="636635EB" w:rsidR="00222A61" w:rsidRPr="00222A61" w:rsidRDefault="00222A61" w:rsidP="00222A61">
      <w:pPr>
        <w:spacing w:line="360" w:lineRule="auto"/>
        <w:rPr>
          <w:rFonts w:ascii="Arial" w:hAnsi="Arial" w:cs="Arial"/>
          <w:sz w:val="24"/>
          <w:szCs w:val="24"/>
        </w:rPr>
      </w:pPr>
      <w:r w:rsidRPr="00222A61">
        <w:rPr>
          <w:rFonts w:ascii="Arial" w:hAnsi="Arial" w:cs="Arial"/>
          <w:sz w:val="24"/>
          <w:szCs w:val="24"/>
        </w:rPr>
        <w:t>A educação antirracista é compreendida como práxis contínua que envolve currículo, linguagem, avaliação, espaços, tempos, relações e políticas institucionais. Tal perspectiva requer identificação ativa de desigualdades, curadoria criteriosa de imagens e objetos, revisão de expectativas sobre desempenho e comportamento, e mediação educativa de conflitos, superando a lógica das datas e dos eventos isolados</w:t>
      </w:r>
      <w:r w:rsidR="009F24DE" w:rsidRPr="009F24DE">
        <w:t xml:space="preserve"> </w:t>
      </w:r>
      <w:r w:rsidR="009F24DE" w:rsidRPr="009F24DE">
        <w:rPr>
          <w:rFonts w:ascii="Arial" w:hAnsi="Arial" w:cs="Arial"/>
          <w:sz w:val="24"/>
          <w:szCs w:val="24"/>
        </w:rPr>
        <w:t>(GOMES, 2012; CANDAU, 2011)</w:t>
      </w:r>
      <w:r w:rsidRPr="00222A61">
        <w:rPr>
          <w:rFonts w:ascii="Arial" w:hAnsi="Arial" w:cs="Arial"/>
          <w:sz w:val="24"/>
          <w:szCs w:val="24"/>
        </w:rPr>
        <w:t>.</w:t>
      </w:r>
    </w:p>
    <w:p w14:paraId="23AAA319" w14:textId="2DAA1966" w:rsidR="00222A61" w:rsidRDefault="00222A61" w:rsidP="00222A61">
      <w:pPr>
        <w:pStyle w:val="Texto"/>
      </w:pPr>
      <w:r>
        <w:t xml:space="preserve">No âmbito da Educação Física, mobilizam-se pedagogias críticas que reconhecem as práticas corporais como manifestações culturais com densidade </w:t>
      </w:r>
      <w:r>
        <w:lastRenderedPageBreak/>
        <w:t xml:space="preserve">histórica, estética e política. Danças afro, capoeira, maculelê, brincadeiras e jogos populares tornam-se experiências de reconhecimento, invenção e produção simbólica, e não apenas conteúdo a cumprir. </w:t>
      </w:r>
      <w:r w:rsidR="00EB0F02" w:rsidRPr="00EB0F02">
        <w:t>Tais abordagens dialogam com princípios de justiça curricular, como defendido por Gomes (2017), e com orientações da Base Nacional Comum Curricular que valorizam a diversidade e o respeito às diferenças (BRASIL, 2017). Operam, neste estudo, quatro conceitos articuladores: o corpo como território político-pedagógico, a ancestralidade como fonte de sentido e inovação, a justiça curricular como distribuição equânime de reconhecimento, tempo e recursos, e a avaliação formativa como dispositivo que privilegia processos e deslocamentos (GONZALEZ, 1988).</w:t>
      </w:r>
    </w:p>
    <w:p w14:paraId="1128D562" w14:textId="77777777" w:rsidR="00EB0F02" w:rsidRDefault="00EB0F02" w:rsidP="00222A61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126A4FA5" w14:textId="26A47DD6" w:rsidR="00222A61" w:rsidRDefault="00222A61" w:rsidP="00222A61">
      <w:pPr>
        <w:pStyle w:val="Texto"/>
      </w:pPr>
      <w:r>
        <w:t>Trata-se de relato de experiência ancorado em pesquisa-ação</w:t>
      </w:r>
      <w:r w:rsidR="00EA25A5">
        <w:t xml:space="preserve"> </w:t>
      </w:r>
      <w:r w:rsidR="00EA25A5" w:rsidRPr="00EA25A5">
        <w:t>(THIOLLENT, 2011)</w:t>
      </w:r>
      <w:r>
        <w:t xml:space="preserve"> com abordagem qualitativa, organizada em ciclos iterativos de diagnóstico, intervenção, registro, análise e retroalimentação. As formações ocorreram entre 2023 e 2025 em redes municipais do litoral catarinense, envolvendo principalmente professoras(es) de Educação Física da Educação Infantil, com participação eventual de coordenações pedagógicas e docentes regentes. Os encontros tiveram carga horária média de quatro horas, adaptando-se às demandas locais.</w:t>
      </w:r>
    </w:p>
    <w:p w14:paraId="137E2956" w14:textId="77777777" w:rsidR="00222A61" w:rsidRDefault="00222A61" w:rsidP="00222A61">
      <w:pPr>
        <w:pStyle w:val="Texto"/>
      </w:pPr>
      <w:r>
        <w:t>O percurso desenvolveu quatro momentos integrados. O primeiro consistiu em sensibilização teórico-legal, com estudo dirigido sobre racismo estrutural e institucional, análise de legislações e discussão de crenças sobre corpo, comportamento e disciplina. O segundo momento promoveu vivências corporais e curadoria crítica, como experimentação de danças afro, capoeira e maculelê, e leitura crítica de imagens, brinquedos e livros, com atenção a vocabulários e apelidos usados com as crianças. O terceiro momento destinou-se ao planejamento coletivo de sequências didáticas para a Educação Infantil, com definição de objetivos, conteúdos, estratégias, materiais, organização de espaço-tempo e avaliação formativa, além de proposições para mediação de conflitos. Por fim, implementações assistidas e devolutivas possibilitaram testar e refinar as propostas nas turmas.</w:t>
      </w:r>
    </w:p>
    <w:p w14:paraId="6A048B27" w14:textId="77777777" w:rsidR="00222A61" w:rsidRDefault="00222A61" w:rsidP="00222A61">
      <w:pPr>
        <w:pStyle w:val="Texto"/>
      </w:pPr>
      <w:r>
        <w:t>Os procedimentos de registro contemplaram diários do formador, relatórios reflexivos das(os) docentes, fotografias de materiais sem identificação de crianças, planos de aula compartilhados e anotações de reuniões. A análise temática-</w:t>
      </w:r>
      <w:r>
        <w:lastRenderedPageBreak/>
        <w:t>interpretativa combinou categorias a priori e emergentes — formação docente, repertórios culturais e práticas corporais, materiais e imagens, mediação de conflitos, planejamento e avaliação, e condições institucionais —, buscando triangulação de fontes e coerência entre dados e inferências. No plano ético, asseguraram-se anonimização de escolas e profissionais, respeito às normas das redes e atenção especial à proteção de imagem de crianças.</w:t>
      </w:r>
    </w:p>
    <w:p w14:paraId="5905B946" w14:textId="5520B327" w:rsidR="6EB1BE39" w:rsidRDefault="6EB1BE39" w:rsidP="6EB1BE39">
      <w:pPr>
        <w:pStyle w:val="Texto"/>
      </w:pPr>
    </w:p>
    <w:p w14:paraId="4B72C82E" w14:textId="16B46A63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06BD727C" w14:textId="77777777" w:rsidR="00222A61" w:rsidRDefault="00222A61" w:rsidP="00222A61">
      <w:pPr>
        <w:pStyle w:val="Texto"/>
      </w:pPr>
      <w:r>
        <w:t>Os resultados evidenciam a ampliação de repertórios culturais e a passagem de um tratamento episódico para uma incorporação sistemática de conteúdos afro-brasileiros na Educação Física da Educação Infantil. Sequências com danças afro, capoeira e maculelê, assim como jogos de origem africana e brincadeiras populares, foram integradas ao planejamento anual. Docentes relataram maior segurança para nomear referências e ancestrais, associando práticas corporais a narrativas, territórios e festejos da cultura negra, o que favoreceu avaliações formativas baseadas em portfólios e registros de processos. Esse deslocamento reposicionou a área de uma ênfase exclusiva em habilidades motoras para experiências que integram música, história, língua, identidade e estética.</w:t>
      </w:r>
    </w:p>
    <w:p w14:paraId="2CDDA4BD" w14:textId="77777777" w:rsidR="00222A61" w:rsidRDefault="00222A61" w:rsidP="00222A61">
      <w:pPr>
        <w:pStyle w:val="Texto"/>
      </w:pPr>
      <w:r>
        <w:t>A compreensão do corpo como território político-pedagógico fortaleceu ações de cuidado e reconhecimento, com atividades que abordaram cabelo, pele e autoestima de modo sensível e afirmativo. Houve redução de zombarias e apelidos relacionados a traços fenotípicos, substituídos por conversas orientadas, combinados de convivência e jogos cooperativos. Em turmas com maior diversidade racial observou-se alto engajamento nas danças e cantos, com relatos de crescimento de autoestima, sentimento de pertença e participação de crianças negras em situações de liderança como rodas e apresentações.</w:t>
      </w:r>
    </w:p>
    <w:p w14:paraId="4E05A826" w14:textId="77777777" w:rsidR="00222A61" w:rsidRDefault="00222A61" w:rsidP="00222A61">
      <w:pPr>
        <w:pStyle w:val="Texto"/>
      </w:pPr>
      <w:r>
        <w:t xml:space="preserve">A curadoria crítica de materiais detectou lacunas de representação e estereótipos em livros, cartazes e brinquedos. Em resposta, equipes passaram a produzir recursos originais, como cartazes com crianças negras em movimento, cartões com palavras de poder e painéis de referências de mulheres e homens negros em diferentes áreas, além de reorganizar cantinhos de leitura e movimento com instrumentos musicais, tecidos e adereços afro-brasileiros. Tal reorganização da </w:t>
      </w:r>
      <w:r>
        <w:lastRenderedPageBreak/>
        <w:t>ambiência física instituiu leituras de mundo mais equânimes e coerentes com a educação antirracista.</w:t>
      </w:r>
    </w:p>
    <w:p w14:paraId="4A108A34" w14:textId="77777777" w:rsidR="00222A61" w:rsidRDefault="00222A61" w:rsidP="00222A61">
      <w:pPr>
        <w:pStyle w:val="Texto"/>
      </w:pPr>
      <w:r>
        <w:t>No campo da linguagem e da mediação de conflitos, verificou-se mudança de vocabulário profissional, com a substituição de adjetivos que reforçavam estereótipos por descritores de esforço, criatividade e cooperação. A intervenção em casos de discriminação tornou-se mais célere e fundamentada, priorizando perguntas que convidavam à empatia e atividades reparadoras. Esse conjunto favoreceu a transformação de incidentes em oportunidades pedagógicas, com efeitos perceptíveis na convivência e na avaliação formativa.</w:t>
      </w:r>
    </w:p>
    <w:p w14:paraId="7792C2E8" w14:textId="77777777" w:rsidR="00222A61" w:rsidRDefault="00222A61" w:rsidP="00222A61">
      <w:pPr>
        <w:pStyle w:val="Texto"/>
      </w:pPr>
      <w:r>
        <w:t>Finalmente, emergiu uma rede colaborativa entre docentes, com encontros regulares de troca, compartilhamento de sequências, playlists e listas de livros e instrumentos. O apoio da gestão, a previsão de tempo de estudo na carga horária, a aquisição de materiais e os registros sistemáticos apareceram como condições decisivas para a sustentabilidade das mudanças. Em síntese, a articulação entre práticas corporais e ancestralidade operou como tecnologia pedagógica de reconhecimento e justiça curricular, beneficiando toda a comunidade escolar ao expandir repertórios e qualificar mediações.</w:t>
      </w:r>
    </w:p>
    <w:p w14:paraId="4669AC60" w14:textId="2C7EE996" w:rsidR="0C591BAA" w:rsidRDefault="0C591BAA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1BC29ABA" w14:textId="77777777" w:rsidR="00222A61" w:rsidRDefault="00222A61" w:rsidP="00222A61">
      <w:pPr>
        <w:pStyle w:val="Texto"/>
      </w:pPr>
      <w:r>
        <w:t>As conclusões convergem para a compreensão de que a Educação Física na Educação Infantil constitui eixo curricular estratégico para efetivar a educação antirracista desde os primeiros anos. Ao articular corpo, cultura e movimento em experiências estéticas e políticas, a área alcança crianças em sua totalidade sensível e simbólica, oferecendo condições para que se reconheçam nos conteúdos e nas relações que os sustentam. A integração de práticas afro-diaspóricas e processos avaliativos formativos, quando perpassa o planejamento anual e os ambientes escolares, desloca o currículo de um padrão monocultural para uma ecologia de saberes.</w:t>
      </w:r>
    </w:p>
    <w:p w14:paraId="13B68A25" w14:textId="77777777" w:rsidR="00222A61" w:rsidRDefault="00222A61" w:rsidP="00222A61">
      <w:pPr>
        <w:pStyle w:val="Texto"/>
      </w:pPr>
      <w:r>
        <w:t xml:space="preserve">Os dados indicam que intervenções sistemáticas em formação docente, curadoria de materiais e mediação de conflitos geram transformações observáveis: ampliação de repertórios, redução de estereótipos e fortalecimento de autoestima e pertença de crianças negras, com efeitos positivos também para crianças não negras. Essas transformações não se restringem ao plano simbólico, mas reorganizam </w:t>
      </w:r>
      <w:r>
        <w:lastRenderedPageBreak/>
        <w:t>tempos, espaços e formas de avaliar, o que aumenta a coerência entre legislações e práticas efetivas.</w:t>
      </w:r>
    </w:p>
    <w:p w14:paraId="5CDE663C" w14:textId="77777777" w:rsidR="00222A61" w:rsidRDefault="00222A61" w:rsidP="00222A61">
      <w:pPr>
        <w:pStyle w:val="Texto"/>
      </w:pPr>
      <w:r>
        <w:t>A sustentabilidade das mudanças depende de condições institucionais que não podem ser deixadas à iniciativa individual. Apoio da gestão, tempo de estudo na jornada de trabalho, aquisição de materiais culturais, registro sistemático de processos e avaliação formativa são elementos que consolidam a continuidade. Recomenda-se, portanto, institucionalizar formações continuadas com foco étnico-racial, transversalizar a Lei 10.639/2003 na Educação Infantil por meio de sequências didáticas e protocolos de mediação, aprimorar a curadoria de materiais e ambientes e fomentar redes colaborativas entre docentes. Tais medidas favorecem a permanência de uma escola que reconhece e celebra a pluralidade, transformando rotinas e expectativas de maneira consistente.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0D979DCA" w14:textId="77777777" w:rsidR="00EA25A5" w:rsidRPr="00EA25A5" w:rsidRDefault="00EA25A5" w:rsidP="00C22DC7">
      <w:pPr>
        <w:pStyle w:val="Texto"/>
        <w:ind w:firstLine="0"/>
      </w:pPr>
      <w:r w:rsidRPr="00EA25A5">
        <w:t xml:space="preserve">BRASIL. </w:t>
      </w:r>
      <w:r w:rsidRPr="00EA25A5">
        <w:rPr>
          <w:b/>
          <w:bCs/>
        </w:rPr>
        <w:t>Base Nacional Comum Curricular.</w:t>
      </w:r>
      <w:r w:rsidRPr="00EA25A5">
        <w:t xml:space="preserve"> Brasília, DF: MEC, 2017.</w:t>
      </w:r>
    </w:p>
    <w:p w14:paraId="0C8D0AC7" w14:textId="77777777" w:rsidR="00EA25A5" w:rsidRPr="00EA25A5" w:rsidRDefault="00EA25A5" w:rsidP="00C22DC7">
      <w:pPr>
        <w:pStyle w:val="Texto"/>
        <w:ind w:firstLine="0"/>
      </w:pPr>
      <w:r w:rsidRPr="00EA25A5">
        <w:t xml:space="preserve">BRASIL. </w:t>
      </w:r>
      <w:r w:rsidRPr="00EA25A5">
        <w:rPr>
          <w:b/>
          <w:bCs/>
        </w:rPr>
        <w:t>Lei nº 12.519, de 10 de novembro de 2011.</w:t>
      </w:r>
      <w:r w:rsidRPr="00EA25A5">
        <w:t xml:space="preserve"> Institui o Dia Nacional de Zumbi e da Consciência Negra. Brasília, DF: Presidência da República, 2011.</w:t>
      </w:r>
    </w:p>
    <w:p w14:paraId="19E33735" w14:textId="77777777" w:rsidR="00EA25A5" w:rsidRPr="00EA25A5" w:rsidRDefault="00EA25A5" w:rsidP="00C22DC7">
      <w:pPr>
        <w:pStyle w:val="Texto"/>
        <w:ind w:firstLine="0"/>
      </w:pPr>
      <w:r w:rsidRPr="00EA25A5">
        <w:t xml:space="preserve">BRASIL. </w:t>
      </w:r>
      <w:r w:rsidRPr="00EA25A5">
        <w:rPr>
          <w:b/>
          <w:bCs/>
        </w:rPr>
        <w:t>Lei nº 14.532, de 11 de janeiro de 2023.</w:t>
      </w:r>
      <w:r w:rsidRPr="00EA25A5">
        <w:t xml:space="preserve"> Altera a Lei nº 7.716/1989 (Lei do Crime Racial) e o Decreto-Lei nº 2.848/1940 (Código Penal) para tipificar a injúria racial como crime de racismo e prever agravantes. Brasília, DF: Presidência da República, 2023.</w:t>
      </w:r>
    </w:p>
    <w:p w14:paraId="3CC9A799" w14:textId="77777777" w:rsidR="00EA25A5" w:rsidRPr="00EA25A5" w:rsidRDefault="00EA25A5" w:rsidP="00C22DC7">
      <w:pPr>
        <w:pStyle w:val="Texto"/>
        <w:ind w:firstLine="0"/>
      </w:pPr>
      <w:r w:rsidRPr="00EA25A5">
        <w:t xml:space="preserve">BRASIL. Ministério da Educação. </w:t>
      </w:r>
      <w:r w:rsidRPr="00EA25A5">
        <w:rPr>
          <w:b/>
          <w:bCs/>
        </w:rPr>
        <w:t>Diretrizes Curriculares Nacionais para a Educação das Relações Étnico-Raciais e para o Ensino de História e Cultura Afro-Brasileira e Africana.</w:t>
      </w:r>
      <w:r w:rsidRPr="00EA25A5">
        <w:t xml:space="preserve"> Brasília, DF: MEC, 2004.</w:t>
      </w:r>
    </w:p>
    <w:p w14:paraId="1F2F6D07" w14:textId="77777777" w:rsidR="00EA25A5" w:rsidRPr="00EA25A5" w:rsidRDefault="00EA25A5" w:rsidP="00C22DC7">
      <w:pPr>
        <w:pStyle w:val="Texto"/>
        <w:ind w:firstLine="0"/>
      </w:pPr>
      <w:r w:rsidRPr="00EA25A5">
        <w:t xml:space="preserve">CANDAU, Vera Maria. </w:t>
      </w:r>
      <w:r w:rsidRPr="00EA25A5">
        <w:rPr>
          <w:b/>
          <w:bCs/>
        </w:rPr>
        <w:t>Educação intercultural e direitos humanos.</w:t>
      </w:r>
      <w:r w:rsidRPr="00EA25A5">
        <w:t xml:space="preserve"> </w:t>
      </w:r>
      <w:r w:rsidRPr="00EA25A5">
        <w:rPr>
          <w:i/>
          <w:iCs/>
        </w:rPr>
        <w:t>Cadernos de Pesquisa</w:t>
      </w:r>
      <w:r w:rsidRPr="00EA25A5">
        <w:t>, São Paulo, v. 41, n. 144, p. 22–43, 2011. DOI: https://doi.org/10.1590/S0100-15742011000100003. Acesso em: 13 out. 2025.</w:t>
      </w:r>
    </w:p>
    <w:p w14:paraId="79767437" w14:textId="77777777" w:rsidR="00EA25A5" w:rsidRPr="00EA25A5" w:rsidRDefault="00EA25A5" w:rsidP="00C22DC7">
      <w:pPr>
        <w:pStyle w:val="Texto"/>
        <w:ind w:firstLine="0"/>
      </w:pPr>
      <w:r w:rsidRPr="00EA25A5">
        <w:t xml:space="preserve">DARIDO, Suraya Cristina; SOUZA, Alberto Carlos de. </w:t>
      </w:r>
      <w:r w:rsidRPr="00EA25A5">
        <w:rPr>
          <w:b/>
          <w:bCs/>
        </w:rPr>
        <w:t>Educação Física escolar: fundamentos de uma prática pedagógica crítica.</w:t>
      </w:r>
      <w:r w:rsidRPr="00EA25A5">
        <w:t xml:space="preserve"> São Paulo: Cortez, 2020.</w:t>
      </w:r>
    </w:p>
    <w:p w14:paraId="5055578B" w14:textId="77777777" w:rsidR="00EA25A5" w:rsidRPr="00EA25A5" w:rsidRDefault="00EA25A5" w:rsidP="00C22DC7">
      <w:pPr>
        <w:pStyle w:val="Texto"/>
        <w:ind w:firstLine="0"/>
      </w:pPr>
      <w:r w:rsidRPr="00EA25A5">
        <w:t xml:space="preserve">GOMES, Nilma Lino. </w:t>
      </w:r>
      <w:r w:rsidRPr="00EA25A5">
        <w:rPr>
          <w:b/>
          <w:bCs/>
        </w:rPr>
        <w:t>Educação, identidade negra e formação de professores.</w:t>
      </w:r>
      <w:r w:rsidRPr="00EA25A5">
        <w:t xml:space="preserve"> Petrópolis, RJ: Vozes, 2012.</w:t>
      </w:r>
    </w:p>
    <w:p w14:paraId="750C492F" w14:textId="77777777" w:rsidR="00EA25A5" w:rsidRPr="00EA25A5" w:rsidRDefault="00EA25A5" w:rsidP="00C22DC7">
      <w:pPr>
        <w:pStyle w:val="Texto"/>
        <w:ind w:firstLine="0"/>
      </w:pPr>
      <w:r w:rsidRPr="00EA25A5">
        <w:t xml:space="preserve">GOMES, Nilma Lino. </w:t>
      </w:r>
      <w:r w:rsidRPr="00EA25A5">
        <w:rPr>
          <w:b/>
          <w:bCs/>
        </w:rPr>
        <w:t>O movimento negro educador: saberes construídos nas lutas por emancipação.</w:t>
      </w:r>
      <w:r w:rsidRPr="00EA25A5">
        <w:t xml:space="preserve"> Belo Horizonte: Autêntica, 2017.</w:t>
      </w:r>
    </w:p>
    <w:p w14:paraId="73607A2B" w14:textId="77777777" w:rsidR="00EA25A5" w:rsidRPr="00EA25A5" w:rsidRDefault="00EA25A5" w:rsidP="00C22DC7">
      <w:pPr>
        <w:pStyle w:val="Texto"/>
        <w:ind w:firstLine="0"/>
      </w:pPr>
      <w:r w:rsidRPr="00EA25A5">
        <w:lastRenderedPageBreak/>
        <w:t xml:space="preserve">GONZALEZ, Lélia. </w:t>
      </w:r>
      <w:r w:rsidRPr="00EA25A5">
        <w:rPr>
          <w:b/>
          <w:bCs/>
        </w:rPr>
        <w:t>Racismo e sexismo na cultura brasileira.</w:t>
      </w:r>
      <w:r w:rsidRPr="00EA25A5">
        <w:t xml:space="preserve"> São Paulo: ANPOCS, 1988.</w:t>
      </w:r>
    </w:p>
    <w:p w14:paraId="573BCB9D" w14:textId="77777777" w:rsidR="00EA25A5" w:rsidRPr="00EA25A5" w:rsidRDefault="00EA25A5" w:rsidP="00C22DC7">
      <w:pPr>
        <w:pStyle w:val="Texto"/>
        <w:ind w:firstLine="0"/>
      </w:pPr>
      <w:r w:rsidRPr="00EA25A5">
        <w:t xml:space="preserve">MIGNOLO, Walter D. </w:t>
      </w:r>
      <w:r w:rsidRPr="00EA25A5">
        <w:rPr>
          <w:b/>
          <w:bCs/>
        </w:rPr>
        <w:t>Colonialidade.</w:t>
      </w:r>
      <w:r w:rsidRPr="00EA25A5">
        <w:t xml:space="preserve"> Belo Horizonte: Autêntica, 2017.</w:t>
      </w:r>
    </w:p>
    <w:p w14:paraId="2BFF39F3" w14:textId="77777777" w:rsidR="00EA25A5" w:rsidRPr="00EA25A5" w:rsidRDefault="00EA25A5" w:rsidP="00C22DC7">
      <w:pPr>
        <w:pStyle w:val="Texto"/>
        <w:ind w:firstLine="0"/>
      </w:pPr>
      <w:r w:rsidRPr="00EA25A5">
        <w:t xml:space="preserve">QUIJANO, Aníbal. </w:t>
      </w:r>
      <w:r w:rsidRPr="00EA25A5">
        <w:rPr>
          <w:b/>
          <w:bCs/>
        </w:rPr>
        <w:t>Colonialidad del poder, eurocentrismo y América Latina.</w:t>
      </w:r>
      <w:r w:rsidRPr="00EA25A5">
        <w:t xml:space="preserve"> In: LANDER, Edgardo (org.). </w:t>
      </w:r>
      <w:r w:rsidRPr="00EA25A5">
        <w:rPr>
          <w:b/>
          <w:bCs/>
        </w:rPr>
        <w:t>La colonialidad del saber: eurocentrismo y ciencias sociales.</w:t>
      </w:r>
      <w:r w:rsidRPr="00EA25A5">
        <w:t xml:space="preserve"> Buenos Aires: CLACSO, 2000. p. 201–246.</w:t>
      </w:r>
    </w:p>
    <w:p w14:paraId="795EF90A" w14:textId="77777777" w:rsidR="00EA25A5" w:rsidRPr="00EA25A5" w:rsidRDefault="00EA25A5" w:rsidP="00C22DC7">
      <w:pPr>
        <w:pStyle w:val="Texto"/>
        <w:ind w:firstLine="0"/>
      </w:pPr>
      <w:r w:rsidRPr="00EA25A5">
        <w:t xml:space="preserve">THIOLLENT, Michel. </w:t>
      </w:r>
      <w:r w:rsidRPr="00EA25A5">
        <w:rPr>
          <w:b/>
          <w:bCs/>
        </w:rPr>
        <w:t>Metodologia da pesquisa-ação.</w:t>
      </w:r>
      <w:r w:rsidRPr="00EA25A5">
        <w:t xml:space="preserve"> 18. ed. São Paulo: Cortez, 2011.</w:t>
      </w:r>
    </w:p>
    <w:p w14:paraId="4B84E5B3" w14:textId="77777777" w:rsidR="00EA25A5" w:rsidRPr="00EA25A5" w:rsidRDefault="00EA25A5" w:rsidP="00C22DC7">
      <w:pPr>
        <w:pStyle w:val="Texto"/>
        <w:ind w:firstLine="0"/>
      </w:pPr>
      <w:r w:rsidRPr="00EA25A5">
        <w:t xml:space="preserve">UNESCO. </w:t>
      </w:r>
      <w:r w:rsidRPr="00EA25A5">
        <w:rPr>
          <w:b/>
          <w:bCs/>
        </w:rPr>
        <w:t>Quality Physical Education: Guidelines for Policy-Makers.</w:t>
      </w:r>
      <w:r w:rsidRPr="00EA25A5">
        <w:t xml:space="preserve"> Paris: UNESCO, 2021. Disponível em: https://unesdoc.unesco.org/ark:/48223/pf0000370946. Acesso em: 19 out. 2025.</w:t>
      </w:r>
    </w:p>
    <w:p w14:paraId="1CEA4D6E" w14:textId="77777777" w:rsidR="00597F8A" w:rsidRPr="004C446D" w:rsidRDefault="00597F8A" w:rsidP="00AA0EC1">
      <w:pPr>
        <w:pStyle w:val="Texto"/>
        <w:ind w:firstLine="0"/>
      </w:pPr>
    </w:p>
    <w:p w14:paraId="4D45BADC" w14:textId="0B8EB606" w:rsidR="00DF040B" w:rsidRPr="00CD581C" w:rsidRDefault="00DF040B" w:rsidP="00DF040B">
      <w:pPr>
        <w:pStyle w:val="TtulosNoNumerados"/>
      </w:pPr>
    </w:p>
    <w:sectPr w:rsidR="00DF040B" w:rsidRPr="00CD581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8C784" w14:textId="77777777" w:rsidR="00803E9A" w:rsidRDefault="00803E9A" w:rsidP="00026BCD">
      <w:pPr>
        <w:spacing w:line="240" w:lineRule="auto"/>
      </w:pPr>
      <w:r>
        <w:separator/>
      </w:r>
    </w:p>
  </w:endnote>
  <w:endnote w:type="continuationSeparator" w:id="0">
    <w:p w14:paraId="6F648322" w14:textId="77777777" w:rsidR="00803E9A" w:rsidRDefault="00803E9A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1B4FD" w14:textId="77777777" w:rsidR="00803E9A" w:rsidRDefault="00803E9A" w:rsidP="00026BCD">
      <w:pPr>
        <w:spacing w:line="240" w:lineRule="auto"/>
      </w:pPr>
      <w:r>
        <w:separator/>
      </w:r>
    </w:p>
  </w:footnote>
  <w:footnote w:type="continuationSeparator" w:id="0">
    <w:p w14:paraId="301494D8" w14:textId="77777777" w:rsidR="00803E9A" w:rsidRDefault="00803E9A" w:rsidP="00026BCD">
      <w:pPr>
        <w:spacing w:line="240" w:lineRule="auto"/>
      </w:pPr>
      <w:r>
        <w:continuationSeparator/>
      </w:r>
    </w:p>
  </w:footnote>
  <w:footnote w:id="1">
    <w:p w14:paraId="547BCA90" w14:textId="232DA2CE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084EA8">
        <w:rPr>
          <w:rFonts w:ascii="Arial" w:eastAsia="Arial" w:hAnsi="Arial" w:cs="Arial"/>
        </w:rPr>
        <w:t>Doutor</w:t>
      </w:r>
      <w:r w:rsidR="00DF040B">
        <w:rPr>
          <w:rFonts w:ascii="Arial" w:eastAsia="Arial" w:hAnsi="Arial" w:cs="Arial"/>
        </w:rPr>
        <w:t xml:space="preserve">, </w:t>
      </w:r>
      <w:r w:rsidR="00084EA8">
        <w:rPr>
          <w:rFonts w:ascii="Arial" w:eastAsia="Arial" w:hAnsi="Arial" w:cs="Arial"/>
        </w:rPr>
        <w:t>Unifebe</w:t>
      </w:r>
      <w:r w:rsidR="00DF040B">
        <w:rPr>
          <w:rFonts w:ascii="Arial" w:eastAsia="Arial" w:hAnsi="Arial" w:cs="Arial"/>
        </w:rPr>
        <w:t xml:space="preserve">, </w:t>
      </w:r>
      <w:r w:rsidR="00084EA8">
        <w:rPr>
          <w:rFonts w:ascii="Arial" w:eastAsia="Arial" w:hAnsi="Arial" w:cs="Arial"/>
        </w:rPr>
        <w:t>Brusque</w:t>
      </w:r>
      <w:r w:rsidR="00DF040B">
        <w:rPr>
          <w:rFonts w:ascii="Arial" w:eastAsia="Arial" w:hAnsi="Arial" w:cs="Arial"/>
        </w:rPr>
        <w:t xml:space="preserve">, </w:t>
      </w:r>
      <w:r w:rsidR="00084EA8">
        <w:rPr>
          <w:rFonts w:ascii="Arial" w:eastAsia="Arial" w:hAnsi="Arial" w:cs="Arial"/>
        </w:rPr>
        <w:t>Santa Catarina</w:t>
      </w:r>
      <w:r w:rsidR="00DF040B">
        <w:rPr>
          <w:rFonts w:ascii="Arial" w:eastAsia="Arial" w:hAnsi="Arial" w:cs="Arial"/>
        </w:rPr>
        <w:t xml:space="preserve">, </w:t>
      </w:r>
      <w:r w:rsidR="00084EA8">
        <w:rPr>
          <w:rFonts w:ascii="Arial" w:eastAsia="Arial" w:hAnsi="Arial" w:cs="Arial"/>
        </w:rPr>
        <w:t>Brasil</w:t>
      </w:r>
      <w:r w:rsidR="00DF040B">
        <w:rPr>
          <w:rFonts w:ascii="Arial" w:eastAsia="Arial" w:hAnsi="Arial" w:cs="Arial"/>
        </w:rPr>
        <w:t xml:space="preserve">, </w:t>
      </w:r>
      <w:r w:rsidR="00084EA8">
        <w:rPr>
          <w:rFonts w:ascii="Arial" w:eastAsia="Arial" w:hAnsi="Arial" w:cs="Arial"/>
        </w:rPr>
        <w:t>wagner.estacio@unifebe.edu.br</w:t>
      </w:r>
    </w:p>
  </w:footnote>
  <w:footnote w:id="2">
    <w:p w14:paraId="6D2413CF" w14:textId="711EA550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="009F04CF">
        <w:rPr>
          <w:rFonts w:ascii="Arial" w:eastAsia="Arial" w:hAnsi="Arial" w:cs="Arial"/>
        </w:rPr>
        <w:t xml:space="preserve"> </w:t>
      </w:r>
      <w:r w:rsidR="000122BC">
        <w:rPr>
          <w:rFonts w:ascii="Arial" w:eastAsia="Arial" w:hAnsi="Arial" w:cs="Arial"/>
        </w:rPr>
        <w:t>Acadêmico de Educação Física</w:t>
      </w:r>
      <w:r w:rsidRPr="35BB4FFD">
        <w:rPr>
          <w:rFonts w:ascii="Arial" w:eastAsia="Arial" w:hAnsi="Arial" w:cs="Arial"/>
        </w:rPr>
        <w:t xml:space="preserve">, </w:t>
      </w:r>
      <w:r w:rsidR="000122BC">
        <w:rPr>
          <w:rFonts w:ascii="Arial" w:eastAsia="Arial" w:hAnsi="Arial" w:cs="Arial"/>
        </w:rPr>
        <w:t>Unifebe</w:t>
      </w:r>
      <w:r w:rsidRPr="35BB4FFD">
        <w:rPr>
          <w:rFonts w:ascii="Arial" w:eastAsia="Arial" w:hAnsi="Arial" w:cs="Arial"/>
        </w:rPr>
        <w:t xml:space="preserve">, </w:t>
      </w:r>
      <w:r w:rsidR="000122BC">
        <w:rPr>
          <w:rFonts w:ascii="Arial" w:eastAsia="Arial" w:hAnsi="Arial" w:cs="Arial"/>
        </w:rPr>
        <w:t>Brusque</w:t>
      </w:r>
      <w:r w:rsidRPr="35BB4FFD">
        <w:rPr>
          <w:rFonts w:ascii="Arial" w:eastAsia="Arial" w:hAnsi="Arial" w:cs="Arial"/>
        </w:rPr>
        <w:t xml:space="preserve">, </w:t>
      </w:r>
      <w:r w:rsidR="00FC7907">
        <w:rPr>
          <w:rFonts w:ascii="Arial" w:eastAsia="Arial" w:hAnsi="Arial" w:cs="Arial"/>
        </w:rPr>
        <w:t>Santa Catarina</w:t>
      </w:r>
      <w:r w:rsidRPr="35BB4FFD">
        <w:rPr>
          <w:rFonts w:ascii="Arial" w:eastAsia="Arial" w:hAnsi="Arial" w:cs="Arial"/>
        </w:rPr>
        <w:t xml:space="preserve">, </w:t>
      </w:r>
      <w:r w:rsidR="00FC7907">
        <w:rPr>
          <w:rFonts w:ascii="Arial" w:eastAsia="Arial" w:hAnsi="Arial" w:cs="Arial"/>
        </w:rPr>
        <w:t>Brasil</w:t>
      </w:r>
      <w:r w:rsidRPr="35BB4FFD">
        <w:rPr>
          <w:rFonts w:ascii="Arial" w:eastAsia="Arial" w:hAnsi="Arial" w:cs="Arial"/>
        </w:rPr>
        <w:t xml:space="preserve">, </w:t>
      </w:r>
      <w:r w:rsidR="00FC7907">
        <w:rPr>
          <w:rFonts w:ascii="Arial" w:eastAsia="Arial" w:hAnsi="Arial" w:cs="Arial"/>
        </w:rPr>
        <w:t>matheus.comper@unifebe.edu.br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00000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3.45pt;margin-top:-75.1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22BC"/>
    <w:rsid w:val="00017230"/>
    <w:rsid w:val="000251AB"/>
    <w:rsid w:val="00026BCD"/>
    <w:rsid w:val="0004284F"/>
    <w:rsid w:val="00042954"/>
    <w:rsid w:val="00055BA2"/>
    <w:rsid w:val="00057443"/>
    <w:rsid w:val="000839BB"/>
    <w:rsid w:val="00083ECD"/>
    <w:rsid w:val="0008414C"/>
    <w:rsid w:val="00084EA8"/>
    <w:rsid w:val="00091F4C"/>
    <w:rsid w:val="000B3107"/>
    <w:rsid w:val="000B3767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B0D6B"/>
    <w:rsid w:val="001D23A0"/>
    <w:rsid w:val="001E75F3"/>
    <w:rsid w:val="001F6136"/>
    <w:rsid w:val="00217CF3"/>
    <w:rsid w:val="00222A61"/>
    <w:rsid w:val="002506B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0D12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A3B89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16563"/>
    <w:rsid w:val="006306D9"/>
    <w:rsid w:val="00631553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03E9A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9F04CF"/>
    <w:rsid w:val="009F24DE"/>
    <w:rsid w:val="00A161E5"/>
    <w:rsid w:val="00A223FB"/>
    <w:rsid w:val="00A27006"/>
    <w:rsid w:val="00A3225B"/>
    <w:rsid w:val="00A35ED3"/>
    <w:rsid w:val="00A47061"/>
    <w:rsid w:val="00AA0EC1"/>
    <w:rsid w:val="00AB2173"/>
    <w:rsid w:val="00AB47AE"/>
    <w:rsid w:val="00AC530C"/>
    <w:rsid w:val="00AD5392"/>
    <w:rsid w:val="00AD658C"/>
    <w:rsid w:val="00AF346D"/>
    <w:rsid w:val="00AF4418"/>
    <w:rsid w:val="00B2706C"/>
    <w:rsid w:val="00B31EAA"/>
    <w:rsid w:val="00B35ECD"/>
    <w:rsid w:val="00B470E5"/>
    <w:rsid w:val="00B47A4E"/>
    <w:rsid w:val="00B55B5D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22DC7"/>
    <w:rsid w:val="00C8769A"/>
    <w:rsid w:val="00CA612A"/>
    <w:rsid w:val="00CA6CCC"/>
    <w:rsid w:val="00CC3A42"/>
    <w:rsid w:val="00CD2AF8"/>
    <w:rsid w:val="00CD581C"/>
    <w:rsid w:val="00CD7E56"/>
    <w:rsid w:val="00CF427F"/>
    <w:rsid w:val="00D07AAE"/>
    <w:rsid w:val="00D16DAA"/>
    <w:rsid w:val="00D17DEF"/>
    <w:rsid w:val="00D312FE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406F6"/>
    <w:rsid w:val="00E57BDA"/>
    <w:rsid w:val="00E65BC9"/>
    <w:rsid w:val="00E73320"/>
    <w:rsid w:val="00E91D9C"/>
    <w:rsid w:val="00EA25A5"/>
    <w:rsid w:val="00EB0F02"/>
    <w:rsid w:val="00EC1F91"/>
    <w:rsid w:val="00ED4385"/>
    <w:rsid w:val="00ED7BE5"/>
    <w:rsid w:val="00EE2639"/>
    <w:rsid w:val="00F27CE0"/>
    <w:rsid w:val="00F46CF2"/>
    <w:rsid w:val="00F647DC"/>
    <w:rsid w:val="00F72FD3"/>
    <w:rsid w:val="00F85839"/>
    <w:rsid w:val="00F97363"/>
    <w:rsid w:val="00F97C22"/>
    <w:rsid w:val="00FB7715"/>
    <w:rsid w:val="00FC02FB"/>
    <w:rsid w:val="00FC293E"/>
    <w:rsid w:val="00FC4166"/>
    <w:rsid w:val="00FC6AF0"/>
    <w:rsid w:val="00FC7907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2104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Wagner Estácio de Paula</cp:lastModifiedBy>
  <cp:revision>20</cp:revision>
  <dcterms:created xsi:type="dcterms:W3CDTF">2025-10-08T01:59:00Z</dcterms:created>
  <dcterms:modified xsi:type="dcterms:W3CDTF">2025-10-29T02:21:00Z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