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6FE99" w14:textId="77777777" w:rsidR="0025108C" w:rsidRDefault="0025108C">
      <w:pPr>
        <w:rPr>
          <w:rFonts w:ascii="Times New Roman" w:eastAsia="Times New Roman" w:hAnsi="Times New Roman" w:cs="Times New Roman"/>
        </w:rPr>
      </w:pPr>
    </w:p>
    <w:p w14:paraId="0342112C" w14:textId="7D0A68AC" w:rsidR="0025108C" w:rsidRDefault="00C2476A">
      <w:pPr>
        <w:spacing w:before="240" w:after="240"/>
        <w:ind w:firstLine="0"/>
        <w:jc w:val="center"/>
        <w:rPr>
          <w:rFonts w:ascii="Times New Roman" w:eastAsia="Times New Roman" w:hAnsi="Times New Roman" w:cs="Times New Roman"/>
          <w:b/>
        </w:rPr>
      </w:pPr>
      <w:r>
        <w:rPr>
          <w:rFonts w:ascii="Times New Roman" w:eastAsia="Times New Roman" w:hAnsi="Times New Roman" w:cs="Times New Roman"/>
          <w:b/>
        </w:rPr>
        <w:t>“APERTE O PLAY”</w:t>
      </w:r>
      <w:r w:rsidRPr="00C2476A">
        <w:rPr>
          <w:rFonts w:ascii="Times New Roman" w:eastAsia="Times New Roman" w:hAnsi="Times New Roman" w:cs="Times New Roman"/>
          <w:b/>
        </w:rPr>
        <w:t xml:space="preserve">: O GAME DOIS DE JULHO: TOWER DEFENSE </w:t>
      </w:r>
      <w:r>
        <w:rPr>
          <w:rFonts w:ascii="Times New Roman" w:eastAsia="Times New Roman" w:hAnsi="Times New Roman" w:cs="Times New Roman"/>
          <w:b/>
        </w:rPr>
        <w:t xml:space="preserve">NA </w:t>
      </w:r>
      <w:r w:rsidR="0084328A">
        <w:rPr>
          <w:rFonts w:ascii="Times New Roman" w:eastAsia="Times New Roman" w:hAnsi="Times New Roman" w:cs="Times New Roman"/>
          <w:b/>
        </w:rPr>
        <w:t>CONSTRUÇÃO</w:t>
      </w:r>
      <w:r>
        <w:rPr>
          <w:rFonts w:ascii="Times New Roman" w:eastAsia="Times New Roman" w:hAnsi="Times New Roman" w:cs="Times New Roman"/>
          <w:b/>
        </w:rPr>
        <w:t xml:space="preserve"> E MANUTENÇÃO DA MEMÓRIA HISTÓRICA</w:t>
      </w:r>
    </w:p>
    <w:p w14:paraId="51EE8135" w14:textId="02509898" w:rsidR="0025108C" w:rsidRDefault="00000000">
      <w:pPr>
        <w:ind w:firstLine="0"/>
        <w:jc w:val="right"/>
        <w:rPr>
          <w:rFonts w:ascii="Times New Roman" w:eastAsia="Times New Roman" w:hAnsi="Times New Roman" w:cs="Times New Roman"/>
        </w:rPr>
      </w:pPr>
      <w:r>
        <w:rPr>
          <w:rFonts w:ascii="Times New Roman" w:eastAsia="Times New Roman" w:hAnsi="Times New Roman" w:cs="Times New Roman"/>
          <w:b/>
        </w:rPr>
        <w:t xml:space="preserve"> </w:t>
      </w:r>
      <w:r w:rsidR="00C2476A">
        <w:rPr>
          <w:rFonts w:ascii="Times New Roman" w:eastAsia="Times New Roman" w:hAnsi="Times New Roman" w:cs="Times New Roman"/>
        </w:rPr>
        <w:t>Carlos Roberto Moreira de Souza Marinho</w:t>
      </w:r>
      <w:r>
        <w:rPr>
          <w:rFonts w:ascii="Times New Roman" w:eastAsia="Times New Roman" w:hAnsi="Times New Roman" w:cs="Times New Roman"/>
          <w:vertAlign w:val="superscript"/>
        </w:rPr>
        <w:footnoteReference w:id="1"/>
      </w:r>
    </w:p>
    <w:p w14:paraId="512FBFBE" w14:textId="77777777" w:rsidR="0025108C" w:rsidRDefault="0025108C">
      <w:pPr>
        <w:tabs>
          <w:tab w:val="left" w:pos="504"/>
        </w:tabs>
        <w:spacing w:before="120" w:after="120" w:line="240" w:lineRule="auto"/>
        <w:ind w:right="16" w:firstLine="0"/>
        <w:jc w:val="both"/>
        <w:rPr>
          <w:rFonts w:ascii="Roboto" w:eastAsia="Roboto" w:hAnsi="Roboto" w:cs="Roboto"/>
          <w:b/>
        </w:rPr>
      </w:pPr>
    </w:p>
    <w:p w14:paraId="675E993E" w14:textId="6620376E" w:rsidR="007A6E6D" w:rsidRDefault="00000000" w:rsidP="007A6E6D">
      <w:pPr>
        <w:tabs>
          <w:tab w:val="left" w:pos="1071"/>
        </w:tabs>
        <w:spacing w:before="120" w:after="120" w:line="240" w:lineRule="auto"/>
        <w:ind w:right="16" w:firstLine="0"/>
        <w:jc w:val="both"/>
        <w:rPr>
          <w:rFonts w:ascii="Times New Roman" w:eastAsia="Times New Roman" w:hAnsi="Times New Roman" w:cs="Times New Roman"/>
        </w:rPr>
      </w:pPr>
      <w:r>
        <w:rPr>
          <w:rFonts w:ascii="Times New Roman" w:eastAsia="Times New Roman" w:hAnsi="Times New Roman" w:cs="Times New Roman"/>
          <w:b/>
        </w:rPr>
        <w:t>RESUMO.</w:t>
      </w:r>
      <w:r>
        <w:rPr>
          <w:rFonts w:ascii="Times New Roman" w:eastAsia="Times New Roman" w:hAnsi="Times New Roman" w:cs="Times New Roman"/>
        </w:rPr>
        <w:t xml:space="preserve"> </w:t>
      </w:r>
      <w:r w:rsidR="007A6E6D" w:rsidRPr="007A6E6D">
        <w:rPr>
          <w:rFonts w:ascii="Times New Roman" w:eastAsia="Times New Roman" w:hAnsi="Times New Roman" w:cs="Times New Roman"/>
        </w:rPr>
        <w:t xml:space="preserve">Nas últimas décadas, o uso de tecnologias digitais consolidou-se como estratégia pedagógica relevante para o fortalecimento do ensino e da aprendizagem. Entre os recursos que se destacam nesse cenário estão os jogos digitais, capazes de articular ludicidade, engajamento e desenvolvimento cognitivo. Neste contexto, o jogo Dois de Julho: Tower Defense, desenvolvido em 2013 pelo grupo de pesquisa Comunidades Virtuais da UNEB, foi </w:t>
      </w:r>
      <w:r w:rsidR="007A6E6D">
        <w:rPr>
          <w:rFonts w:ascii="Times New Roman" w:eastAsia="Times New Roman" w:hAnsi="Times New Roman" w:cs="Times New Roman"/>
        </w:rPr>
        <w:t>aplicado</w:t>
      </w:r>
      <w:r w:rsidR="007A6E6D" w:rsidRPr="007A6E6D">
        <w:rPr>
          <w:rFonts w:ascii="Times New Roman" w:eastAsia="Times New Roman" w:hAnsi="Times New Roman" w:cs="Times New Roman"/>
        </w:rPr>
        <w:t xml:space="preserve"> em 2023, ano do bicentenário da Independência da Bahia, em oficinas pedagógicas com estudantes dos anos iniciais do Ensino Fundamental II da rede pública de Caetité, no projeto de extensão “Bicentenário da Independência da Bahia – Aperte o Play”. A proposta partiu do reconhecimento de que o bicentenário constituía uma oportunidade singular para articular inovação tecnológica e preservação da memória histórica regional, valorizando sujeitos, símbolos e narrativas muitas vezes marginalizados nos currículos tradicionais e nos materiais didáticos de circulação nacional. Participaram da atividade 40 estudantes, que interagiram com o game em oficinas estruturadas em três etapas: levantamento do perfil inicial, experiência de jogo e avaliação pós-atividade. O perfil inicial permitiu identificar os conhecimentos prévios e expectativas dos alunos em relação à temática da Independência da Bahia, revelando lacunas no repertório histórico tradicionalmente ensinado. A etapa de experiência de jogo, por sua vez, destacou-se pelo alto envolvimento dos alunos, que demonstraram entusiasmo, cooperação e estratégias coletivas para superar os desafios do game. Já a avaliação final permitiu observar indícios de aprendizagens significativas, como maior reconhecimento de personagens históricos, contextualização crítica dos eventos, desenvolvimento de empatia histórica em relação a grupos sociais subalternizados e compreensão da relevância da luta popular para a emancipação baiana.</w:t>
      </w:r>
      <w:r w:rsidR="007A6E6D">
        <w:rPr>
          <w:rFonts w:ascii="Times New Roman" w:eastAsia="Times New Roman" w:hAnsi="Times New Roman" w:cs="Times New Roman"/>
        </w:rPr>
        <w:t xml:space="preserve"> Nos resultados foi possivel constatar que a</w:t>
      </w:r>
      <w:r w:rsidR="007A6E6D" w:rsidRPr="007A6E6D">
        <w:rPr>
          <w:rFonts w:ascii="Times New Roman" w:eastAsia="Times New Roman" w:hAnsi="Times New Roman" w:cs="Times New Roman"/>
        </w:rPr>
        <w:t>o trazer para o ambiente escolar personagens populares, mulheres, escravizados e encourados que tiveram papel fundamental no processo de independência, o jogo ampliou a perspectiva crítica dos estudantes sobre a história, estimulando reflexões que ultrapassam a mera memorização de datas e fatos.</w:t>
      </w:r>
      <w:r w:rsidR="007A6E6D">
        <w:rPr>
          <w:rFonts w:ascii="Times New Roman" w:eastAsia="Times New Roman" w:hAnsi="Times New Roman" w:cs="Times New Roman"/>
        </w:rPr>
        <w:t xml:space="preserve"> </w:t>
      </w:r>
      <w:r w:rsidR="007A6E6D" w:rsidRPr="007A6E6D">
        <w:rPr>
          <w:rFonts w:ascii="Times New Roman" w:eastAsia="Times New Roman" w:hAnsi="Times New Roman" w:cs="Times New Roman"/>
        </w:rPr>
        <w:t>A experiência revelou o potencial dos jogos digitais para favorecer o protagonismo estudantil, a valorização das identidades locais e o fortalecimento do vínculo entre ensino, cultura e memória. Ao mesmo tempo, evidenciou a pertinência de articular recursos digitais a projetos de extensão universitária, aproximando a universidade da comunidade escolar e promovendo a circulação de práticas inovadoras.</w:t>
      </w:r>
      <w:r w:rsidR="007A6E6D">
        <w:rPr>
          <w:rFonts w:ascii="Times New Roman" w:eastAsia="Times New Roman" w:hAnsi="Times New Roman" w:cs="Times New Roman"/>
        </w:rPr>
        <w:t xml:space="preserve"> </w:t>
      </w:r>
      <w:r w:rsidR="00C2476A" w:rsidRPr="007A6E6D">
        <w:rPr>
          <w:rFonts w:ascii="Times New Roman" w:eastAsia="Times New Roman" w:hAnsi="Times New Roman" w:cs="Times New Roman"/>
        </w:rPr>
        <w:t>As falas dos estudantes evidenciaram encantamento com o formato lúdico, apontaram o desejo por práticas pedagógicas mais próximas de sua realidade tecnológica e cultural e reforçaram a percepção de que a história pode ser aprendida de modo prazeroso e interativo.</w:t>
      </w:r>
      <w:r w:rsidR="00C2476A">
        <w:rPr>
          <w:rFonts w:ascii="Times New Roman" w:eastAsia="Times New Roman" w:hAnsi="Times New Roman" w:cs="Times New Roman"/>
        </w:rPr>
        <w:t xml:space="preserve"> Ainda, o</w:t>
      </w:r>
      <w:r w:rsidR="007A6E6D" w:rsidRPr="007A6E6D">
        <w:rPr>
          <w:rFonts w:ascii="Times New Roman" w:eastAsia="Times New Roman" w:hAnsi="Times New Roman" w:cs="Times New Roman"/>
        </w:rPr>
        <w:t xml:space="preserve">s resultados </w:t>
      </w:r>
      <w:r w:rsidR="00C2476A" w:rsidRPr="007A6E6D">
        <w:rPr>
          <w:rFonts w:ascii="Times New Roman" w:eastAsia="Times New Roman" w:hAnsi="Times New Roman" w:cs="Times New Roman"/>
        </w:rPr>
        <w:t>demonstrar</w:t>
      </w:r>
      <w:r w:rsidR="00C2476A">
        <w:rPr>
          <w:rFonts w:ascii="Times New Roman" w:eastAsia="Times New Roman" w:hAnsi="Times New Roman" w:cs="Times New Roman"/>
        </w:rPr>
        <w:t>am</w:t>
      </w:r>
      <w:r w:rsidR="007A6E6D" w:rsidRPr="007A6E6D">
        <w:rPr>
          <w:rFonts w:ascii="Times New Roman" w:eastAsia="Times New Roman" w:hAnsi="Times New Roman" w:cs="Times New Roman"/>
        </w:rPr>
        <w:t xml:space="preserve"> que, mesmo uma década </w:t>
      </w:r>
      <w:r w:rsidR="007A6E6D" w:rsidRPr="007A6E6D">
        <w:rPr>
          <w:rFonts w:ascii="Times New Roman" w:eastAsia="Times New Roman" w:hAnsi="Times New Roman" w:cs="Times New Roman"/>
        </w:rPr>
        <w:lastRenderedPageBreak/>
        <w:t>após seu lançamento, o jogo Dois de Julho: Tower Defense mantém relevância pedagógica ao aproximar história, memória e tecnologia, configurando-se como um recurso potente para a construção de consciência histórica crítica. A experiência reafirma que os jogos digitais, quando planejados e mediados pedagogicamente, contribuem para transformar o ensino de História em uma prática mais envolvente, reflexiva e conectada às demandas contemporâneas dos estudantes, ampliando as possibilidades de formação cidadã e valorização da cultura local.</w:t>
      </w:r>
    </w:p>
    <w:p w14:paraId="75F4FDC1" w14:textId="30C62D19" w:rsidR="0025108C" w:rsidRPr="00C2476A" w:rsidRDefault="00000000" w:rsidP="00C2476A">
      <w:pPr>
        <w:tabs>
          <w:tab w:val="left" w:pos="1071"/>
        </w:tabs>
        <w:spacing w:before="120" w:after="120" w:line="240" w:lineRule="auto"/>
        <w:ind w:right="16" w:firstLine="0"/>
        <w:jc w:val="both"/>
        <w:rPr>
          <w:rFonts w:ascii="Times New Roman" w:eastAsia="Times New Roman" w:hAnsi="Times New Roman" w:cs="Times New Roman"/>
          <w:b/>
        </w:rPr>
      </w:pPr>
      <w:r>
        <w:rPr>
          <w:rFonts w:ascii="Times New Roman" w:eastAsia="Times New Roman" w:hAnsi="Times New Roman" w:cs="Times New Roman"/>
          <w:b/>
        </w:rPr>
        <w:t>Palavras-chave</w:t>
      </w:r>
      <w:r>
        <w:rPr>
          <w:rFonts w:ascii="Times New Roman" w:eastAsia="Times New Roman" w:hAnsi="Times New Roman" w:cs="Times New Roman"/>
        </w:rPr>
        <w:t xml:space="preserve">: </w:t>
      </w:r>
      <w:r w:rsidR="00C2476A" w:rsidRPr="00C2476A">
        <w:rPr>
          <w:rFonts w:ascii="Times New Roman" w:eastAsia="Times New Roman" w:hAnsi="Times New Roman" w:cs="Times New Roman"/>
        </w:rPr>
        <w:t>Games</w:t>
      </w:r>
      <w:r w:rsidR="00C2476A">
        <w:rPr>
          <w:rFonts w:ascii="Times New Roman" w:eastAsia="Times New Roman" w:hAnsi="Times New Roman" w:cs="Times New Roman"/>
        </w:rPr>
        <w:t>.</w:t>
      </w:r>
      <w:r w:rsidR="00C2476A" w:rsidRPr="00C2476A">
        <w:rPr>
          <w:rFonts w:ascii="Times New Roman" w:eastAsia="Times New Roman" w:hAnsi="Times New Roman" w:cs="Times New Roman"/>
        </w:rPr>
        <w:t xml:space="preserve"> Dois de Julho: Tower Defense</w:t>
      </w:r>
      <w:r w:rsidR="00C2476A">
        <w:rPr>
          <w:rFonts w:ascii="Times New Roman" w:eastAsia="Times New Roman" w:hAnsi="Times New Roman" w:cs="Times New Roman"/>
        </w:rPr>
        <w:t>.</w:t>
      </w:r>
      <w:r w:rsidR="00C2476A" w:rsidRPr="00C2476A">
        <w:rPr>
          <w:rFonts w:ascii="Times New Roman" w:eastAsia="Times New Roman" w:hAnsi="Times New Roman" w:cs="Times New Roman"/>
        </w:rPr>
        <w:t xml:space="preserve"> Independência da Bahia</w:t>
      </w:r>
      <w:r w:rsidR="00C2476A">
        <w:rPr>
          <w:rFonts w:ascii="Times New Roman" w:eastAsia="Times New Roman" w:hAnsi="Times New Roman" w:cs="Times New Roman"/>
        </w:rPr>
        <w:t xml:space="preserve">. </w:t>
      </w:r>
      <w:r w:rsidR="00C2476A" w:rsidRPr="00C2476A">
        <w:rPr>
          <w:rFonts w:ascii="Times New Roman" w:eastAsia="Times New Roman" w:hAnsi="Times New Roman" w:cs="Times New Roman"/>
        </w:rPr>
        <w:t>Memória e História</w:t>
      </w:r>
      <w:r w:rsidR="00C2476A">
        <w:rPr>
          <w:rFonts w:ascii="Times New Roman" w:eastAsia="Times New Roman" w:hAnsi="Times New Roman" w:cs="Times New Roman"/>
        </w:rPr>
        <w:t>.</w:t>
      </w:r>
      <w:r w:rsidR="00C2476A" w:rsidRPr="00C2476A">
        <w:rPr>
          <w:rFonts w:ascii="Times New Roman" w:eastAsia="Times New Roman" w:hAnsi="Times New Roman" w:cs="Times New Roman"/>
        </w:rPr>
        <w:t xml:space="preserve"> Consciência Históric</w:t>
      </w:r>
      <w:r w:rsidR="00C2476A">
        <w:rPr>
          <w:rFonts w:ascii="Times New Roman" w:eastAsia="Times New Roman" w:hAnsi="Times New Roman" w:cs="Times New Roman"/>
        </w:rPr>
        <w:t>a.</w:t>
      </w:r>
    </w:p>
    <w:sectPr w:rsidR="0025108C" w:rsidRPr="00C2476A">
      <w:headerReference w:type="default" r:id="rId7"/>
      <w:footerReference w:type="default" r:id="rId8"/>
      <w:pgSz w:w="11906" w:h="16838"/>
      <w:pgMar w:top="1417" w:right="1701" w:bottom="1417" w:left="1701" w:header="90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85CF1" w14:textId="77777777" w:rsidR="00197274" w:rsidRDefault="00197274">
      <w:pPr>
        <w:spacing w:line="240" w:lineRule="auto"/>
      </w:pPr>
      <w:r>
        <w:separator/>
      </w:r>
    </w:p>
  </w:endnote>
  <w:endnote w:type="continuationSeparator" w:id="0">
    <w:p w14:paraId="0EEC0FCC" w14:textId="77777777" w:rsidR="00197274" w:rsidRDefault="001972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B0D2AFF-2F92-42DB-B1B4-28D5DE8070E9}"/>
    <w:embedItalic r:id="rId2" w:fontKey="{56D3EC92-06A2-4E7F-98AB-EF97AD27A9A8}"/>
  </w:font>
  <w:font w:name="Roboto">
    <w:charset w:val="00"/>
    <w:family w:val="auto"/>
    <w:pitch w:val="variable"/>
    <w:sig w:usb0="E0000AFF" w:usb1="5000217F" w:usb2="00000021" w:usb3="00000000" w:csb0="0000019F" w:csb1="00000000"/>
    <w:embedRegular r:id="rId3" w:fontKey="{4FA38F19-7092-47F5-AFF7-AD255C207985}"/>
    <w:embedBold r:id="rId4" w:fontKey="{E0C6D315-338B-41BA-B4EA-F592D7AC95B3}"/>
  </w:font>
  <w:font w:name="Calibri Light">
    <w:panose1 w:val="020F0302020204030204"/>
    <w:charset w:val="00"/>
    <w:family w:val="swiss"/>
    <w:pitch w:val="variable"/>
    <w:sig w:usb0="E4002EFF" w:usb1="C200247B" w:usb2="00000009" w:usb3="00000000" w:csb0="000001FF" w:csb1="00000000"/>
    <w:embedRegular r:id="rId5" w:fontKey="{D2B2020E-7460-456F-95C5-114D12F03D37}"/>
  </w:font>
  <w:font w:name="Calibri">
    <w:panose1 w:val="020F0502020204030204"/>
    <w:charset w:val="00"/>
    <w:family w:val="swiss"/>
    <w:pitch w:val="variable"/>
    <w:sig w:usb0="E4002EFF" w:usb1="C200247B" w:usb2="00000009" w:usb3="00000000" w:csb0="000001FF" w:csb1="00000000"/>
    <w:embedRegular r:id="rId6" w:fontKey="{AE4D9849-22DB-4C7C-855D-9C4A1D3FB3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B8F83" w14:textId="77777777" w:rsidR="0025108C" w:rsidRDefault="002510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0B60A" w14:textId="77777777" w:rsidR="00197274" w:rsidRDefault="00197274">
      <w:pPr>
        <w:spacing w:line="240" w:lineRule="auto"/>
      </w:pPr>
      <w:r>
        <w:separator/>
      </w:r>
    </w:p>
  </w:footnote>
  <w:footnote w:type="continuationSeparator" w:id="0">
    <w:p w14:paraId="62C554E8" w14:textId="77777777" w:rsidR="00197274" w:rsidRDefault="00197274">
      <w:pPr>
        <w:spacing w:line="240" w:lineRule="auto"/>
      </w:pPr>
      <w:r>
        <w:continuationSeparator/>
      </w:r>
    </w:p>
  </w:footnote>
  <w:footnote w:id="1">
    <w:p w14:paraId="7FBB4753" w14:textId="54A96291" w:rsidR="0025108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sidR="00C2476A">
        <w:rPr>
          <w:rFonts w:ascii="Times New Roman" w:eastAsia="Times New Roman" w:hAnsi="Times New Roman" w:cs="Times New Roman"/>
          <w:sz w:val="20"/>
          <w:szCs w:val="20"/>
        </w:rPr>
        <w:t>Universidade do Estado da Bahia</w:t>
      </w:r>
      <w:r>
        <w:rPr>
          <w:rFonts w:ascii="Times New Roman" w:eastAsia="Times New Roman" w:hAnsi="Times New Roman" w:cs="Times New Roman"/>
          <w:sz w:val="20"/>
          <w:szCs w:val="20"/>
        </w:rPr>
        <w:t xml:space="preserve">, </w:t>
      </w:r>
      <w:r w:rsidR="00C2476A">
        <w:rPr>
          <w:rFonts w:ascii="Times New Roman" w:eastAsia="Times New Roman" w:hAnsi="Times New Roman" w:cs="Times New Roman"/>
          <w:sz w:val="20"/>
          <w:szCs w:val="20"/>
        </w:rPr>
        <w:t>crmarinho@uneb.br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2D736" w14:textId="77777777" w:rsidR="0025108C" w:rsidRDefault="00000000">
    <w:pPr>
      <w:pBdr>
        <w:top w:val="nil"/>
        <w:left w:val="nil"/>
        <w:bottom w:val="nil"/>
        <w:right w:val="nil"/>
        <w:between w:val="nil"/>
      </w:pBdr>
      <w:tabs>
        <w:tab w:val="center" w:pos="4252"/>
        <w:tab w:val="right" w:pos="8504"/>
      </w:tabs>
      <w:spacing w:line="240" w:lineRule="auto"/>
      <w:rPr>
        <w:color w:val="000000"/>
      </w:rPr>
    </w:pPr>
    <w:r>
      <w:rPr>
        <w:noProof/>
      </w:rPr>
      <w:drawing>
        <wp:anchor distT="0" distB="0" distL="0" distR="0" simplePos="0" relativeHeight="251658240" behindDoc="1" locked="0" layoutInCell="1" hidden="0" allowOverlap="1" wp14:anchorId="2AD52A68" wp14:editId="4EC892F9">
          <wp:simplePos x="0" y="0"/>
          <wp:positionH relativeFrom="column">
            <wp:posOffset>-1123947</wp:posOffset>
          </wp:positionH>
          <wp:positionV relativeFrom="paragraph">
            <wp:posOffset>-571498</wp:posOffset>
          </wp:positionV>
          <wp:extent cx="7725285" cy="1348617"/>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5285" cy="1348617"/>
                  </a:xfrm>
                  <a:prstGeom prst="rect">
                    <a:avLst/>
                  </a:prstGeom>
                  <a:ln/>
                </pic:spPr>
              </pic:pic>
            </a:graphicData>
          </a:graphic>
        </wp:anchor>
      </w:drawing>
    </w:r>
  </w:p>
  <w:p w14:paraId="191701E5" w14:textId="77777777" w:rsidR="0025108C" w:rsidRDefault="0025108C">
    <w:pPr>
      <w:pBdr>
        <w:top w:val="nil"/>
        <w:left w:val="nil"/>
        <w:bottom w:val="nil"/>
        <w:right w:val="nil"/>
        <w:between w:val="nil"/>
      </w:pBdr>
      <w:tabs>
        <w:tab w:val="center" w:pos="4252"/>
        <w:tab w:val="right" w:pos="8504"/>
      </w:tabs>
      <w:spacing w:line="240" w:lineRule="auto"/>
      <w:rPr>
        <w:color w:val="000000"/>
      </w:rPr>
    </w:pPr>
  </w:p>
  <w:p w14:paraId="22B0686A" w14:textId="77777777" w:rsidR="0025108C" w:rsidRDefault="0025108C">
    <w:pPr>
      <w:pBdr>
        <w:top w:val="nil"/>
        <w:left w:val="nil"/>
        <w:bottom w:val="nil"/>
        <w:right w:val="nil"/>
        <w:between w:val="nil"/>
      </w:pBdr>
      <w:tabs>
        <w:tab w:val="center" w:pos="4252"/>
        <w:tab w:val="right" w:pos="8504"/>
      </w:tabs>
      <w:spacing w:line="240" w:lineRule="auto"/>
      <w:rPr>
        <w:color w:val="000000"/>
      </w:rPr>
    </w:pPr>
  </w:p>
  <w:p w14:paraId="64A26327" w14:textId="77777777" w:rsidR="0025108C" w:rsidRDefault="0025108C">
    <w:pPr>
      <w:pBdr>
        <w:top w:val="nil"/>
        <w:left w:val="nil"/>
        <w:bottom w:val="nil"/>
        <w:right w:val="nil"/>
        <w:between w:val="nil"/>
      </w:pBdr>
      <w:tabs>
        <w:tab w:val="center" w:pos="4252"/>
        <w:tab w:val="right" w:pos="8504"/>
      </w:tabs>
      <w:spacing w:line="240" w:lineRule="auto"/>
      <w:rPr>
        <w:color w:val="000000"/>
      </w:rPr>
    </w:pPr>
  </w:p>
  <w:p w14:paraId="44C2B54C" w14:textId="77777777" w:rsidR="0025108C" w:rsidRDefault="0025108C">
    <w:pPr>
      <w:pBdr>
        <w:top w:val="nil"/>
        <w:left w:val="nil"/>
        <w:bottom w:val="nil"/>
        <w:right w:val="nil"/>
        <w:between w:val="nil"/>
      </w:pBdr>
      <w:tabs>
        <w:tab w:val="center" w:pos="4252"/>
        <w:tab w:val="right" w:pos="8504"/>
      </w:tabs>
      <w:spacing w:line="240" w:lineRule="auto"/>
      <w:ind w:firstLine="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08C"/>
    <w:rsid w:val="00197274"/>
    <w:rsid w:val="0025108C"/>
    <w:rsid w:val="007150A2"/>
    <w:rsid w:val="007A6E6D"/>
    <w:rsid w:val="0084328A"/>
    <w:rsid w:val="00882BFC"/>
    <w:rsid w:val="008E4147"/>
    <w:rsid w:val="00903155"/>
    <w:rsid w:val="00C247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1919A"/>
  <w15:docId w15:val="{35631D32-5C52-4EC3-BA3F-3CDDD83AC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pt-BR" w:bidi="ar-SA"/>
      </w:rPr>
    </w:rPrDefault>
    <w:pPrDefault>
      <w:pPr>
        <w:spacing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PargrafodaLista">
    <w:name w:val="List Paragraph"/>
    <w:basedOn w:val="Normal"/>
    <w:uiPriority w:val="34"/>
    <w:qFormat/>
    <w:rsid w:val="00211C9D"/>
    <w:pPr>
      <w:ind w:left="720"/>
      <w:contextualSpacing/>
    </w:pPr>
  </w:style>
  <w:style w:type="paragraph" w:styleId="Cabealho">
    <w:name w:val="header"/>
    <w:basedOn w:val="Normal"/>
    <w:link w:val="CabealhoChar"/>
    <w:uiPriority w:val="99"/>
    <w:unhideWhenUsed/>
    <w:rsid w:val="00211C9D"/>
    <w:pPr>
      <w:tabs>
        <w:tab w:val="center" w:pos="4252"/>
        <w:tab w:val="right" w:pos="8504"/>
      </w:tabs>
      <w:spacing w:line="240" w:lineRule="auto"/>
    </w:pPr>
  </w:style>
  <w:style w:type="character" w:customStyle="1" w:styleId="CabealhoChar">
    <w:name w:val="Cabeçalho Char"/>
    <w:basedOn w:val="Fontepargpadro"/>
    <w:link w:val="Cabealho"/>
    <w:uiPriority w:val="99"/>
    <w:rsid w:val="00211C9D"/>
    <w:rPr>
      <w:rFonts w:ascii="Arial" w:hAnsi="Arial"/>
      <w:sz w:val="24"/>
    </w:rPr>
  </w:style>
  <w:style w:type="paragraph" w:styleId="Rodap">
    <w:name w:val="footer"/>
    <w:basedOn w:val="Normal"/>
    <w:link w:val="RodapChar"/>
    <w:uiPriority w:val="99"/>
    <w:unhideWhenUsed/>
    <w:rsid w:val="00211C9D"/>
    <w:pPr>
      <w:tabs>
        <w:tab w:val="center" w:pos="4252"/>
        <w:tab w:val="right" w:pos="8504"/>
      </w:tabs>
      <w:spacing w:line="240" w:lineRule="auto"/>
    </w:pPr>
  </w:style>
  <w:style w:type="character" w:customStyle="1" w:styleId="RodapChar">
    <w:name w:val="Rodapé Char"/>
    <w:basedOn w:val="Fontepargpadro"/>
    <w:link w:val="Rodap"/>
    <w:uiPriority w:val="99"/>
    <w:rsid w:val="00211C9D"/>
    <w:rPr>
      <w:rFonts w:ascii="Arial" w:hAnsi="Arial"/>
      <w:sz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f9TWONAK6r7K3py5OgZxBirx6Q==">CgMxLjA4AHIhMW8zTmV6eXFEMGw4aDBzMVBwcl9Ndkh2OE9SWGoxLUlu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593</Words>
  <Characters>3206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 da Microsoft</dc:creator>
  <cp:lastModifiedBy>Roberto Marinho</cp:lastModifiedBy>
  <cp:revision>8</cp:revision>
  <dcterms:created xsi:type="dcterms:W3CDTF">2025-10-04T22:08:00Z</dcterms:created>
  <dcterms:modified xsi:type="dcterms:W3CDTF">2025-10-04T22:10:00Z</dcterms:modified>
</cp:coreProperties>
</file>