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AVALIAÇÃO DA ATIVIDADE DOS IMUNOMODULADORES EM CRIANÇAS PORTADORAS DE DOENÇA INFLAMATÓRIA INTESTINAL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EVALUATION OF IMMUNOMODULATOR ACTIVITY IN CHILDREN WITH INFLAMMATORY BOWEL DISEASE.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Júlio César Bezerra Cordeiro</w:t>
        <w:br w:type="textWrapping"/>
        <w:t xml:space="preserve"> Centro Universitário São Lucas</w:t>
        <w:br w:type="textWrapping"/>
        <w:t xml:space="preserve"> </w:t>
      </w:r>
      <w:r w:rsidDel="00000000" w:rsidR="00000000" w:rsidRPr="00000000">
        <w:rPr>
          <w:rtl w:val="0"/>
        </w:rPr>
        <w:t xml:space="preserve">julio.bcordeiro@outlook.com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Sarah Elen Araújo Silva</w:t>
        <w:br w:type="textWrapping"/>
        <w:t xml:space="preserve"> Fametro Manaus</w:t>
        <w:br w:type="textWrapping"/>
        <w:t xml:space="preserve"> </w:t>
      </w:r>
      <w:r w:rsidDel="00000000" w:rsidR="00000000" w:rsidRPr="00000000">
        <w:rPr>
          <w:rtl w:val="0"/>
        </w:rPr>
        <w:t xml:space="preserve">Sarahellensv@gmail.com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Julia Jayme Maia</w:t>
        <w:br w:type="textWrapping"/>
        <w:t xml:space="preserve"> Universidade Evangélica de Goiás</w:t>
        <w:br w:type="textWrapping"/>
        <w:t xml:space="preserve"> </w:t>
      </w:r>
      <w:r w:rsidDel="00000000" w:rsidR="00000000" w:rsidRPr="00000000">
        <w:rPr>
          <w:rtl w:val="0"/>
        </w:rPr>
        <w:t xml:space="preserve">juliajaymemaia@hotmail.com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Maira Celina de Mesquita Pinheiro</w:t>
        <w:br w:type="textWrapping"/>
        <w:t xml:space="preserve"> Uninter-PY</w:t>
        <w:br w:type="textWrapping"/>
        <w:t xml:space="preserve"> </w:t>
      </w:r>
      <w:r w:rsidDel="00000000" w:rsidR="00000000" w:rsidRPr="00000000">
        <w:rPr>
          <w:rtl w:val="0"/>
        </w:rPr>
        <w:t xml:space="preserve">maira-celia@hotmail.com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Souza de Andrade</w:t>
        <w:br w:type="textWrapping"/>
        <w:t xml:space="preserve"> Fametro</w:t>
        <w:br w:type="textWrapping"/>
        <w:t xml:space="preserve"> </w:t>
      </w:r>
      <w:r w:rsidDel="00000000" w:rsidR="00000000" w:rsidRPr="00000000">
        <w:rPr>
          <w:rtl w:val="0"/>
        </w:rPr>
        <w:t xml:space="preserve">Phenriquesouza2014@hotmail.com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Kelly Daiana Diniz da Costa Freire</w:t>
        <w:br w:type="textWrapping"/>
        <w:t xml:space="preserve"> Universidade Ceuma</w:t>
        <w:br w:type="textWrapping"/>
        <w:t xml:space="preserve"> </w:t>
      </w:r>
      <w:r w:rsidDel="00000000" w:rsidR="00000000" w:rsidRPr="00000000">
        <w:rPr>
          <w:rtl w:val="0"/>
        </w:rPr>
        <w:t xml:space="preserve">kellydiniz.costa@hotmail.com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Pedro Henrique Abdalla Gomes</w:t>
        <w:br w:type="textWrapping"/>
        <w:t xml:space="preserve"> Universidade Nilton Lins</w:t>
        <w:br w:type="textWrapping"/>
        <w:t xml:space="preserve"> </w:t>
      </w:r>
      <w:r w:rsidDel="00000000" w:rsidR="00000000" w:rsidRPr="00000000">
        <w:rPr>
          <w:rtl w:val="0"/>
        </w:rPr>
        <w:t xml:space="preserve">pedrohagomes@gmail.com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Camilly Malta Mendes Castro</w:t>
        <w:br w:type="textWrapping"/>
        <w:t xml:space="preserve"> Centro Universitário Claretiano</w:t>
        <w:br w:type="textWrapping"/>
        <w:t xml:space="preserve"> </w:t>
      </w:r>
      <w:r w:rsidDel="00000000" w:rsidR="00000000" w:rsidRPr="00000000">
        <w:rPr>
          <w:rtl w:val="0"/>
        </w:rPr>
        <w:t xml:space="preserve">8131719@souclaretiano.edu.br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jc w:val="right"/>
        <w:rPr/>
      </w:pPr>
      <w:r w:rsidDel="00000000" w:rsidR="00000000" w:rsidRPr="00000000">
        <w:rPr>
          <w:rtl w:val="0"/>
        </w:rPr>
        <w:t xml:space="preserve">Enzo Pessoa Farias</w:t>
        <w:br w:type="textWrapping"/>
        <w:t xml:space="preserve"> IESVAP</w:t>
        <w:br w:type="textWrapping"/>
        <w:t xml:space="preserve"> enzopessoa.pf@icloud.com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140" w:right="139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As doenças inflamatórias intestinais são desordens inflamatórias crônicas que afetam o trato gastrointestinal. Nos pacientes pediátricos, cerca de 25%, a doença apresenta uma natureza mais agressiva e de pior prognóstico. Além disso, atingem-os em um estágio importante de seu desenvolvimento, gerando importante déficit físico e cognitivo. O tratamento, quando instituído de forma eficaz e rápida, altera a história natural da doença e previne suas complicações. Os imunomoduladores (azatioprina e metotrexato) são usados como primeira escolha na manutenção da doença, todavia, o embasamento científico para manejo dessas drogas são provenientes de estudos em adultos, permanecendo incerto a eficácia e segurança destes nos pacientes pediátricos.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OBJETIVO: </w:t>
      </w:r>
      <w:r w:rsidDel="00000000" w:rsidR="00000000" w:rsidRPr="00000000">
        <w:rPr>
          <w:sz w:val="24"/>
          <w:szCs w:val="24"/>
          <w:rtl w:val="0"/>
        </w:rPr>
        <w:t xml:space="preserve">Esta revisão sistemática tem como objetivo avaliar sistematicamente os trabalhos publicados sobre a eficácia e a segurança dos imunomoduladores para o tratamento das doenças inflamatórias intestinais nas crianças.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METODOLOGIA:</w:t>
      </w:r>
      <w:r w:rsidDel="00000000" w:rsidR="00000000" w:rsidRPr="00000000">
        <w:rPr>
          <w:sz w:val="24"/>
          <w:szCs w:val="24"/>
          <w:rtl w:val="0"/>
        </w:rPr>
        <w:t xml:space="preserve"> Foi realizada uma procura sistemática nas bases de dados PUBMED/MEDLINE e BVS/Lilacs, com os termos de busca e os operadores booleanos: ((Inflammatory Bowel Disease) AND (Immunosuppressants OR Azathioprine OR Methotrexate)).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E DISCUSSÃO</w:t>
      </w:r>
      <w:r w:rsidDel="00000000" w:rsidR="00000000" w:rsidRPr="00000000">
        <w:rPr>
          <w:sz w:val="24"/>
          <w:szCs w:val="24"/>
          <w:rtl w:val="0"/>
        </w:rPr>
        <w:t xml:space="preserve">: Foram incluídos 5 artigos com uma população total de 1.233 pacientes. O azatioprina Os imunossupressores AZA e MTX mostraram-se seguros e eficazes para o tratamento da DII em crianças, sendo recomendados para casos de doenças moderadas a grave, devendo a prescrição ser avaliada individualmente.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Os imunomoduladores demonstraram eficácia e segurança no manejo da doença inflamatória intestinal pediátrica, sendo recomendados para casos moderados a graves. No entanto, a prescrição deve ser individualizada para otimizar os benefícios terapêuticos.</w:t>
      </w:r>
    </w:p>
    <w:p w:rsidR="00000000" w:rsidDel="00000000" w:rsidP="00000000" w:rsidRDefault="00000000" w:rsidRPr="00000000" w14:paraId="00000016">
      <w:pPr>
        <w:widowControl w:val="0"/>
        <w:spacing w:line="360" w:lineRule="auto"/>
        <w:ind w:left="0" w:right="13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14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Doenças Inflamatórias Intestinais; Crianças; Imunomoduladores; Azatioprina; Metotrexato.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102" w:right="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02" w:right="143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02" w:right="143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MARMO, M. C. R. </w:t>
      </w:r>
      <w:r w:rsidDel="00000000" w:rsidR="00000000" w:rsidRPr="00000000">
        <w:rPr>
          <w:b w:val="1"/>
          <w:sz w:val="24"/>
          <w:szCs w:val="24"/>
          <w:rtl w:val="0"/>
        </w:rPr>
        <w:t xml:space="preserve">Doença Inflamatória Intestinal em crianças e adolescentes: avaliação de polimorfismos genéticos em hospital de referência do nordeste do Brasil.</w:t>
      </w:r>
      <w:r w:rsidDel="00000000" w:rsidR="00000000" w:rsidRPr="00000000">
        <w:rPr>
          <w:sz w:val="24"/>
          <w:szCs w:val="24"/>
          <w:rtl w:val="0"/>
        </w:rPr>
        <w:t xml:space="preserve"> Tese de doutorado, Universidade Federal de Pernambuco, 2020.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SOUZA, R. V.; et al. Doença inflamatória intestinal na infância: diagnóstico e tratamento. 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Revista Médica de Minas Gerais</w:t>
      </w:r>
      <w:r w:rsidDel="00000000" w:rsidR="00000000" w:rsidRPr="00000000">
        <w:rPr>
          <w:sz w:val="24"/>
          <w:szCs w:val="24"/>
          <w:rtl w:val="0"/>
        </w:rPr>
        <w:t xml:space="preserve">, v. 26, n. Supl 2, p. S35-S44, 2016.</w:t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