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A2FD" w14:textId="09F52438" w:rsidR="00D92EAA" w:rsidRDefault="00D92EAA" w:rsidP="00032F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GIORGIO AGAMBEN E  AS ESTRATÉGIAS</w:t>
      </w:r>
      <w:r w:rsidR="00032F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BIOPOLÍTICAS DA POLÍCIA MIGRATÓRIA COMO PRODUÇÃO DE </w:t>
      </w:r>
      <w:r w:rsidR="00032FDC" w:rsidRPr="00032F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VIDA NUA</w:t>
      </w:r>
    </w:p>
    <w:p w14:paraId="4804E8EC" w14:textId="77777777" w:rsidR="004E5059" w:rsidRDefault="004E5059" w:rsidP="00032F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00456" w14:textId="1CCB8DA0" w:rsidR="00032FDC" w:rsidRDefault="00032FDC" w:rsidP="00032F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Palavras-chave:</w:t>
      </w:r>
      <w:r w:rsidR="00B80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Giorgio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Agamben, </w:t>
      </w:r>
      <w:r w:rsidR="00B8088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ida </w:t>
      </w:r>
      <w:r w:rsidR="00B8088D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ua, </w:t>
      </w:r>
      <w:r w:rsidR="00B8088D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igrações</w:t>
      </w:r>
    </w:p>
    <w:p w14:paraId="1AEAF007" w14:textId="2C54E2CF" w:rsidR="00C35A26" w:rsidRPr="00C56E9F" w:rsidRDefault="00D92EAA" w:rsidP="00EC5A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A1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pesquisa pretende a partir do aporte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filosófico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Giorgio Agamben, abarcar uma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discussão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acerca dos problemas migratórios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âmbito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Política Internacional. A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relevância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pesquisa est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preocupação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trazer para o debate não apenas o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problemas que ainda persist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 sociedade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contemporâneas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como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também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 como mote a filosofia de Agamben para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desta forma, pensar caminhos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possíveis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visando 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compreensão da forma como as politicas migratórias  tem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 suas preocupações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uma ação de polícia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migratória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medida em que a adoção de medidas que impeçam ou dificultem a entrada de migrantes na maioria dos países  tem 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legitimado 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produção 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6A1A91" w:rsidRPr="00DB77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vidas nuas 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resultando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políticas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exclusão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torna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os 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seres humanos como 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passíveis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serem descartados, uma vez que já não pertencem à categoria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jurídica  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sujeitos de direito. Nesta seara, trabalhar a filosofia de Giorgio Agamben num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diálogo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questão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migratória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conceito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6A1A91" w:rsidRPr="00DB77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vida nua 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parece-nos relevante, presumindo 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alguns 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fatores importantes de sua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contribuição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teórica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, sobretudo por se tratar de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conceito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utilizado para estud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ar-se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os movimentos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migratórios e, por conseguinte, a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inserção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desses sujeitos nas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próprias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políticas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(polícia)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migratórias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Desse modo, percebe-se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maior preocupação 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voltada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manutenção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segurança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>nacional, imobilizando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aqueles que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são considerados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como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invasores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e que colocam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risco </w:t>
      </w:r>
      <w:r w:rsidR="006A1A91" w:rsidRPr="00DB7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aqueles</w:t>
      </w:r>
      <w:r w:rsidR="00F821E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sujeitos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privilegiados pela condição de cidadão.</w:t>
      </w:r>
      <w:r w:rsidR="006A1A91" w:rsidRPr="00C56E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Estas medidas estatais, que ora se apresenta pelo uso da força, ora, </w:t>
      </w:r>
      <w:r w:rsidR="00C56E9F" w:rsidRPr="005A3140">
        <w:rPr>
          <w:rFonts w:ascii="Times New Roman" w:eastAsia="Times New Roman" w:hAnsi="Times New Roman" w:cs="Times New Roman"/>
          <w:color w:val="000000"/>
          <w:sz w:val="24"/>
          <w:szCs w:val="24"/>
        </w:rPr>
        <w:t>como completo abandono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 r</w:t>
      </w:r>
      <w:r w:rsidR="00C56E9F" w:rsidRPr="005A3140">
        <w:rPr>
          <w:rFonts w:ascii="Times New Roman" w:eastAsia="Times New Roman" w:hAnsi="Times New Roman" w:cs="Times New Roman"/>
          <w:color w:val="000000"/>
          <w:sz w:val="24"/>
          <w:szCs w:val="24"/>
        </w:rPr>
        <w:t>esultante dessas estratégias de poder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que nos instiga a </w:t>
      </w:r>
      <w:r w:rsidR="00C56E9F" w:rsidRPr="005A3140">
        <w:rPr>
          <w:rFonts w:ascii="Times New Roman" w:eastAsia="Times New Roman" w:hAnsi="Times New Roman" w:cs="Times New Roman"/>
          <w:color w:val="000000"/>
          <w:sz w:val="24"/>
          <w:szCs w:val="24"/>
        </w:rPr>
        <w:t>indaga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C56E9F" w:rsidRPr="005A3140">
        <w:rPr>
          <w:rFonts w:ascii="Times New Roman" w:eastAsia="Times New Roman" w:hAnsi="Times New Roman" w:cs="Times New Roman"/>
          <w:color w:val="000000"/>
          <w:sz w:val="24"/>
          <w:szCs w:val="24"/>
        </w:rPr>
        <w:t>mos: De que modo as políticas migratórias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violam garantidas inerentes aos Direitos Humanos, </w:t>
      </w:r>
      <w:r w:rsidR="00C56E9F" w:rsidRPr="005A3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têm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provocado a produção </w:t>
      </w:r>
      <w:r w:rsidR="00C56E9F" w:rsidRPr="005A3140">
        <w:rPr>
          <w:rFonts w:ascii="Times New Roman" w:eastAsia="Times New Roman" w:hAnsi="Times New Roman" w:cs="Times New Roman"/>
          <w:color w:val="000000"/>
          <w:sz w:val="24"/>
          <w:szCs w:val="24"/>
        </w:rPr>
        <w:t>de vida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56E9F" w:rsidRPr="005A3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nua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56E9F" w:rsidRPr="005A314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partir desta reflexão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tentar-se-á mostrar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 política de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Imigração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transformou em uma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polícia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migratória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Sendo assim,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nossas comunidades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políticas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tratam do outro (do estrangeiro pobre e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miserável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inserindo-o ou não na norma, percebe-se, por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conseguinte, que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logica provoca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transformação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política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migratória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polícia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despolitização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democracia.  Giorgio Agamben em </w:t>
      </w:r>
      <w:r w:rsidR="006A1A91" w:rsidRPr="00C56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Homo sacer: o poder soberano e a vida nua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trouxe a baila questões inquietantes acerca da política contemporânea, não obstante a figura do </w:t>
      </w:r>
      <w:r w:rsidR="006A1A91" w:rsidRPr="00C56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homo sacer,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qual teve sua vida levada à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condição de uma vida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nua, sendo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-lhe retirado tanto a tutela do direito humano quanto do direito divino, este viu-se exposto a toda forma de violência, tornando-se matável, sacrificável. A 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matabilidade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homo sacer já não configura homicídio, este encontra-se em uma zona de  indiferença entre 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norma  e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exceção, 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numa zona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indeterminação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 de anomia, criada por uma decisão soberano que inclui apenas pela exclusão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resulta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ndo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última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análise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um completo abandono</w:t>
      </w:r>
      <w:r w:rsidR="006A1A91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homo sace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constitui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vida nua. </w:t>
      </w:r>
      <w:r w:rsidR="006A1A91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É </w:t>
      </w:r>
      <w:r w:rsidR="00C56E9F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>possível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perceber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A1A91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um olhar mais atento, a </w:t>
      </w:r>
      <w:r w:rsidR="00C56E9F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>influência</w:t>
      </w:r>
      <w:r w:rsidR="006A1A91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Arendt e Foucault nessa fase </w:t>
      </w:r>
      <w:r w:rsidR="00C56E9F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>filosófica</w:t>
      </w:r>
      <w:r w:rsidR="006A1A91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pensador</w:t>
      </w:r>
      <w:r w:rsidR="006A1A91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italiano. Cada um a seu tempo, mostrou </w:t>
      </w:r>
      <w:r w:rsidR="00C56E9F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>preocupação</w:t>
      </w:r>
      <w:r w:rsidR="006A1A91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a forma como a vida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natural, a vida biológica </w:t>
      </w:r>
      <w:r w:rsidR="006A1A91" w:rsidRPr="00FB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estava sendo inserida nos cálculos de poder. 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Pensando-se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dados 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alarmantes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migrantes internacionais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 que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ultrapassa mais de 200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milhões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acordo da International Organization for Migration, no momento em que, governos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reforçam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segurança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 fronteiras, erguem muros criam novas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políticas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restritivas, como forma de controlar esses “invasores”, </w:t>
      </w:r>
      <w:r w:rsidR="004835D4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verifica-se nessa situação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a vida 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sujeitos migrantes passa a ser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inserida n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técnicas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poder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sendo assim capturada como </w:t>
      </w:r>
      <w:r w:rsidR="006A1A91" w:rsidRPr="00C56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vida nua</w:t>
      </w:r>
      <w:r w:rsidR="001725E8" w:rsidRPr="00C56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qui se revela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nítida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contradição entre direitos humanos e a questão migratória. C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omo já alertava Hannah Arendt em As Origens do Totalitarismo, </w:t>
      </w:r>
      <w:r w:rsidR="00BA69A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embora os direitos humanos fossem criados como uma alternativa para solucionar os problemas dos refugiados, porém, existia uma questão que ultrapassavam a efetividade dos Direitos Humanos que era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segundo a autora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direito a ter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direitos” (ARENDT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2012, P. 403). Ao longo da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História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migrantes sempre carregaram a estima daquele que é deixado de lado, posto fora. Mesmo em tempos mais remotos 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presença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migrantes sempre causou sentimentos de repulsa, estranhamento,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xenofobia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aqueles que culturalmente, 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veio que retirar nos nosso emprego, nossa paz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Neste sentido, observa-se que os campos nos quais os migrantes habitam em nosso tempo, pode ser pensado como o nomos biopolitico de governos, para o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exercício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biopolítica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que a vida humana encontra-se submetida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às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estratégias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poder,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implícitas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exercício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estatal da governabilidade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 cujas</w:t>
      </w:r>
      <w:r w:rsidR="002F5E3B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fronteiras   se tornaram meios 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2F5E3B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classificação biopolítica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as</w:t>
      </w:r>
      <w:r w:rsidR="002F5E3B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vidas podem ser despre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2F5E3B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adas em detrimento da proteção de outras consideradas politicamente importantes. 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60C7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Portanto, não se pode ignorar que as 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migrações</w:t>
      </w:r>
      <w:r w:rsidR="00F960C7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60C7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principalmente 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partir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século</w:t>
      </w:r>
      <w:r w:rsidR="00F960C7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XX,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tornou-se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fenômeno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não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mais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limitado a um determinado </w:t>
      </w:r>
      <w:r w:rsidR="00C56E9F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espaço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físico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uma </w:t>
      </w:r>
      <w:r w:rsidR="00C56E9F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região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6E9F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mas, um </w:t>
      </w:r>
      <w:r w:rsidR="00F960C7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problema </w:t>
      </w:r>
      <w:r w:rsidR="008E7B9C" w:rsidRPr="008E7B9C">
        <w:rPr>
          <w:rFonts w:ascii="Times New Roman" w:eastAsia="Times New Roman" w:hAnsi="Times New Roman" w:cs="Times New Roman"/>
          <w:color w:val="000000"/>
          <w:sz w:val="24"/>
          <w:szCs w:val="24"/>
        </w:rPr>
        <w:t>de ordem global</w:t>
      </w:r>
      <w:r w:rsidR="002F5E3B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que a atuação política precisa ser analisada como o epicentro dos problemas migratórios. </w:t>
      </w:r>
      <w:r w:rsidR="006A1A91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Desta forma, para</w:t>
      </w:r>
      <w:r w:rsidR="00F960C7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desenvolvimento da presente pesquisa, faz-se necessária a realização 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 estudo d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obra</w:t>
      </w:r>
      <w:r w:rsidR="001725E8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específicas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Giorgio Agamben, em especial   os livros </w:t>
      </w:r>
      <w:r w:rsidR="004F1EBF" w:rsidRPr="00C56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Homo sacer: o poder soberano e a vida nua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F1EBF" w:rsidRPr="00C56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 que resta de Auschwitz, Signatura Rerum 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4F1EBF" w:rsidRPr="00C56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 Uso dos Corpos,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além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pesquisa </w:t>
      </w:r>
      <w:r w:rsidR="00C56E9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bibliográfica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complementar</w:t>
      </w:r>
      <w:r w:rsidR="008E7B9C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F1EBF" w:rsidRPr="00C56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9A8" w:rsidRPr="00C56E9F">
        <w:rPr>
          <w:rFonts w:ascii="Times New Roman" w:eastAsia="Times New Roman" w:hAnsi="Times New Roman" w:cs="Times New Roman"/>
          <w:sz w:val="24"/>
          <w:szCs w:val="24"/>
          <w:lang w:eastAsia="pt-BR"/>
        </w:rPr>
        <w:t>Desse modo,</w:t>
      </w:r>
      <w:r w:rsidR="00C56E9F" w:rsidRPr="00C56E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que de forma  não conclusiva esta pesquisa leva ao entendimento de que </w:t>
      </w:r>
      <w:r w:rsidR="00BA69A8" w:rsidRPr="00C56E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C56E9F" w:rsidRPr="00C56E9F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BA69A8" w:rsidRPr="00C56E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olíticas </w:t>
      </w:r>
      <w:r w:rsidR="00C56E9F" w:rsidRPr="00C56E9F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BA69A8" w:rsidRPr="00C56E9F">
        <w:rPr>
          <w:rFonts w:ascii="Times New Roman" w:eastAsia="Times New Roman" w:hAnsi="Times New Roman" w:cs="Times New Roman"/>
          <w:sz w:val="24"/>
          <w:szCs w:val="24"/>
          <w:lang w:eastAsia="pt-BR"/>
        </w:rPr>
        <w:t>igratórias, estruturadas discursivamente, passaram a ser utilizadas pelos Estados como meio de controle e imposição de barre</w:t>
      </w:r>
      <w:bookmarkStart w:id="0" w:name="_GoBack"/>
      <w:bookmarkEnd w:id="0"/>
      <w:r w:rsidR="00BA69A8" w:rsidRPr="00C56E9F">
        <w:rPr>
          <w:rFonts w:ascii="Times New Roman" w:eastAsia="Times New Roman" w:hAnsi="Times New Roman" w:cs="Times New Roman"/>
          <w:sz w:val="24"/>
          <w:szCs w:val="24"/>
          <w:lang w:eastAsia="pt-BR"/>
        </w:rPr>
        <w:t>iras à entrada de pessoas em seu território e, até mesmo, como fundamento jurídico para expulsão de migrantes e, aqueles considerados indesejados de seu território, tornando lícitas</w:t>
      </w:r>
      <w:r w:rsidR="00EC5A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práticas que violem garantias fundamentais e , sobretudo as conquistas provenientes dos Direitos Humanos.</w:t>
      </w:r>
    </w:p>
    <w:p w14:paraId="2015D746" w14:textId="77777777" w:rsidR="00C35A26" w:rsidRPr="00C56E9F" w:rsidRDefault="00C35A26" w:rsidP="00EC5A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C59EA" w14:textId="2F28BF76" w:rsidR="00C35A26" w:rsidRPr="00C56E9F" w:rsidRDefault="006A1A91" w:rsidP="00EC5A38">
      <w:pPr>
        <w:pStyle w:val="NormalWeb"/>
        <w:spacing w:line="360" w:lineRule="auto"/>
        <w:ind w:left="284" w:hanging="142"/>
        <w:jc w:val="both"/>
        <w:rPr>
          <w:rFonts w:eastAsia="Times New Roman"/>
          <w:lang w:eastAsia="pt-BR"/>
        </w:rPr>
      </w:pPr>
      <w:r w:rsidRPr="00C56E9F">
        <w:rPr>
          <w:rFonts w:eastAsia="Times New Roman"/>
          <w:color w:val="000000"/>
        </w:rPr>
        <w:t xml:space="preserve"> </w:t>
      </w:r>
      <w:r w:rsidR="00C35A26" w:rsidRPr="00C56E9F">
        <w:rPr>
          <w:rFonts w:eastAsia="Times New Roman"/>
          <w:b/>
          <w:bCs/>
          <w:lang w:eastAsia="pt-BR"/>
        </w:rPr>
        <w:t xml:space="preserve">REFERÊNCIAS </w:t>
      </w:r>
    </w:p>
    <w:p w14:paraId="33E2440B" w14:textId="4F7E0780" w:rsidR="00C35A26" w:rsidRPr="00C35A26" w:rsidRDefault="00C35A26" w:rsidP="00EC5A38">
      <w:pPr>
        <w:spacing w:before="100" w:beforeAutospacing="1" w:after="100" w:afterAutospacing="1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AGAMBEN, Giorgio. </w:t>
      </w:r>
      <w:r w:rsidRPr="00C35A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Comunidade que vem</w:t>
      </w: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Tradução: </w:t>
      </w:r>
      <w:r w:rsidR="00C56E9F"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>Cláudio</w:t>
      </w: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Oliveira.1- ed. Belo Horizonte: Autêntica. 2017. </w:t>
      </w:r>
    </w:p>
    <w:p w14:paraId="0A593244" w14:textId="77777777" w:rsidR="00C35A26" w:rsidRPr="00C35A26" w:rsidRDefault="00C35A26" w:rsidP="00EC5A38">
      <w:pPr>
        <w:spacing w:before="100" w:beforeAutospacing="1" w:after="100" w:afterAutospacing="1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________. </w:t>
      </w:r>
      <w:r w:rsidRPr="00C35A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Homo Sacer: O poder soberano e a vida nua</w:t>
      </w: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Belo Horizonte: Editora UFMG. 2002. </w:t>
      </w:r>
    </w:p>
    <w:p w14:paraId="1AEA0D22" w14:textId="6766E71E" w:rsidR="00C35A26" w:rsidRPr="00C35A26" w:rsidRDefault="00C35A26" w:rsidP="00EC5A38">
      <w:pPr>
        <w:spacing w:before="100" w:beforeAutospacing="1" w:after="100" w:afterAutospacing="1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________. </w:t>
      </w:r>
      <w:r w:rsidRPr="00C35A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Aberto. O Homem e o Animal</w:t>
      </w: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Tradução: Pedro Mendes. Rio de Janeiro. </w:t>
      </w:r>
      <w:r w:rsidR="00C56E9F"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>Civilização</w:t>
      </w: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brasileira. 2017. </w:t>
      </w:r>
    </w:p>
    <w:p w14:paraId="20068E32" w14:textId="77777777" w:rsidR="00C35A26" w:rsidRPr="00C35A26" w:rsidRDefault="00C35A26" w:rsidP="00EC5A38">
      <w:pPr>
        <w:spacing w:before="100" w:beforeAutospacing="1" w:after="100" w:afterAutospacing="1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________. </w:t>
      </w:r>
      <w:r w:rsidRPr="00C35A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Que Resta de Awschwitz: o arquivo e a testemunha</w:t>
      </w: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Tradução: Silvino J. Assman. São Paulo: Boitempo, 2008. </w:t>
      </w:r>
    </w:p>
    <w:p w14:paraId="3689DA86" w14:textId="77777777" w:rsidR="00C35A26" w:rsidRPr="00C35A26" w:rsidRDefault="00C35A26" w:rsidP="00EC5A38">
      <w:pPr>
        <w:spacing w:before="100" w:beforeAutospacing="1" w:after="100" w:afterAutospacing="1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________. </w:t>
      </w:r>
      <w:r w:rsidRPr="00C35A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Uso dos Corpos</w:t>
      </w: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Tradução: Silvino J. Assman-1 edição. São Paulo: Boitempo, 2017. </w:t>
      </w:r>
    </w:p>
    <w:p w14:paraId="61910FA8" w14:textId="77777777" w:rsidR="00C35A26" w:rsidRPr="00C35A26" w:rsidRDefault="00C35A26" w:rsidP="00EC5A38">
      <w:pPr>
        <w:spacing w:before="100" w:beforeAutospacing="1" w:after="100" w:afterAutospacing="1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________. </w:t>
      </w:r>
      <w:r w:rsidRPr="00C35A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Que Resta de Awschwitz: o arquivo e a testemunha</w:t>
      </w:r>
      <w:r w:rsidRPr="00C35A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Tradução: Silvino J. Assman. São Paulo: Boitempo, 2008. </w:t>
      </w:r>
    </w:p>
    <w:p w14:paraId="0D75F414" w14:textId="77777777" w:rsidR="00C35A26" w:rsidRPr="00C56E9F" w:rsidRDefault="00C35A26" w:rsidP="00EC5A38">
      <w:pPr>
        <w:pStyle w:val="NormalWeb"/>
        <w:spacing w:line="360" w:lineRule="auto"/>
        <w:ind w:left="284" w:hanging="142"/>
        <w:jc w:val="both"/>
        <w:rPr>
          <w:rFonts w:eastAsia="Times New Roman"/>
          <w:lang w:eastAsia="pt-BR"/>
        </w:rPr>
      </w:pPr>
      <w:r w:rsidRPr="00C35A26">
        <w:rPr>
          <w:rFonts w:eastAsia="Times New Roman"/>
          <w:lang w:eastAsia="pt-BR"/>
        </w:rPr>
        <w:t xml:space="preserve">ACNUR, O. </w:t>
      </w:r>
      <w:r w:rsidRPr="00C35A26">
        <w:rPr>
          <w:rFonts w:eastAsia="Times New Roman"/>
          <w:b/>
          <w:bCs/>
          <w:lang w:eastAsia="pt-BR"/>
        </w:rPr>
        <w:t xml:space="preserve">Direito Internacional dos Refugiados e sua Aplicação no Direito Brasileiro. </w:t>
      </w:r>
      <w:r w:rsidRPr="00C35A26">
        <w:rPr>
          <w:rFonts w:eastAsia="Times New Roman"/>
          <w:lang w:eastAsia="pt-BR"/>
        </w:rPr>
        <w:t>São Paulo: Método. 2007</w:t>
      </w:r>
    </w:p>
    <w:p w14:paraId="3126A43A" w14:textId="77777777" w:rsidR="00BA69A8" w:rsidRPr="00C56E9F" w:rsidRDefault="00C35A26" w:rsidP="00EC5A38">
      <w:pPr>
        <w:pStyle w:val="NormalWeb"/>
        <w:spacing w:line="360" w:lineRule="auto"/>
        <w:ind w:left="284" w:hanging="142"/>
        <w:jc w:val="both"/>
        <w:rPr>
          <w:rFonts w:eastAsia="Times New Roman"/>
          <w:lang w:eastAsia="pt-BR"/>
        </w:rPr>
      </w:pPr>
      <w:r w:rsidRPr="00C35A26">
        <w:rPr>
          <w:rFonts w:eastAsia="Times New Roman"/>
          <w:lang w:eastAsia="pt-BR"/>
        </w:rPr>
        <w:lastRenderedPageBreak/>
        <w:t xml:space="preserve"> </w:t>
      </w:r>
      <w:r w:rsidRPr="00C56E9F">
        <w:rPr>
          <w:rFonts w:eastAsia="Times New Roman"/>
          <w:lang w:eastAsia="pt-BR"/>
        </w:rPr>
        <w:t>_______. ARENDT</w:t>
      </w:r>
      <w:r w:rsidR="00BA69A8" w:rsidRPr="00C56E9F">
        <w:rPr>
          <w:rFonts w:eastAsia="Times New Roman"/>
          <w:lang w:eastAsia="pt-BR"/>
        </w:rPr>
        <w:t xml:space="preserve">, Hannah. </w:t>
      </w:r>
      <w:r w:rsidRPr="00C56E9F">
        <w:rPr>
          <w:rFonts w:eastAsia="Times New Roman"/>
          <w:b/>
          <w:bCs/>
          <w:lang w:eastAsia="pt-BR"/>
        </w:rPr>
        <w:t xml:space="preserve"> As Origens do Totalitarismo. </w:t>
      </w:r>
      <w:r w:rsidRPr="00C56E9F">
        <w:rPr>
          <w:rFonts w:eastAsia="Times New Roman"/>
          <w:lang w:eastAsia="pt-BR"/>
        </w:rPr>
        <w:t xml:space="preserve">São Paulo: Companhia das letras, 2012. </w:t>
      </w:r>
    </w:p>
    <w:p w14:paraId="1C244228" w14:textId="27C0F93F" w:rsidR="00BA69A8" w:rsidRPr="00C56E9F" w:rsidRDefault="00BA69A8" w:rsidP="00EC5A38">
      <w:pPr>
        <w:pStyle w:val="NormalWeb"/>
        <w:spacing w:line="360" w:lineRule="auto"/>
        <w:ind w:left="284" w:hanging="142"/>
        <w:jc w:val="both"/>
        <w:rPr>
          <w:rFonts w:eastAsia="Times New Roman"/>
          <w:lang w:eastAsia="pt-BR"/>
        </w:rPr>
      </w:pPr>
      <w:r w:rsidRPr="00C56E9F">
        <w:rPr>
          <w:rFonts w:eastAsia="Times New Roman"/>
          <w:lang w:eastAsia="pt-BR"/>
        </w:rPr>
        <w:t xml:space="preserve">CADERNO DE DEBATES, </w:t>
      </w:r>
      <w:r w:rsidRPr="00C56E9F">
        <w:rPr>
          <w:rFonts w:eastAsia="Times New Roman"/>
          <w:b/>
          <w:bCs/>
          <w:lang w:eastAsia="pt-BR"/>
        </w:rPr>
        <w:t xml:space="preserve">Migrações e Cidadania </w:t>
      </w:r>
      <w:r w:rsidRPr="00C56E9F">
        <w:rPr>
          <w:rFonts w:eastAsia="Times New Roman"/>
          <w:lang w:eastAsia="pt-BR"/>
        </w:rPr>
        <w:t xml:space="preserve">V10, n10 (2015). Brasília: Instituto migrações e direitos humanos. </w:t>
      </w:r>
    </w:p>
    <w:p w14:paraId="6BA0F972" w14:textId="3FA9C550" w:rsidR="00BA69A8" w:rsidRPr="00C56E9F" w:rsidRDefault="00BA69A8" w:rsidP="00EC5A38">
      <w:pPr>
        <w:pStyle w:val="NormalWeb"/>
        <w:spacing w:line="360" w:lineRule="auto"/>
        <w:ind w:left="284" w:hanging="142"/>
        <w:jc w:val="both"/>
        <w:rPr>
          <w:rFonts w:eastAsia="Times New Roman"/>
          <w:lang w:eastAsia="pt-BR"/>
        </w:rPr>
      </w:pPr>
      <w:r w:rsidRPr="00BA69A8">
        <w:rPr>
          <w:rFonts w:eastAsia="Times New Roman"/>
          <w:lang w:eastAsia="pt-BR"/>
        </w:rPr>
        <w:t xml:space="preserve">_______. </w:t>
      </w:r>
      <w:r w:rsidRPr="00BA69A8">
        <w:rPr>
          <w:rFonts w:eastAsia="Times New Roman"/>
          <w:b/>
          <w:bCs/>
          <w:lang w:eastAsia="pt-BR"/>
        </w:rPr>
        <w:t>Refúgio, Migrações e Cidadania</w:t>
      </w:r>
      <w:r w:rsidRPr="00BA69A8">
        <w:rPr>
          <w:rFonts w:eastAsia="Times New Roman"/>
          <w:lang w:eastAsia="pt-BR"/>
        </w:rPr>
        <w:t>. V. 9, n, 9 (2014). Brasília: Instituto de Migrações e Direitos Humanos.</w:t>
      </w:r>
    </w:p>
    <w:p w14:paraId="37B8133E" w14:textId="5F08B1FC" w:rsidR="00BA69A8" w:rsidRPr="00C56E9F" w:rsidRDefault="00BA69A8" w:rsidP="00EC5A38">
      <w:pPr>
        <w:pStyle w:val="NormalWeb"/>
        <w:spacing w:line="360" w:lineRule="auto"/>
        <w:ind w:left="284" w:hanging="142"/>
        <w:jc w:val="both"/>
        <w:rPr>
          <w:rFonts w:eastAsia="Times New Roman"/>
          <w:lang w:eastAsia="pt-BR"/>
        </w:rPr>
      </w:pPr>
      <w:r w:rsidRPr="00BA69A8">
        <w:rPr>
          <w:rFonts w:eastAsia="Times New Roman"/>
          <w:lang w:eastAsia="pt-BR"/>
        </w:rPr>
        <w:t xml:space="preserve"> </w:t>
      </w:r>
      <w:r w:rsidRPr="00C56E9F">
        <w:rPr>
          <w:rFonts w:eastAsia="Times New Roman"/>
          <w:lang w:eastAsia="pt-BR"/>
        </w:rPr>
        <w:t xml:space="preserve">NASCIMENTO, Daniel Arruda. </w:t>
      </w:r>
      <w:r w:rsidRPr="00C56E9F">
        <w:rPr>
          <w:rFonts w:eastAsia="Times New Roman"/>
          <w:b/>
          <w:bCs/>
          <w:lang w:eastAsia="pt-BR"/>
        </w:rPr>
        <w:t>Biopolitica e Direitos Humanos: uma relação revisitada guiada pelo cortejo da ajuda humanitária</w:t>
      </w:r>
      <w:r w:rsidRPr="00C56E9F">
        <w:rPr>
          <w:rFonts w:eastAsia="Times New Roman"/>
          <w:lang w:eastAsia="pt-BR"/>
        </w:rPr>
        <w:t xml:space="preserve">. Rev. Filos., Aurora, Curitiba, v. 25, n. 37, p. 131- 150, jul./dez.2013. </w:t>
      </w:r>
    </w:p>
    <w:p w14:paraId="360AC2F0" w14:textId="2BC6FB08" w:rsidR="00BA69A8" w:rsidRPr="00C56E9F" w:rsidRDefault="00BA69A8" w:rsidP="00EC5A38">
      <w:pPr>
        <w:spacing w:before="100" w:beforeAutospacing="1" w:after="100" w:afterAutospacing="1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A19A0B" w14:textId="77777777" w:rsidR="00BA69A8" w:rsidRPr="00BA69A8" w:rsidRDefault="00BA69A8" w:rsidP="00EC5A38">
      <w:pPr>
        <w:spacing w:before="100" w:beforeAutospacing="1" w:after="100" w:afterAutospacing="1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FA792D" w14:textId="55E532D3" w:rsidR="00C35A26" w:rsidRPr="00C56E9F" w:rsidRDefault="00C35A26" w:rsidP="00EC5A38">
      <w:pPr>
        <w:pStyle w:val="NormalWeb"/>
        <w:spacing w:line="360" w:lineRule="auto"/>
        <w:ind w:left="284" w:hanging="142"/>
        <w:jc w:val="both"/>
        <w:rPr>
          <w:rFonts w:eastAsia="Times New Roman"/>
          <w:lang w:eastAsia="pt-BR"/>
        </w:rPr>
      </w:pPr>
    </w:p>
    <w:p w14:paraId="0C3C2DF8" w14:textId="77777777" w:rsidR="00BA69A8" w:rsidRPr="00C56E9F" w:rsidRDefault="00BA69A8" w:rsidP="00EC5A38">
      <w:pPr>
        <w:pStyle w:val="NormalWeb"/>
        <w:spacing w:line="360" w:lineRule="auto"/>
        <w:ind w:left="284" w:hanging="142"/>
        <w:jc w:val="both"/>
        <w:rPr>
          <w:rFonts w:eastAsia="Times New Roman"/>
          <w:lang w:eastAsia="pt-BR"/>
        </w:rPr>
      </w:pPr>
    </w:p>
    <w:p w14:paraId="15129D17" w14:textId="3F079F18" w:rsidR="00C35A26" w:rsidRPr="00C56E9F" w:rsidRDefault="00C35A26" w:rsidP="00EC5A38">
      <w:pPr>
        <w:spacing w:before="100" w:beforeAutospacing="1" w:after="100" w:afterAutospacing="1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47627B" w14:textId="77777777" w:rsidR="00C35A26" w:rsidRPr="00C35A26" w:rsidRDefault="00C35A26" w:rsidP="00EC5A38">
      <w:pPr>
        <w:spacing w:before="100" w:beforeAutospacing="1" w:after="100" w:afterAutospacing="1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0D998B" w14:textId="062134E7" w:rsidR="006A1A91" w:rsidRPr="00C56E9F" w:rsidRDefault="006A1A91" w:rsidP="00EC5A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C821FE" w14:textId="77777777" w:rsidR="006A1A91" w:rsidRPr="004F1EBF" w:rsidRDefault="006A1A91" w:rsidP="00EC5A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425"/>
        <w:jc w:val="both"/>
        <w:rPr>
          <w:rFonts w:ascii="Times" w:eastAsia="Times New Roman" w:hAnsi="Times"/>
          <w:color w:val="000000"/>
          <w:sz w:val="24"/>
          <w:szCs w:val="24"/>
        </w:rPr>
      </w:pPr>
    </w:p>
    <w:p w14:paraId="62CCE576" w14:textId="77777777" w:rsidR="006A1A91" w:rsidRPr="00FB3977" w:rsidRDefault="006A1A91" w:rsidP="008E7B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 New Roman" w:hAnsi="Times" w:cs="Times New Roman"/>
          <w:b/>
          <w:bCs/>
          <w:color w:val="000000"/>
          <w:sz w:val="24"/>
          <w:szCs w:val="24"/>
        </w:rPr>
      </w:pPr>
    </w:p>
    <w:p w14:paraId="698BD80D" w14:textId="77777777" w:rsidR="006A1A91" w:rsidRPr="004F1EBF" w:rsidRDefault="006A1A91" w:rsidP="008E7B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7271E30B" w14:textId="3B857E37" w:rsidR="00844166" w:rsidRPr="004F1EBF" w:rsidRDefault="00844166" w:rsidP="008E7B9C">
      <w:pPr>
        <w:widowControl w:val="0"/>
        <w:spacing w:line="360" w:lineRule="auto"/>
        <w:ind w:right="-330"/>
        <w:jc w:val="both"/>
        <w:rPr>
          <w:rFonts w:ascii="Times" w:eastAsia="Times New Roman" w:hAnsi="Times" w:cs="Times New Roman"/>
          <w:sz w:val="24"/>
          <w:szCs w:val="24"/>
        </w:rPr>
      </w:pPr>
    </w:p>
    <w:sectPr w:rsidR="00844166" w:rsidRPr="004F1E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8E71" w14:textId="77777777" w:rsidR="004C1D2F" w:rsidRDefault="004C1D2F" w:rsidP="00646E7E">
      <w:pPr>
        <w:spacing w:after="0" w:line="240" w:lineRule="auto"/>
      </w:pPr>
      <w:r>
        <w:separator/>
      </w:r>
    </w:p>
  </w:endnote>
  <w:endnote w:type="continuationSeparator" w:id="0">
    <w:p w14:paraId="23AB99C4" w14:textId="77777777" w:rsidR="004C1D2F" w:rsidRDefault="004C1D2F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68EA7" w14:textId="77777777" w:rsidR="004C1D2F" w:rsidRDefault="004C1D2F" w:rsidP="00646E7E">
      <w:pPr>
        <w:spacing w:after="0" w:line="240" w:lineRule="auto"/>
      </w:pPr>
      <w:r>
        <w:separator/>
      </w:r>
    </w:p>
  </w:footnote>
  <w:footnote w:type="continuationSeparator" w:id="0">
    <w:p w14:paraId="3F2A209C" w14:textId="77777777" w:rsidR="004C1D2F" w:rsidRDefault="004C1D2F" w:rsidP="0064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7C80" w14:textId="64CA4EFB" w:rsidR="00646E7E" w:rsidRDefault="00E14A86" w:rsidP="0084416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Cabealho"/>
      <w:rPr>
        <w:noProof/>
      </w:rPr>
    </w:pPr>
  </w:p>
  <w:p w14:paraId="0CCD5649" w14:textId="3C73D615" w:rsidR="00E14A86" w:rsidRDefault="00E14A86" w:rsidP="00844166">
    <w:pPr>
      <w:pStyle w:val="Cabealho"/>
      <w:rPr>
        <w:noProof/>
      </w:rPr>
    </w:pPr>
  </w:p>
  <w:p w14:paraId="42E8B9DF" w14:textId="752F7C78" w:rsidR="00E14A86" w:rsidRDefault="00E14A86" w:rsidP="00844166">
    <w:pPr>
      <w:pStyle w:val="Cabealho"/>
      <w:rPr>
        <w:noProof/>
      </w:rPr>
    </w:pPr>
  </w:p>
  <w:p w14:paraId="516CC3D3" w14:textId="77777777" w:rsidR="00E14A86" w:rsidRPr="00844166" w:rsidRDefault="00E14A86" w:rsidP="00844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032FDC"/>
    <w:rsid w:val="001725E8"/>
    <w:rsid w:val="001B3553"/>
    <w:rsid w:val="0020054E"/>
    <w:rsid w:val="00270FDD"/>
    <w:rsid w:val="002F5E3B"/>
    <w:rsid w:val="003147EB"/>
    <w:rsid w:val="004835D4"/>
    <w:rsid w:val="004A2EB8"/>
    <w:rsid w:val="004C1D2F"/>
    <w:rsid w:val="004C430C"/>
    <w:rsid w:val="004E5059"/>
    <w:rsid w:val="004F1EBF"/>
    <w:rsid w:val="004F685F"/>
    <w:rsid w:val="00596825"/>
    <w:rsid w:val="00603CE9"/>
    <w:rsid w:val="006237D8"/>
    <w:rsid w:val="00646E7E"/>
    <w:rsid w:val="006A1A91"/>
    <w:rsid w:val="00844166"/>
    <w:rsid w:val="00870E69"/>
    <w:rsid w:val="008926A5"/>
    <w:rsid w:val="008D1890"/>
    <w:rsid w:val="008E7B9C"/>
    <w:rsid w:val="0099182E"/>
    <w:rsid w:val="009A7209"/>
    <w:rsid w:val="009B16A0"/>
    <w:rsid w:val="00B60B9B"/>
    <w:rsid w:val="00B8088D"/>
    <w:rsid w:val="00BA69A8"/>
    <w:rsid w:val="00C35757"/>
    <w:rsid w:val="00C35A26"/>
    <w:rsid w:val="00C56E9F"/>
    <w:rsid w:val="00D54BF0"/>
    <w:rsid w:val="00D92EAA"/>
    <w:rsid w:val="00E14A86"/>
    <w:rsid w:val="00E35B4F"/>
    <w:rsid w:val="00E55D80"/>
    <w:rsid w:val="00EC5A38"/>
    <w:rsid w:val="00EF1BF7"/>
    <w:rsid w:val="00F821E4"/>
    <w:rsid w:val="00F960C7"/>
    <w:rsid w:val="00FD4E10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E7E"/>
  </w:style>
  <w:style w:type="paragraph" w:styleId="Rodap">
    <w:name w:val="footer"/>
    <w:basedOn w:val="Normal"/>
    <w:link w:val="Rodap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E7E"/>
  </w:style>
  <w:style w:type="character" w:styleId="Refdecomentrio">
    <w:name w:val="annotation reference"/>
    <w:basedOn w:val="Fontepargpadro"/>
    <w:uiPriority w:val="99"/>
    <w:semiHidden/>
    <w:unhideWhenUsed/>
    <w:rsid w:val="00844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4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1EBF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2E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2E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2EAA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8D18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C4901-7125-4FA7-AA91-B68ACEE4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1156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Helil Aguiar</cp:lastModifiedBy>
  <cp:revision>7</cp:revision>
  <cp:lastPrinted>2020-10-10T20:41:00Z</cp:lastPrinted>
  <dcterms:created xsi:type="dcterms:W3CDTF">2020-11-15T16:45:00Z</dcterms:created>
  <dcterms:modified xsi:type="dcterms:W3CDTF">2020-11-17T22:15:00Z</dcterms:modified>
</cp:coreProperties>
</file>