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1"/>
        <w:spacing w:line="36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RELATO DE EXPERIÊNCIA NO PIBID: ESTIMULANDO A LEITURA E A PRODUÇÃO DE TEXTO NO 3º ANO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widowControl w:val="1"/>
        <w:spacing w:line="360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1"/>
        <w:spacing w:line="360" w:lineRule="auto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Maria Letícia Pereira Trajano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widowControl w:val="1"/>
        <w:spacing w:line="360" w:lineRule="auto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Natyely Patryne da Silva Santos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widowControl w:val="1"/>
        <w:spacing w:line="360" w:lineRule="auto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Maria Izadora Santos Sales de Luna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</w:rPr>
        <w:footnoteReference w:customMarkFollows="0" w:id="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widowControl w:val="1"/>
        <w:spacing w:line="360" w:lineRule="auto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Cristiana Vasconcelos do Amaral e Silva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</w:rPr>
        <w:footnoteReference w:customMarkFollows="0" w:id="3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1"/>
        <w:spacing w:line="360" w:lineRule="auto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Andréa Tereza Brito Ferreira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vertAlign w:val="superscript"/>
        </w:rPr>
        <w:footnoteReference w:customMarkFollows="0" w:id="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widowControl w:val="1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widowControl w:val="1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Resumo: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Este trabalho apresenta um relato de experiência desenvolvido no âmbito do Programa Institucional de Bolsa de Iniciação à Docência (PIBID), com uma turma do 3º ano do Ensino Fundamental da Escola Municipal Maurício de Nassau, em Recife-PE. A proposta consistiu na aplicação de duas sequências didáticas elaboradas pelas integrantes do núcleo de alfabetização, com o objetivo de reconhecer e estimular a participação dos estudantes, além de favorecer o desenvolvimento das habilidades de produção textual e leitura, de forma intencional e alinhada às necessidades da turma. O primeiro e o segundo encontro foram ancorados em livros infantis. Todos os recursos utilizados foram de confecção própria, com apoio da supervisora, que também acompanhou a execução das atividades. A experiência evidenciou que práticas lúdicas e interativas promovem engajamento, valorizam as produções dos alunos e possibilitam a aprendizagem de forma significativa. Além disso, demonstrou a viabilidade de propostas pedagógicas criativas e acessíveis, alinhadas às metas de recomposição das aprendizagens do Programa.</w:t>
      </w:r>
    </w:p>
    <w:p w:rsidR="00000000" w:rsidDel="00000000" w:rsidP="00000000" w:rsidRDefault="00000000" w:rsidRPr="00000000" w14:paraId="0000000A">
      <w:pPr>
        <w:widowControl w:val="1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widowControl w:val="1"/>
        <w:spacing w:line="36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Palavras-chave: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PIBID; intencionalidade; leitura; produção de texto; sequências didáticas.</w:t>
      </w:r>
    </w:p>
    <w:p w:rsidR="00000000" w:rsidDel="00000000" w:rsidP="00000000" w:rsidRDefault="00000000" w:rsidRPr="00000000" w14:paraId="0000000C">
      <w:pPr>
        <w:widowControl w:val="1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widowControl w:val="1"/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Introdução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E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Assim como o corpo humano necessita de vitaminas essenciais para se manter saudável, o ambiente escolar também precisa ser nutrido. É necessário cultivar e preservar os elementos que sustentam a aprendizagem e a boa convivência. Uma dessas "vitaminas essenciais" é a intencionalidade.</w:t>
      </w:r>
    </w:p>
    <w:p w:rsidR="00000000" w:rsidDel="00000000" w:rsidP="00000000" w:rsidRDefault="00000000" w:rsidRPr="00000000" w14:paraId="0000000F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 Base Nacional Comum Curricular (BNCC), a intencionalidade aparece com destaque na etapa da Educação Infantil:</w:t>
      </w:r>
    </w:p>
    <w:p w:rsidR="00000000" w:rsidDel="00000000" w:rsidP="00000000" w:rsidRDefault="00000000" w:rsidRPr="00000000" w14:paraId="00000010">
      <w:pPr>
        <w:widowControl w:val="1"/>
        <w:spacing w:after="240" w:before="240" w:lineRule="auto"/>
        <w:ind w:left="2267.716535433071" w:right="600" w:firstLine="0"/>
        <w:jc w:val="both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Essa intencionalidade consiste na organização e proposição, pelo educador, de experiências que permitam às crianças conhecer a si mesmas e ao outro, bem como compreender as relações com a natureza, com a cultura e com a produção científica. Isso se traduz nas práticas de cuidados pessoais (alimentar-se, vestir-se, higienizar-se), nas brincadeiras, nas experimentações com materiais variados, na aproximação com a literatura e no encontro com as pessoas. (BNCC, 2018, p.39).</w:t>
      </w:r>
    </w:p>
    <w:p w:rsidR="00000000" w:rsidDel="00000000" w:rsidP="00000000" w:rsidRDefault="00000000" w:rsidRPr="00000000" w14:paraId="00000011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Compreendemos, então, a intencionalidade educativa como uma estratégia de ensino em que o professor, e demais agentes escolares, atuam com propósito claro e alinhado ao processo de ensino-aprendizagem. Isso significa estar verdadeiramente conectado à realidade da turma, propondo atividades que façam sentido e que favoreçam aprendizagens significativas. No contexto do Programa de Iniciação à Docência (PIBID), essa concepção se amplia: cabe não só ao professor, como também aos bolsistas, agirem de forma intencional, para contribuir na rotina escolar. </w:t>
      </w:r>
    </w:p>
    <w:p w:rsidR="00000000" w:rsidDel="00000000" w:rsidP="00000000" w:rsidRDefault="00000000" w:rsidRPr="00000000" w14:paraId="00000012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sala de aula é um espaço vivo, cheio de possibilidades para o aprender e o conviver. É claro que os desafios existem, inclusive no que diz respeito à produção ou execução de um planejamento didático e estratégico, mas é justamente nesses momentos que se evidencia o papel do professor: pensar, organizar e, sempre que necessário, reinventar suas práticas. Como destaca Libâneo (1994, p. 221), o planejamento escolar envolve tanto a previsão e a coordenação das atividades em função dos objetivos traçados, quanto a revisão e a adequação dessas ações ao longo do processo de ensino.</w:t>
      </w:r>
    </w:p>
    <w:p w:rsidR="00000000" w:rsidDel="00000000" w:rsidP="00000000" w:rsidRDefault="00000000" w:rsidRPr="00000000" w14:paraId="00000013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Dentro desse planejamento, é válido reservar espaço para a apreciação de atividades diversas. Acerca da importância da diversificação de atividades na sala de aula, Leal, Cruz e Albuquerque (2012), ressaltam que elas permitem que o aprendiz reflita sobre os diferentes conhecimentos envolvidos no objeto de ensino e atendam às diversas necessidades presentes em uma mesma turma. Considera-se que diferentes saberes são desenvolvidos e estimulados por meio de variadas atividades, ainda que abordem o mesmo objeto de ensino. Ao longo dessas atividades, as crianças percebem e aprendem o que deve ou não ser feito.</w:t>
      </w:r>
    </w:p>
    <w:p w:rsidR="00000000" w:rsidDel="00000000" w:rsidP="00000000" w:rsidRDefault="00000000" w:rsidRPr="00000000" w14:paraId="00000014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Nesse contexto, abrimos margem para discutir também o papel do lúdico, aspecto que valorizamos especialmente nas atividades com a turma do 3° ano. Ainda que, por muito tempo, tenha se perpetuado a ideia equivocada de que, ao deixar a educação infantil, as crianças não necessitam mais de atividades lúdicas, entendemos que sua presença no ensino fundamental continua sendo essencial. Em consonância com essa visão, Gonçalves e Nornberg (2025) destacam que uma abordagem lúdica da aprendizagem contribui para promover a interdisciplinaridade e o trabalho pedagógico em contextos heterogêneos. Por meio de brincadeiras e jogos, as crianças podem auxiliar-se mutuamente, explorar suas potencialidades, experimentar diferentes papéis e enfrentar desafios.</w:t>
      </w:r>
    </w:p>
    <w:p w:rsidR="00000000" w:rsidDel="00000000" w:rsidP="00000000" w:rsidRDefault="00000000" w:rsidRPr="00000000" w14:paraId="00000015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Dessa forma, ao elaborar nossas sequências didáticas, buscamos alinhar-nos a essas concepções, com o objetivo de reconhecer e estimular a participação dos estudantes, além de favorecer o desenvolvimento das habilidades de leitura e de produção de texto. Assim, estruturamos duas sequências didáticas ancoradas na literatura infantil, cada uma voltada a um eixo específico da alfabetização. Nos tópicos seguintes, apresentamos o percurso metodológico, as atividades desenvolvidas e as considerações finais acerca das aprendizagens observadas durante a aplicação dessas sequências em sala de aula.</w:t>
      </w:r>
    </w:p>
    <w:p w:rsidR="00000000" w:rsidDel="00000000" w:rsidP="00000000" w:rsidRDefault="00000000" w:rsidRPr="00000000" w14:paraId="00000016">
      <w:pPr>
        <w:widowControl w:val="1"/>
        <w:numPr>
          <w:ilvl w:val="0"/>
          <w:numId w:val="1"/>
        </w:numPr>
        <w:spacing w:after="240" w:before="240" w:line="360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Metodologia</w:t>
      </w:r>
    </w:p>
    <w:p w:rsidR="00000000" w:rsidDel="00000000" w:rsidP="00000000" w:rsidRDefault="00000000" w:rsidRPr="00000000" w14:paraId="00000017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 sequências didáticas apresentadas neste relato foram desenvolvidas em dois momentos separados, cada uma ancorada na leitura de uma obra da literatura infantil: Viviane,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widowControl w:val="1"/>
        <w:spacing w:after="240" w:before="240" w:line="36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Rainha do Pijama, de Steve Webb, e A Casa Sonolenta, de Audrey Wood. </w:t>
      </w:r>
    </w:p>
    <w:p w:rsidR="00000000" w:rsidDel="00000000" w:rsidP="00000000" w:rsidRDefault="00000000" w:rsidRPr="00000000" w14:paraId="00000019">
      <w:pPr>
        <w:widowControl w:val="1"/>
        <w:spacing w:after="240" w:before="240" w:line="360" w:lineRule="auto"/>
        <w:ind w:firstLine="708.6614173228347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1 - Capas dos livros lidos para os alunos durante as sequências.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2943225</wp:posOffset>
            </wp:positionH>
            <wp:positionV relativeFrom="paragraph">
              <wp:posOffset>309563</wp:posOffset>
            </wp:positionV>
            <wp:extent cx="1905000" cy="1905000"/>
            <wp:effectExtent b="0" l="0" r="0" t="0"/>
            <wp:wrapTopAndBottom distB="114300" distT="11430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1495425</wp:posOffset>
            </wp:positionH>
            <wp:positionV relativeFrom="paragraph">
              <wp:posOffset>323850</wp:posOffset>
            </wp:positionV>
            <wp:extent cx="1537538" cy="1905000"/>
            <wp:effectExtent b="0" l="0" r="0" t="0"/>
            <wp:wrapTopAndBottom distB="114300" distT="114300"/>
            <wp:docPr id="11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9"/>
                    <a:srcRect b="0" l="46" r="4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37538" cy="190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A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 WEBB, 2006. WOOD, 2002. Disponível em: </w:t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sz w:val="20"/>
            <w:szCs w:val="20"/>
            <w:u w:val="single"/>
            <w:rtl w:val="0"/>
          </w:rPr>
          <w:t xml:space="preserve">https://images-na.ssl-images-amazon.com/images/I/A1IYhYpmW%2BL.jpg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e https://www.papelariarealonline.com.br/image/cache/data/eftr/Img_ftr_rp_108701-1160x1160.JPG. Acesso em: 17 set. 2025</w:t>
      </w:r>
    </w:p>
    <w:p w:rsidR="00000000" w:rsidDel="00000000" w:rsidP="00000000" w:rsidRDefault="00000000" w:rsidRPr="00000000" w14:paraId="0000001B">
      <w:pPr>
        <w:widowControl w:val="1"/>
        <w:spacing w:after="240" w:before="240" w:line="360" w:lineRule="auto"/>
        <w:ind w:left="0"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 atividades foram planejadas e executadas por todos os estudantes do núcleo de alfabetização do PIBID, voltado à recomposição das aprendizagens, sob a orientação da professora Andréa Tereza Brito Ferreira e dos supervisores de cada escola. De modo geral, foram trabalhados os eixos de oralidade, ortografia, produção de texto e leitura, com o objetivo de estimular e desenvolver essas habilidades em todas as turmas. </w:t>
      </w:r>
    </w:p>
    <w:p w:rsidR="00000000" w:rsidDel="00000000" w:rsidP="00000000" w:rsidRDefault="00000000" w:rsidRPr="00000000" w14:paraId="0000001C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Neste relato, focamos especificamente nos eixos de produção textual e leitura, que foram aplicadas na turma do 3º ano da Escola Municipal Maurício de Nassau, sob supervisão da professora Cristiana Vasconcelos do Amaral e Silva. A aplicação das atividades ocorreu em momentos distintos: a primeira sequência, com foco na produção textual, foi realizada no dia 25 de agosto de 2025; a segunda, com ênfase na leitura, ocorreu no dia 26 de agosto de 2025. A turma do 3º ano A é composta por 25 estudantes, sendo que, no primeiro encontro, compareceram 16 alunos, e no segundo, estiveram presentes 23 alunos. </w:t>
      </w:r>
    </w:p>
    <w:p w:rsidR="00000000" w:rsidDel="00000000" w:rsidP="00000000" w:rsidRDefault="00000000" w:rsidRPr="00000000" w14:paraId="0000001D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Todos os recursos utilizados foram de confecção própria, incluindo cartões, impressões, figuras e outros materiais lúdicos, pensados para facilitar a compreensão e engajar os estudantes. A execução das sequências seguiu princípios de intencionalidade pedagógica, proporcionando espaço para que os alunos explorassem os conteúdos de maneira significativa, respeitando as diferenças individuais e valorizando a participação de todos. Além disso, as sequências didáticas foram analisadas e acompanhadas de perto pela supervisora, professora da turma, que esteve presente em todo o momento de execução, observando as atividades e contribuindo para a reflexão sobre as práticas desenvolvidas. </w:t>
      </w:r>
    </w:p>
    <w:p w:rsidR="00000000" w:rsidDel="00000000" w:rsidP="00000000" w:rsidRDefault="00000000" w:rsidRPr="00000000" w14:paraId="0000001E">
      <w:pPr>
        <w:widowControl w:val="1"/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Resultados e discussões</w:t>
      </w:r>
    </w:p>
    <w:p w:rsidR="00000000" w:rsidDel="00000000" w:rsidP="00000000" w:rsidRDefault="00000000" w:rsidRPr="00000000" w14:paraId="0000001F">
      <w:pPr>
        <w:widowControl w:val="1"/>
        <w:spacing w:line="36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widowControl w:val="1"/>
        <w:spacing w:line="36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3.1 Primeira sequência: Explorando a produção textual </w:t>
      </w:r>
    </w:p>
    <w:p w:rsidR="00000000" w:rsidDel="00000000" w:rsidP="00000000" w:rsidRDefault="00000000" w:rsidRPr="00000000" w14:paraId="00000021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 proposta da produção textual teve início com a leitura do livro Viviana, a Rainha do Pijama, de Steve Webb, cujo enredo apresenta a personagem convidando diferentes animais para a sua festa do pijama. A escolha dessa obra se deu pelo seu caráter envolvente e pela possibilidade de refletir, de maneira lúdica e significativa, sobre a estrutura do gênero textual “convite”. A leitura foi realizada no cantinho da leitura da própria turma, onde os alunos interagiram com as páginas do livro, identificando elementos recorrentes que caracterizam o gênero “convite” e comentando sobre a forma como a narrativa se desenvolvia. A dinâmica diferenciada da obra despertava a curiosidade dos alunos e a empolgação para saber quem seria o próximo personagem convidado para a festa de Viviana, criando um clima de expectativa e envolvimento durante toda a leitura.</w:t>
      </w:r>
    </w:p>
    <w:p w:rsidR="00000000" w:rsidDel="00000000" w:rsidP="00000000" w:rsidRDefault="00000000" w:rsidRPr="00000000" w14:paraId="00000022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2 - Momento de leitura no cantinho da leitura da turma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1409700</wp:posOffset>
            </wp:positionH>
            <wp:positionV relativeFrom="paragraph">
              <wp:posOffset>285750</wp:posOffset>
            </wp:positionV>
            <wp:extent cx="2639512" cy="1554277"/>
            <wp:effectExtent b="0" l="0" r="0" t="0"/>
            <wp:wrapTopAndBottom distB="114300" distT="114300"/>
            <wp:docPr id="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 b="5217" l="0" r="0" t="16976"/>
                    <a:stretch>
                      <a:fillRect/>
                    </a:stretch>
                  </pic:blipFill>
                  <pic:spPr>
                    <a:xfrm>
                      <a:off x="0" y="0"/>
                      <a:ext cx="2639512" cy="15542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4">
      <w:pPr>
        <w:widowControl w:val="1"/>
        <w:spacing w:after="240" w:before="240" w:lineRule="auto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</w:t>
      </w:r>
    </w:p>
    <w:p w:rsidR="00000000" w:rsidDel="00000000" w:rsidP="00000000" w:rsidRDefault="00000000" w:rsidRPr="00000000" w14:paraId="00000025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 sequência, foi realizada uma discussão coletiva para identificar quais informações não poderiam faltar em um convite, como data, local e destinatário. Esse momento foi de suma importância para compartilharmos nossas experiências com esse gênero, sendo remetente ou destinatário. Foi possível abordar que, com o avanço da tecnologia, o convite, antes enviado de maneira física, hoje se tornou popularmente utilizado como foto ou documento através das redes sociais. Todos os alunos presentes na aula refletiram sobre o fato de não se lembrarem de ter recebido algum tipo de convite físico até hoje. A partir desse levantamento, foi construído um modelo de convite no quadro com inspiração nos convites de festas enviados no início dos anos 2000. </w:t>
      </w:r>
    </w:p>
    <w:p w:rsidR="00000000" w:rsidDel="00000000" w:rsidP="00000000" w:rsidRDefault="00000000" w:rsidRPr="00000000" w14:paraId="00000026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3 -  Explicação e Modelo  de convite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3143250</wp:posOffset>
            </wp:positionH>
            <wp:positionV relativeFrom="paragraph">
              <wp:posOffset>285750</wp:posOffset>
            </wp:positionV>
            <wp:extent cx="2598833" cy="1609725"/>
            <wp:effectExtent b="0" l="0" r="0" t="0"/>
            <wp:wrapSquare wrapText="bothSides" distB="114300" distT="114300" distL="114300" distR="114300"/>
            <wp:docPr id="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1351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8833" cy="1609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552450</wp:posOffset>
            </wp:positionH>
            <wp:positionV relativeFrom="paragraph">
              <wp:posOffset>283988</wp:posOffset>
            </wp:positionV>
            <wp:extent cx="2428875" cy="1609495"/>
            <wp:effectExtent b="0" l="0" r="0" t="0"/>
            <wp:wrapTopAndBottom distB="114300" distT="114300"/>
            <wp:docPr id="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b="0" l="0" r="0" t="12028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094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 Fonte: Acervo Pessoal (2025)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</w:t>
      </w:r>
    </w:p>
    <w:p w:rsidR="00000000" w:rsidDel="00000000" w:rsidP="00000000" w:rsidRDefault="00000000" w:rsidRPr="00000000" w14:paraId="00000028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Em seguida, os alunos, organizados em duplas, receberam materiais para produzir seus próprios convites, livres para escolher o tipo de festa a ser realizada. As duplas elaboraram seus textos com o acompanhamento, que auxiliaram quando necessário, sendo enriquecedoras as trocas e conversas para confeccionar os convites.</w:t>
      </w:r>
    </w:p>
    <w:p w:rsidR="00000000" w:rsidDel="00000000" w:rsidP="00000000" w:rsidRDefault="00000000" w:rsidRPr="00000000" w14:paraId="00000029">
      <w:pPr>
        <w:widowControl w:val="1"/>
        <w:spacing w:after="240" w:before="240" w:lineRule="auto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4 - Alunos produzindo os convites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2876550</wp:posOffset>
            </wp:positionH>
            <wp:positionV relativeFrom="paragraph">
              <wp:posOffset>323850</wp:posOffset>
            </wp:positionV>
            <wp:extent cx="1581150" cy="2052721"/>
            <wp:effectExtent b="0" l="0" r="0" t="0"/>
            <wp:wrapSquare wrapText="bothSides" distB="114300" distT="114300" distL="114300" distR="114300"/>
            <wp:docPr id="1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05272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1133475</wp:posOffset>
            </wp:positionH>
            <wp:positionV relativeFrom="paragraph">
              <wp:posOffset>333375</wp:posOffset>
            </wp:positionV>
            <wp:extent cx="1581150" cy="2052721"/>
            <wp:effectExtent b="0" l="0" r="0" t="0"/>
            <wp:wrapSquare wrapText="bothSides" distB="114300" distT="114300" distL="114300" distR="114300"/>
            <wp:docPr id="12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05272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widowControl w:val="1"/>
        <w:spacing w:after="240" w:befor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</w:t>
      </w:r>
    </w:p>
    <w:p w:rsidR="00000000" w:rsidDel="00000000" w:rsidP="00000000" w:rsidRDefault="00000000" w:rsidRPr="00000000" w14:paraId="0000002B">
      <w:pPr>
        <w:widowControl w:val="1"/>
        <w:spacing w:after="240" w:befor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1"/>
        <w:spacing w:after="240" w:befor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1"/>
        <w:spacing w:after="240" w:before="24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1"/>
        <w:spacing w:after="240" w:before="240" w:lineRule="auto"/>
        <w:ind w:firstLine="708.6614173228347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1"/>
        <w:spacing w:after="240" w:before="240" w:lineRule="auto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1"/>
        <w:spacing w:after="240" w:before="24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Por fim, houve um momento de socialização: cada dupla apresentou a festa escolhida e leu seu convite para a turma. Os convites foram expostos na sala, encerrando a atividade de forma participativa e criativa.</w:t>
      </w:r>
    </w:p>
    <w:p w:rsidR="00000000" w:rsidDel="00000000" w:rsidP="00000000" w:rsidRDefault="00000000" w:rsidRPr="00000000" w14:paraId="00000033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5 - Convite de uma das alunas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1876425</wp:posOffset>
            </wp:positionH>
            <wp:positionV relativeFrom="paragraph">
              <wp:posOffset>278197</wp:posOffset>
            </wp:positionV>
            <wp:extent cx="1885950" cy="2057400"/>
            <wp:effectExtent b="0" l="0" r="0" t="0"/>
            <wp:wrapTopAndBottom distB="114300" distT="114300"/>
            <wp:docPr id="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6"/>
                    <a:srcRect b="0" l="0" r="0" t="19972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057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4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(2025).</w:t>
      </w:r>
    </w:p>
    <w:p w:rsidR="00000000" w:rsidDel="00000000" w:rsidP="00000000" w:rsidRDefault="00000000" w:rsidRPr="00000000" w14:paraId="00000035">
      <w:pPr>
        <w:widowControl w:val="1"/>
        <w:spacing w:after="240" w:before="240" w:line="36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3.2 Segunda sequência: Explorando a leitura</w:t>
      </w:r>
    </w:p>
    <w:p w:rsidR="00000000" w:rsidDel="00000000" w:rsidP="00000000" w:rsidRDefault="00000000" w:rsidRPr="00000000" w14:paraId="00000036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Para esta sequência, o livro base escolhido foi 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A Casa Sonolenta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de Audrey Wood. Trata-se de uma obra com uma história em sequência de uma casa onde todos dormiam, que estimula a imaginação das crianças e apresenta predominância de palavras semelhantes e rimas, algo que havia sido observado e identificado como dificuldade da turma. Dessa forma, buscamos desenvolver, de maneira interativa, a leitura dessa história junto aos alunos. A sequência foi estruturada em três momentos.</w:t>
      </w:r>
    </w:p>
    <w:p w:rsidR="00000000" w:rsidDel="00000000" w:rsidP="00000000" w:rsidRDefault="00000000" w:rsidRPr="00000000" w14:paraId="00000037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No primeiro momento, foi realizada a leitura do livro. Utilizamos o projetor para exibi-lo no quadro, possibilitando a visualização por todos os alunos. Reconhecemos a importância do livro físico nesses momentos; no entanto, como não tivemos acesso a ele, a alternativa mais viável foi apresentá-lo dessa forma. Foram feitas perguntas antes, durante e após a leitura, buscando conhecer as expectativas dos alunos em relação ao livro, refletir sobre seu conteúdo e estimular a imaginação quanto aos acontecimentos da história.</w:t>
      </w:r>
    </w:p>
    <w:p w:rsidR="00000000" w:rsidDel="00000000" w:rsidP="00000000" w:rsidRDefault="00000000" w:rsidRPr="00000000" w14:paraId="00000038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6 - Momento da leitura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3390900</wp:posOffset>
            </wp:positionH>
            <wp:positionV relativeFrom="paragraph">
              <wp:posOffset>304800</wp:posOffset>
            </wp:positionV>
            <wp:extent cx="1941475" cy="2133600"/>
            <wp:effectExtent b="0" l="0" r="0" t="0"/>
            <wp:wrapTopAndBottom distB="114300" distT="11430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 b="0" l="0" r="0" t="5734"/>
                    <a:stretch>
                      <a:fillRect/>
                    </a:stretch>
                  </pic:blipFill>
                  <pic:spPr>
                    <a:xfrm>
                      <a:off x="0" y="0"/>
                      <a:ext cx="1941475" cy="2133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466725</wp:posOffset>
            </wp:positionH>
            <wp:positionV relativeFrom="paragraph">
              <wp:posOffset>304800</wp:posOffset>
            </wp:positionV>
            <wp:extent cx="2839537" cy="2129653"/>
            <wp:effectExtent b="0" l="0" r="0" t="0"/>
            <wp:wrapTopAndBottom distB="114300" distT="114300"/>
            <wp:docPr id="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9537" cy="21296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No segundo momento, houve um diálogo sobre os aspectos observados pelos alunos no livro, destacando as rimas predominantes na narrativa. Retomou-se a leitura com foco nesse aspecto, estimulando os alunos não apenas a identificar as palavras que rimavam no texto, mas também a pensar em outras palavras que não constavam na história. Esse momento foi utilizado para analisar a estrutura das palavras e compreender por que algumas rimavam entre si.</w:t>
      </w:r>
    </w:p>
    <w:p w:rsidR="00000000" w:rsidDel="00000000" w:rsidP="00000000" w:rsidRDefault="00000000" w:rsidRPr="00000000" w14:paraId="0000003B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Por fim, o terceiro momento consistiu na realização da Trilha da Leitura, uma atividade semelhante a um jogo de tabuleiro, na qual o jogador lança um dado e avança de acordo com o número obtido, explorando de forma lúdica os conteúdos trabalhados durante a leitura.</w:t>
      </w:r>
    </w:p>
    <w:p w:rsidR="00000000" w:rsidDel="00000000" w:rsidP="00000000" w:rsidRDefault="00000000" w:rsidRPr="00000000" w14:paraId="0000003C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7 - Disposição da trilha na sala de aula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1905000</wp:posOffset>
            </wp:positionH>
            <wp:positionV relativeFrom="paragraph">
              <wp:posOffset>342900</wp:posOffset>
            </wp:positionV>
            <wp:extent cx="1889195" cy="2515613"/>
            <wp:effectExtent b="0" l="0" r="0" t="0"/>
            <wp:wrapTopAndBottom distB="114300" distT="11430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9195" cy="25156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widowControl w:val="1"/>
        <w:spacing w:after="240" w:before="240" w:line="36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Para fazer a trilha, utilizamos frases retiradas do livro, impressas e plastificadas coladas sobre o EVA, que representava uma “casinha”, utilizamos 3 cores diferentes, a verde consistia em frases para a leitura, a azul eram pequenos desafios, como por exemplo: pense em uma palavra que rima com roncava, e na rosa estavam comandos surpresas, como por exemplo: você ficou sonolento, volte 2 casas. Isso possibilitou que a atividade ficasse mais divertida e interativa conforme eles avançavam as “casas”.</w:t>
      </w:r>
    </w:p>
    <w:p w:rsidR="00000000" w:rsidDel="00000000" w:rsidP="00000000" w:rsidRDefault="00000000" w:rsidRPr="00000000" w14:paraId="0000003F">
      <w:pPr>
        <w:widowControl w:val="1"/>
        <w:spacing w:after="240" w:before="240" w:line="36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Para a realização da atividade, a sala foi organizada em duplas, a fim de otimizar o tempo e estimular a participação conjunta, considerando que se trata de uma turma heterogênea, na qual nem todos os estudantes apresentam o mesmo nível de leitura. Trabalhar em dupla permitiu que os alunos se auxiliassem durante a atividade. Levamos tampinhas de garrafa para servir de marcador, mas cada dupla ficou livre para escolher um objeto e marcar suas posições na trilha, já que não havia espaço para que todos ficassem em pé simultaneamente sobre as “casas”. Em seguida, o jogo foi iniciado. As duplas lançavam o dado e avançavam de acordo com o número obtido; ao parar em determinada casa, realizavam a leitura e cumpriam o comando correspondente. Depois, era a vez da próxima dupla jogar. Venceram as três duplas que chegaram primeiro ao final do tabuleiro.</w:t>
      </w:r>
    </w:p>
    <w:p w:rsidR="00000000" w:rsidDel="00000000" w:rsidP="00000000" w:rsidRDefault="00000000" w:rsidRPr="00000000" w14:paraId="00000040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Figura 8 - Os alunos participando da atividade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1225994</wp:posOffset>
            </wp:positionH>
            <wp:positionV relativeFrom="paragraph">
              <wp:posOffset>295275</wp:posOffset>
            </wp:positionV>
            <wp:extent cx="1698181" cy="2264242"/>
            <wp:effectExtent b="0" l="0" r="0" t="0"/>
            <wp:wrapTopAndBottom distB="114300" distT="11430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8181" cy="22642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2981325</wp:posOffset>
            </wp:positionH>
            <wp:positionV relativeFrom="paragraph">
              <wp:posOffset>285750</wp:posOffset>
            </wp:positionV>
            <wp:extent cx="1695450" cy="2270344"/>
            <wp:effectExtent b="0" l="0" r="0" t="0"/>
            <wp:wrapTopAndBottom distB="114300" distT="11430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27034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1">
      <w:pPr>
        <w:widowControl w:val="1"/>
        <w:spacing w:after="240" w:before="240" w:line="360" w:lineRule="auto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Fonte: Acervo Pessoal (2025).</w:t>
      </w:r>
    </w:p>
    <w:p w:rsidR="00000000" w:rsidDel="00000000" w:rsidP="00000000" w:rsidRDefault="00000000" w:rsidRPr="00000000" w14:paraId="00000042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Durante a atividade foi possível perceber o engajamento dos alunos para realizar e participar da proposta apresentada, com muito entusiasmo foi realizado tudo que foi proposto, construindo uma aprendizagem significativa, interpretação e construção de sentidos.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widowControl w:val="1"/>
        <w:spacing w:after="240" w:before="240" w:line="360" w:lineRule="auto"/>
        <w:jc w:val="left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widowControl w:val="1"/>
        <w:spacing w:after="240" w:before="240" w:line="36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4. Considerações finais</w:t>
      </w:r>
    </w:p>
    <w:p w:rsidR="00000000" w:rsidDel="00000000" w:rsidP="00000000" w:rsidRDefault="00000000" w:rsidRPr="00000000" w14:paraId="00000045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As atividades desenvolvidas nas duas sequências didáticas evidenciam avanços importantes na produção de texto e na leitura. Na sequência de produção textual, os alunos compreenderam a estrutura do gênero “convite”, refletindo sobre informações essenciais como destinatário, data e local e, também, as mudanças ocorridas ao longo do tempo com o advento das novas tecnologias. A organização em duplas favoreceu a interação, a troca de ideias e a construção coletiva, e a socialização dos convites estimulou a expressão oral e a autoestima.</w:t>
      </w:r>
    </w:p>
    <w:p w:rsidR="00000000" w:rsidDel="00000000" w:rsidP="00000000" w:rsidRDefault="00000000" w:rsidRPr="00000000" w14:paraId="00000046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 sequência de leitura, a obra A Casa Sonolenta permitiu trabalhar palavras semelhantes e rimas, previamente identificadas como dificuldade da turma. A leitura coletiva, os diálogos sobre o texto e a Trilha da Leitura proporcionaram exploração lúdica e significativa do conteúdo. O formato em duplas e os elementos de jogo favoreceram a participação, o engajamento e a colaboração entre os alunos.</w:t>
      </w:r>
    </w:p>
    <w:p w:rsidR="00000000" w:rsidDel="00000000" w:rsidP="00000000" w:rsidRDefault="00000000" w:rsidRPr="00000000" w14:paraId="00000047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Os ajustes foram realizados conforme as características e necessidades da turma, respeitando a intencionalidade pedagógica. Dessa forma, as atividades se tornaram significativas e acessíveis, promovendo aprendizagem participativa e prazerosa.</w:t>
      </w:r>
    </w:p>
    <w:p w:rsidR="00000000" w:rsidDel="00000000" w:rsidP="00000000" w:rsidRDefault="00000000" w:rsidRPr="00000000" w14:paraId="00000048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Em síntese, os objetivos das sequências foram alcançados: os estudantes participaram ativamente, desenvolveram habilidades de leitura e produção textual e vivenciaram práticas lúdicas e interativas. Além disso, os resultados demonstram que, mesmo com recursos simples, é possível construir atividades envolventes e eficazes para o aprendizado.</w:t>
      </w:r>
    </w:p>
    <w:p w:rsidR="00000000" w:rsidDel="00000000" w:rsidP="00000000" w:rsidRDefault="00000000" w:rsidRPr="00000000" w14:paraId="00000049">
      <w:pPr>
        <w:widowControl w:val="1"/>
        <w:spacing w:after="240" w:before="240" w:line="360" w:lineRule="auto"/>
        <w:ind w:firstLine="708.6614173228347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widowControl w:val="1"/>
        <w:spacing w:after="240" w:before="240" w:line="276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Referências</w:t>
      </w:r>
    </w:p>
    <w:p w:rsidR="00000000" w:rsidDel="00000000" w:rsidP="00000000" w:rsidRDefault="00000000" w:rsidRPr="00000000" w14:paraId="0000004B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BRASIL.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Base Nacional Comum Curricular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 Brasília: MEC, 2018.</w:t>
      </w:r>
    </w:p>
    <w:p w:rsidR="00000000" w:rsidDel="00000000" w:rsidP="00000000" w:rsidRDefault="00000000" w:rsidRPr="00000000" w14:paraId="0000004D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GONÇALVES, S. N.; NÖRNBERG, M.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Um currículo para as infâncias: o brincar nos Anos Iniciais do Ensino Fundamental.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In: BRASIL. Ministério da Educação. Ensino da língua portuguesa na perspectiva da heterogeneidade: percurso formativo do 3º ao 5º ano: Fascículo 1 do/a professor/a: currículo e prática docente na perspectiva do letramento. Teresina. CEAD, 2025. p. 36-45.</w:t>
      </w:r>
    </w:p>
    <w:p w:rsidR="00000000" w:rsidDel="00000000" w:rsidP="00000000" w:rsidRDefault="00000000" w:rsidRPr="00000000" w14:paraId="0000004F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LEAL, T.; CRUZ, M; ALBUQUERQUE, E.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Heterogeneidade e direitos de aprendizagem na alfabtização: os diferentes percursos dos estudantes.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In: BRASIL. Ministério da Educação. Secretaria de Educação Básica. Diretoria de Apoio à Gestão Educacional. Pacto nacional pela alfabetização na idade certa: alfabetização para todos: diferentes percursos, direitos iguais: ano 01, unidade 07. Brasília: MEC, SEB, 2012. p. 6-13.</w:t>
      </w:r>
    </w:p>
    <w:p w:rsidR="00000000" w:rsidDel="00000000" w:rsidP="00000000" w:rsidRDefault="00000000" w:rsidRPr="00000000" w14:paraId="00000051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widowControl w:val="1"/>
        <w:spacing w:after="240" w:befor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LIBÂNEO, J. C.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Organização e gestão escolar: teoria e prática.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4. ed. Goiânia: Editora alternativa, 1994.</w:t>
      </w:r>
    </w:p>
    <w:p w:rsidR="00000000" w:rsidDel="00000000" w:rsidP="00000000" w:rsidRDefault="00000000" w:rsidRPr="00000000" w14:paraId="00000053">
      <w:pPr>
        <w:widowControl w:val="1"/>
        <w:spacing w:after="240" w:before="24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widowControl w:val="1"/>
        <w:spacing w:after="240" w:before="24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widowControl w:val="1"/>
        <w:spacing w:after="240" w:before="24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before="3" w:lineRule="auto"/>
        <w:ind w:left="-566.9291338582675" w:right="1338" w:firstLine="0"/>
        <w:jc w:val="center"/>
        <w:rPr>
          <w:rFonts w:ascii="Arial" w:cs="Arial" w:eastAsia="Arial" w:hAnsi="Arial"/>
          <w:sz w:val="17"/>
          <w:szCs w:val="17"/>
        </w:rPr>
      </w:pPr>
      <w:r w:rsidDel="00000000" w:rsidR="00000000" w:rsidRPr="00000000">
        <w:rPr>
          <w:rtl w:val="0"/>
        </w:rPr>
      </w:r>
    </w:p>
    <w:sectPr>
      <w:headerReference r:id="rId22" w:type="default"/>
      <w:pgSz w:h="16840" w:w="11900" w:orient="portrait"/>
      <w:pgMar w:bottom="1133.8582677165355" w:top="1700.7874015748032" w:left="1700.7874015748032" w:right="1133.8582677165355" w:header="0" w:footer="36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  <w:font w:name="Georgia"/>
  <w:font w:name="Arial"/>
</w:fonts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otnote w:id="0">
    <w:p w:rsidR="00000000" w:rsidDel="00000000" w:rsidP="00000000" w:rsidRDefault="00000000" w:rsidRPr="00000000" w14:paraId="0000005E">
      <w:pPr>
        <w:widowControl w:val="1"/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Estudante da Universidade Federal de Pernambuco (UFPE). E-mail: leticia.pereirat@ufpe.br</w:t>
      </w:r>
      <w:r w:rsidDel="00000000" w:rsidR="00000000" w:rsidRPr="00000000">
        <w:rPr>
          <w:rtl w:val="0"/>
        </w:rPr>
      </w:r>
    </w:p>
  </w:footnote>
  <w:footnote w:id="1">
    <w:p w:rsidR="00000000" w:rsidDel="00000000" w:rsidP="00000000" w:rsidRDefault="00000000" w:rsidRPr="00000000" w14:paraId="0000005F">
      <w:pPr>
        <w:widowControl w:val="1"/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Estudante da Universidade Federal de Pernambuco (UFPE). E-mail: natyely.patryne@ufpe.br</w:t>
      </w:r>
      <w:r w:rsidDel="00000000" w:rsidR="00000000" w:rsidRPr="00000000">
        <w:rPr>
          <w:rtl w:val="0"/>
        </w:rPr>
      </w:r>
    </w:p>
  </w:footnote>
  <w:footnote w:id="2">
    <w:p w:rsidR="00000000" w:rsidDel="00000000" w:rsidP="00000000" w:rsidRDefault="00000000" w:rsidRPr="00000000" w14:paraId="00000060">
      <w:pPr>
        <w:widowControl w:val="1"/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Estudante da Universidade Federal de Pernambuco (UFPE). E-mail: mariaizadora.luna@ufpe.br</w:t>
      </w:r>
      <w:r w:rsidDel="00000000" w:rsidR="00000000" w:rsidRPr="00000000">
        <w:rPr>
          <w:rtl w:val="0"/>
        </w:rPr>
      </w:r>
    </w:p>
  </w:footnote>
  <w:footnote w:id="3">
    <w:p w:rsidR="00000000" w:rsidDel="00000000" w:rsidP="00000000" w:rsidRDefault="00000000" w:rsidRPr="00000000" w14:paraId="00000061">
      <w:pPr>
        <w:widowControl w:val="1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Professora da rede municipal de ensino do Recife e supervisora do PIBID. E-mail: cristiana.amaral@ufpe.br</w:t>
      </w:r>
      <w:r w:rsidDel="00000000" w:rsidR="00000000" w:rsidRPr="00000000">
        <w:rPr>
          <w:rtl w:val="0"/>
        </w:rPr>
      </w:r>
    </w:p>
  </w:footnote>
  <w:footnote w:id="4">
    <w:p w:rsidR="00000000" w:rsidDel="00000000" w:rsidP="00000000" w:rsidRDefault="00000000" w:rsidRPr="00000000" w14:paraId="00000062">
      <w:pPr>
        <w:widowControl w:val="1"/>
        <w:jc w:val="both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Coordenadora do Núcleo de Alfabetização do PIBID e Professora da Universidade Federal de Pernambuco (UFPE). E-mail: andreabritopibid.ce@ufpe</w:t>
      </w:r>
      <w:r w:rsidDel="00000000" w:rsidR="00000000" w:rsidRPr="00000000">
        <w:rPr>
          <w:rtl w:val="0"/>
        </w:rPr>
      </w:r>
    </w:p>
  </w:footnote>
</w:footnote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7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8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9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A">
    <w:pPr>
      <w:spacing w:before="3" w:lineRule="auto"/>
      <w:ind w:left="-566.9291338582675" w:right="1338" w:firstLine="0"/>
      <w:jc w:val="center"/>
      <w:rPr>
        <w:rFonts w:ascii="Arial" w:cs="Arial" w:eastAsia="Arial" w:hAnsi="Arial"/>
        <w:sz w:val="17"/>
        <w:szCs w:val="17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B">
    <w:pPr>
      <w:ind w:left="-850.3937007874015" w:firstLine="0"/>
      <w:jc w:val="both"/>
      <w:rPr/>
    </w:pPr>
    <w:r w:rsidDel="00000000" w:rsidR="00000000" w:rsidRPr="00000000">
      <w:rPr/>
      <w:drawing>
        <wp:inline distB="114300" distT="114300" distL="114300" distR="114300">
          <wp:extent cx="5829300" cy="1962150"/>
          <wp:effectExtent b="0" l="0" r="0" t="0"/>
          <wp:docPr id="7" name="image7.png"/>
          <a:graphic>
            <a:graphicData uri="http://schemas.openxmlformats.org/drawingml/2006/picture">
              <pic:pic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829300" cy="196215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C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D">
    <w:pPr>
      <w:rPr/>
    </w:pPr>
    <w:r w:rsidDel="00000000" w:rsidR="00000000" w:rsidRPr="00000000">
      <w:rPr/>
      <w:pict>
        <v:shape id="WordPictureWatermark1" style="position:absolute;width:478.5pt;height:651.331968503937pt;rotation:0;z-index:-503316481;mso-position-horizontal-relative:margin;mso-position-horizontal:absolute;margin-left:-27.62496062992126pt;mso-position-vertical-relative:margin;mso-position-vertical:absolute;margin-top:21.41795275590551pt;" alt="" type="#_x0000_t75">
          <v:imagedata blacklevel="22938f" cropbottom="0f" cropleft="0f" cropright="0f" croptop="0f" gain="19661f" r:id="rId2" o:title="image15.png"/>
        </v:shape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"/>
      </w:rPr>
    </w:rPrDefault>
    <w:pPrDefault>
      <w:pPr>
        <w:widowControl w:val="0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before="4" w:lineRule="auto"/>
    </w:pPr>
    <w:rPr>
      <w:rFonts w:ascii="Times New Roman" w:cs="Times New Roman" w:eastAsia="Times New Roman" w:hAnsi="Times New Roman"/>
    </w:rPr>
  </w:style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11" Type="http://schemas.openxmlformats.org/officeDocument/2006/relationships/image" Target="media/image6.jpg"/><Relationship Id="rId22" Type="http://schemas.openxmlformats.org/officeDocument/2006/relationships/header" Target="header1.xml"/><Relationship Id="rId10" Type="http://schemas.openxmlformats.org/officeDocument/2006/relationships/hyperlink" Target="https://images-na.ssl-images-amazon.com/images/I/A1IYhYpmW%2BL.jpg" TargetMode="External"/><Relationship Id="rId21" Type="http://schemas.openxmlformats.org/officeDocument/2006/relationships/image" Target="media/image10.png"/><Relationship Id="rId13" Type="http://schemas.openxmlformats.org/officeDocument/2006/relationships/image" Target="media/image2.jpg"/><Relationship Id="rId12" Type="http://schemas.openxmlformats.org/officeDocument/2006/relationships/image" Target="media/image3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8.jpg"/><Relationship Id="rId15" Type="http://schemas.openxmlformats.org/officeDocument/2006/relationships/image" Target="media/image4.jpg"/><Relationship Id="rId14" Type="http://schemas.openxmlformats.org/officeDocument/2006/relationships/image" Target="media/image1.jpg"/><Relationship Id="rId17" Type="http://schemas.openxmlformats.org/officeDocument/2006/relationships/image" Target="media/image9.png"/><Relationship Id="rId16" Type="http://schemas.openxmlformats.org/officeDocument/2006/relationships/image" Target="media/image5.jpg"/><Relationship Id="rId5" Type="http://schemas.openxmlformats.org/officeDocument/2006/relationships/numbering" Target="numbering.xml"/><Relationship Id="rId19" Type="http://schemas.openxmlformats.org/officeDocument/2006/relationships/image" Target="media/image14.png"/><Relationship Id="rId6" Type="http://schemas.openxmlformats.org/officeDocument/2006/relationships/styles" Target="styles.xml"/><Relationship Id="rId18" Type="http://schemas.openxmlformats.org/officeDocument/2006/relationships/image" Target="media/image13.png"/><Relationship Id="rId7" Type="http://schemas.openxmlformats.org/officeDocument/2006/relationships/customXml" Target="../customXML/item1.xml"/><Relationship Id="rId8" Type="http://schemas.openxmlformats.org/officeDocument/2006/relationships/image" Target="media/image1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Pu1aO5FhYLuGUm/9u+9nrlK+7Q==">CgMxLjA4AHIhMUs3dHUwWmlqUF91NFJienpVYjEtV09EeklVdTZuU1dS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