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04BE" w14:textId="011D93DB" w:rsidR="002F4395" w:rsidRPr="00E33F95" w:rsidRDefault="0042047E" w:rsidP="002F4395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 xml:space="preserve">DISENTANGLING </w:t>
      </w:r>
      <w:r w:rsidR="00E53DAC">
        <w:rPr>
          <w:rFonts w:ascii="Times New Roman" w:hAnsi="Times New Roman"/>
          <w:b/>
          <w:sz w:val="28"/>
          <w:szCs w:val="24"/>
          <w:lang w:val="en-US"/>
        </w:rPr>
        <w:t xml:space="preserve">THE 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EVOLUTION OF CLIMATIC PREFERENCE IN </w:t>
      </w:r>
      <w:r w:rsidRPr="0042047E">
        <w:rPr>
          <w:rFonts w:ascii="Times New Roman" w:hAnsi="Times New Roman"/>
          <w:b/>
          <w:i/>
          <w:sz w:val="28"/>
          <w:szCs w:val="24"/>
          <w:lang w:val="en-US"/>
        </w:rPr>
        <w:t>TREBOUXIA</w:t>
      </w:r>
    </w:p>
    <w:p w14:paraId="4B3CCE48" w14:textId="22186467" w:rsidR="002F4395" w:rsidRPr="00E33F95" w:rsidRDefault="00F016AD" w:rsidP="002F4395">
      <w:pPr>
        <w:spacing w:after="12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Matthew P. Nelsen</w:t>
      </w:r>
      <w:r w:rsidR="002F4395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41562C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*</w:t>
      </w:r>
      <w:r w:rsidR="002F4395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42047E">
        <w:rPr>
          <w:rFonts w:ascii="Times New Roman" w:hAnsi="Times New Roman"/>
          <w:sz w:val="24"/>
          <w:szCs w:val="24"/>
          <w:lang w:val="en-US"/>
        </w:rPr>
        <w:t>Steven D. Leavitt</w:t>
      </w:r>
      <w:r w:rsidR="002F4395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2F4395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42047E">
        <w:rPr>
          <w:rFonts w:ascii="Times New Roman" w:hAnsi="Times New Roman"/>
          <w:sz w:val="24"/>
          <w:szCs w:val="24"/>
          <w:lang w:val="en-US"/>
        </w:rPr>
        <w:t>Kat</w:t>
      </w:r>
      <w:r w:rsidR="003A64C5">
        <w:rPr>
          <w:rFonts w:ascii="Times New Roman" w:hAnsi="Times New Roman"/>
          <w:sz w:val="24"/>
          <w:szCs w:val="24"/>
          <w:lang w:val="en-US"/>
        </w:rPr>
        <w:t>hleen</w:t>
      </w:r>
      <w:bookmarkStart w:id="0" w:name="_GoBack"/>
      <w:bookmarkEnd w:id="0"/>
      <w:r w:rsidR="0042047E">
        <w:rPr>
          <w:rFonts w:ascii="Times New Roman" w:hAnsi="Times New Roman"/>
          <w:sz w:val="24"/>
          <w:szCs w:val="24"/>
          <w:lang w:val="en-US"/>
        </w:rPr>
        <w:t xml:space="preserve"> Heller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="002F4395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42047E">
        <w:rPr>
          <w:rFonts w:ascii="Times New Roman" w:hAnsi="Times New Roman"/>
          <w:sz w:val="24"/>
          <w:szCs w:val="24"/>
          <w:lang w:val="en-US"/>
        </w:rPr>
        <w:t>Lucia Muggia</w:t>
      </w:r>
      <w:r w:rsidR="0042047E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="002F4395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H. Thorsten Lumbsch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14:paraId="76C27127" w14:textId="26291B8F" w:rsidR="002F4395" w:rsidRPr="00E33F95" w:rsidRDefault="002F4395" w:rsidP="00F016AD">
      <w:pPr>
        <w:contextualSpacing/>
        <w:outlineLvl w:val="0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</w:pPr>
      <w:r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r w:rsidR="00F016A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The Field Museum of Natural History</w:t>
      </w:r>
      <w:r w:rsidR="00BD2764"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F016A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USA</w:t>
      </w:r>
      <w:r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42047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Brigham Young University</w:t>
      </w:r>
      <w:r w:rsidR="00E74D8F"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F016A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USA</w:t>
      </w:r>
      <w:r w:rsidRPr="00E33F9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; </w:t>
      </w:r>
      <w:r w:rsidRPr="00E33F9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vertAlign w:val="superscript"/>
          <w:lang w:val="en-US"/>
        </w:rPr>
        <w:t>3</w:t>
      </w:r>
      <w:r w:rsidR="0042047E">
        <w:rPr>
          <w:rFonts w:ascii="Times New Roman" w:hAnsi="Times New Roman" w:cs="Times New Roman"/>
          <w:sz w:val="24"/>
          <w:szCs w:val="24"/>
          <w:lang w:val="de-DE"/>
        </w:rPr>
        <w:t xml:space="preserve">University </w:t>
      </w:r>
      <w:proofErr w:type="spellStart"/>
      <w:r w:rsidR="0042047E"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="0042047E">
        <w:rPr>
          <w:rFonts w:ascii="Times New Roman" w:hAnsi="Times New Roman" w:cs="Times New Roman"/>
          <w:sz w:val="24"/>
          <w:szCs w:val="24"/>
          <w:lang w:val="de-DE"/>
        </w:rPr>
        <w:t xml:space="preserve"> Chicago</w:t>
      </w:r>
      <w:r w:rsidR="00E74D8F"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42047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USA</w:t>
      </w:r>
      <w:r w:rsidR="0041562C"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;</w:t>
      </w:r>
      <w:r w:rsidR="0042047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42047E" w:rsidRPr="0042047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4</w:t>
      </w:r>
      <w:r w:rsidR="0042047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University of Trieste, Italy;</w:t>
      </w:r>
      <w:r w:rsidR="0041562C"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* </w:t>
      </w:r>
      <w:r w:rsidR="0041562C"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E-mail: </w:t>
      </w:r>
      <w:r w:rsidR="00F016AD">
        <w:rPr>
          <w:rFonts w:ascii="Times New Roman" w:hAnsi="Times New Roman"/>
          <w:color w:val="000000" w:themeColor="text1"/>
          <w:sz w:val="24"/>
          <w:szCs w:val="24"/>
          <w:lang w:val="en-US"/>
        </w:rPr>
        <w:t>mpnelsen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>@</w:t>
      </w:r>
      <w:r w:rsidR="00F016AD">
        <w:rPr>
          <w:rFonts w:ascii="Times New Roman" w:hAnsi="Times New Roman"/>
          <w:color w:val="000000" w:themeColor="text1"/>
          <w:sz w:val="24"/>
          <w:szCs w:val="24"/>
          <w:lang w:val="en-US"/>
        </w:rPr>
        <w:t>gmail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>.com</w:t>
      </w:r>
    </w:p>
    <w:p w14:paraId="0D1E7E9D" w14:textId="77777777" w:rsidR="00F016AD" w:rsidRDefault="00F016AD" w:rsidP="00F016AD">
      <w:pPr>
        <w:spacing w:line="276" w:lineRule="auto"/>
        <w:contextualSpacing/>
        <w:rPr>
          <w:rFonts w:ascii="Times New Roman" w:hAnsi="Times New Roman" w:cs="Times New Roman"/>
        </w:rPr>
      </w:pPr>
    </w:p>
    <w:p w14:paraId="1348DDA8" w14:textId="402AFB02" w:rsidR="00260A60" w:rsidRPr="0042047E" w:rsidRDefault="0042047E" w:rsidP="0042047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047E">
        <w:rPr>
          <w:rFonts w:ascii="Times New Roman" w:hAnsi="Times New Roman" w:cs="Times New Roman"/>
          <w:i/>
          <w:sz w:val="24"/>
          <w:szCs w:val="24"/>
        </w:rPr>
        <w:t>Trebouxia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abundant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best-studied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lichen-associated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accumulated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20+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16AD" w:rsidRPr="00F016AD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="00F016AD"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6AD" w:rsidRPr="00F016A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016AD"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summarized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47E">
        <w:rPr>
          <w:rFonts w:ascii="Times New Roman" w:hAnsi="Times New Roman" w:cs="Times New Roman"/>
          <w:i/>
          <w:sz w:val="24"/>
          <w:szCs w:val="24"/>
        </w:rPr>
        <w:t>Trebouxia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47E">
        <w:rPr>
          <w:rFonts w:ascii="Times New Roman" w:hAnsi="Times New Roman" w:cs="Times New Roman"/>
          <w:i/>
          <w:sz w:val="24"/>
          <w:szCs w:val="24"/>
        </w:rPr>
        <w:t>Trebouxia</w:t>
      </w:r>
      <w:r>
        <w:rPr>
          <w:rFonts w:ascii="Times New Roman" w:hAnsi="Times New Roman" w:cs="Times New Roman"/>
          <w:sz w:val="24"/>
          <w:szCs w:val="24"/>
        </w:rPr>
        <w:t xml:space="preserve"> in a temporal framework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occupation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regimes,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paleoecological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mycobiont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strengths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path </w:t>
      </w:r>
      <w:proofErr w:type="spellStart"/>
      <w:r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60A60" w:rsidRPr="0042047E" w:rsidSect="00E3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C0216"/>
    <w:rsid w:val="000F146E"/>
    <w:rsid w:val="00200EAE"/>
    <w:rsid w:val="00215F6C"/>
    <w:rsid w:val="00226CB5"/>
    <w:rsid w:val="002416A1"/>
    <w:rsid w:val="00260A60"/>
    <w:rsid w:val="002F4395"/>
    <w:rsid w:val="003A64C5"/>
    <w:rsid w:val="0041562C"/>
    <w:rsid w:val="0042047E"/>
    <w:rsid w:val="0062477E"/>
    <w:rsid w:val="006C6BAE"/>
    <w:rsid w:val="00894CF2"/>
    <w:rsid w:val="00B63FA9"/>
    <w:rsid w:val="00BD2764"/>
    <w:rsid w:val="00D22A2A"/>
    <w:rsid w:val="00D33B09"/>
    <w:rsid w:val="00E33F95"/>
    <w:rsid w:val="00E53DAC"/>
    <w:rsid w:val="00E74D8F"/>
    <w:rsid w:val="00E7764D"/>
    <w:rsid w:val="00F016AD"/>
    <w:rsid w:val="00F44110"/>
    <w:rsid w:val="00FB4266"/>
    <w:rsid w:val="00FC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00"/>
  <w15:docId w15:val="{69E52BFF-3A56-4577-BD90-DD4D0FB5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904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Matthew Nelsen</cp:lastModifiedBy>
  <cp:revision>3</cp:revision>
  <dcterms:created xsi:type="dcterms:W3CDTF">2020-01-31T23:04:00Z</dcterms:created>
  <dcterms:modified xsi:type="dcterms:W3CDTF">2020-01-31T23:06:00Z</dcterms:modified>
</cp:coreProperties>
</file>