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BE6BEB" w14:textId="77777777" w:rsidR="005C35A9" w:rsidRDefault="005C35A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0"/>
        <w:jc w:val="left"/>
      </w:pPr>
    </w:p>
    <w:p w14:paraId="783EF48E" w14:textId="77777777" w:rsidR="005C35A9" w:rsidRDefault="005C35A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0"/>
        <w:jc w:val="left"/>
      </w:pPr>
    </w:p>
    <w:p w14:paraId="2238D1CA" w14:textId="77777777" w:rsidR="005C35A9" w:rsidRDefault="005C35A9">
      <w:pPr>
        <w:tabs>
          <w:tab w:val="left" w:pos="5955"/>
        </w:tabs>
        <w:ind w:firstLine="0"/>
      </w:pPr>
    </w:p>
    <w:p w14:paraId="78D502ED" w14:textId="77777777" w:rsidR="005C35A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871"/>
        </w:tabs>
        <w:ind w:left="720" w:hanging="152"/>
        <w:jc w:val="left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ab/>
      </w:r>
    </w:p>
    <w:p w14:paraId="1EDE486B" w14:textId="77777777" w:rsidR="005C35A9" w:rsidRDefault="005C35A9">
      <w:pPr>
        <w:jc w:val="center"/>
        <w:rPr>
          <w:rFonts w:ascii="Arial" w:eastAsia="Arial" w:hAnsi="Arial" w:cs="Arial"/>
          <w:sz w:val="24"/>
          <w:szCs w:val="24"/>
        </w:rPr>
      </w:pPr>
    </w:p>
    <w:p w14:paraId="508CF056" w14:textId="77777777" w:rsidR="005C35A9" w:rsidRDefault="00000000">
      <w:pPr>
        <w:pStyle w:val="Ttulo"/>
      </w:pPr>
      <w:r>
        <w:t>RESUMO EXPANDIDO</w:t>
      </w:r>
    </w:p>
    <w:p w14:paraId="49ECE750" w14:textId="77777777" w:rsidR="005C35A9" w:rsidRDefault="005C35A9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</w:tabs>
        <w:spacing w:line="360" w:lineRule="auto"/>
        <w:ind w:firstLine="709"/>
        <w:rPr>
          <w:rFonts w:ascii="Arial" w:eastAsia="Arial" w:hAnsi="Arial" w:cs="Arial"/>
          <w:color w:val="000000"/>
          <w:sz w:val="24"/>
          <w:szCs w:val="24"/>
        </w:rPr>
      </w:pPr>
    </w:p>
    <w:p w14:paraId="2072BA43" w14:textId="77777777" w:rsidR="005C35A9" w:rsidRDefault="00000000">
      <w:pPr>
        <w:ind w:firstLine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Grupo de Trabalho (GT): GT 8 – Novas Tecnologias na Educação</w:t>
      </w:r>
    </w:p>
    <w:p w14:paraId="6C6059C7" w14:textId="77777777" w:rsidR="005C35A9" w:rsidRDefault="005C35A9">
      <w:pPr>
        <w:rPr>
          <w:rFonts w:ascii="Arial" w:eastAsia="Arial" w:hAnsi="Arial" w:cs="Arial"/>
          <w:sz w:val="24"/>
          <w:szCs w:val="24"/>
        </w:rPr>
      </w:pPr>
    </w:p>
    <w:p w14:paraId="47612566" w14:textId="77777777" w:rsidR="005C35A9" w:rsidRDefault="00000000">
      <w:pPr>
        <w:ind w:firstLine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Modalidade do trabalho: comunicação oral</w:t>
      </w:r>
    </w:p>
    <w:p w14:paraId="74E48880" w14:textId="77777777" w:rsidR="005C35A9" w:rsidRDefault="005C35A9">
      <w:pPr>
        <w:rPr>
          <w:rFonts w:ascii="Arial" w:eastAsia="Arial" w:hAnsi="Arial" w:cs="Arial"/>
          <w:sz w:val="24"/>
          <w:szCs w:val="24"/>
        </w:rPr>
      </w:pPr>
    </w:p>
    <w:p w14:paraId="7E559D84" w14:textId="77777777" w:rsidR="005C35A9" w:rsidRDefault="00000000">
      <w:pPr>
        <w:ind w:firstLine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Formato de apresentação: on-line</w:t>
      </w:r>
    </w:p>
    <w:p w14:paraId="3588DD72" w14:textId="77777777" w:rsidR="005C35A9" w:rsidRDefault="005C35A9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</w:tabs>
        <w:spacing w:line="360" w:lineRule="auto"/>
        <w:ind w:firstLine="709"/>
        <w:rPr>
          <w:rFonts w:ascii="Arial" w:eastAsia="Arial" w:hAnsi="Arial" w:cs="Arial"/>
          <w:color w:val="000000"/>
          <w:sz w:val="24"/>
          <w:szCs w:val="24"/>
        </w:rPr>
      </w:pPr>
    </w:p>
    <w:p w14:paraId="5EA42811" w14:textId="77777777" w:rsidR="005C35A9" w:rsidRDefault="00000000">
      <w:pPr>
        <w:pStyle w:val="Ttulo"/>
      </w:pPr>
      <w:r>
        <w:t>GAMIFICAÇÃO E AFETIVIDADE: Caminhos para Superar a Resistência à Matemática</w:t>
      </w:r>
    </w:p>
    <w:p w14:paraId="5AA20338" w14:textId="77777777" w:rsidR="005C35A9" w:rsidRDefault="005C35A9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</w:tabs>
        <w:spacing w:line="360" w:lineRule="auto"/>
        <w:ind w:firstLine="709"/>
        <w:rPr>
          <w:rFonts w:ascii="Arial" w:eastAsia="Arial" w:hAnsi="Arial" w:cs="Arial"/>
          <w:color w:val="000000"/>
          <w:sz w:val="24"/>
          <w:szCs w:val="24"/>
        </w:rPr>
      </w:pPr>
    </w:p>
    <w:p w14:paraId="14625C87" w14:textId="77777777" w:rsidR="005C35A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right"/>
        <w:rPr>
          <w:rFonts w:ascii="Arial" w:eastAsia="Arial" w:hAnsi="Arial" w:cs="Arial"/>
          <w:color w:val="000000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Kleidivaldo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Souza Rodrigues</w:t>
      </w:r>
      <w:r>
        <w:rPr>
          <w:rFonts w:ascii="Arial" w:eastAsia="Arial" w:hAnsi="Arial" w:cs="Arial"/>
          <w:color w:val="000000"/>
          <w:sz w:val="24"/>
          <w:szCs w:val="24"/>
          <w:vertAlign w:val="superscript"/>
        </w:rPr>
        <w:footnoteReference w:id="1"/>
      </w:r>
    </w:p>
    <w:p w14:paraId="1C847113" w14:textId="77777777" w:rsidR="005C35A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left" w:pos="5760"/>
        </w:tabs>
        <w:spacing w:line="360" w:lineRule="auto"/>
        <w:ind w:firstLine="70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ab/>
      </w:r>
    </w:p>
    <w:p w14:paraId="1FF2AB10" w14:textId="77777777" w:rsidR="005C35A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PALAVRAS-CHAVE: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Crenças. Afetividade. Aprendizagem matemática.</w:t>
      </w:r>
    </w:p>
    <w:p w14:paraId="3B995164" w14:textId="77777777" w:rsidR="005C35A9" w:rsidRDefault="005C35A9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</w:tabs>
        <w:spacing w:line="360" w:lineRule="auto"/>
        <w:ind w:firstLine="709"/>
        <w:rPr>
          <w:rFonts w:ascii="Arial" w:eastAsia="Arial" w:hAnsi="Arial" w:cs="Arial"/>
          <w:color w:val="000000"/>
          <w:sz w:val="24"/>
          <w:szCs w:val="24"/>
        </w:rPr>
      </w:pPr>
    </w:p>
    <w:p w14:paraId="03D4353C" w14:textId="77777777" w:rsidR="005C35A9" w:rsidRDefault="00000000">
      <w:pPr>
        <w:pStyle w:val="Ttulo1"/>
      </w:pPr>
      <w:r>
        <w:t>1 Introdução</w:t>
      </w:r>
    </w:p>
    <w:p w14:paraId="7F0AF258" w14:textId="77777777" w:rsidR="005C35A9" w:rsidRDefault="005C35A9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</w:tabs>
        <w:spacing w:line="360" w:lineRule="auto"/>
        <w:ind w:firstLine="709"/>
        <w:rPr>
          <w:rFonts w:ascii="Arial" w:eastAsia="Arial" w:hAnsi="Arial" w:cs="Arial"/>
          <w:sz w:val="24"/>
          <w:szCs w:val="24"/>
        </w:rPr>
      </w:pPr>
    </w:p>
    <w:p w14:paraId="620018F8" w14:textId="77777777" w:rsidR="005C35A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</w:tabs>
        <w:spacing w:line="360" w:lineRule="auto"/>
        <w:ind w:firstLine="70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Aprender matemática é uma experiência que envolve muito mais do que o domínio de fórmulas e cálculos. O processo de aprendizagem dessa disciplina está profundamente ligado às crenças, emoções e atitudes que o estudante desenvolve ao longo de sua trajetória escolar. Segundo </w:t>
      </w:r>
      <w:proofErr w:type="spellStart"/>
      <w:r>
        <w:rPr>
          <w:rFonts w:ascii="Arial" w:eastAsia="Arial" w:hAnsi="Arial" w:cs="Arial"/>
          <w:sz w:val="24"/>
          <w:szCs w:val="24"/>
        </w:rPr>
        <w:t>Chacón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(2003), as crenças matemáticas são formadas pelas experiências vividas em sala de aula e pela forma como o aluno se percebe diante dos desafios da disciplina. Quando essas crenças são negativas, “não sou bom em matemática”, “matemática é difícil”, elas se transformam em barreiras emocionais que afetam diretamente o desempenho e a motivação dos estudantes.</w:t>
      </w:r>
    </w:p>
    <w:p w14:paraId="38CADDCD" w14:textId="77777777" w:rsidR="005C35A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</w:tabs>
        <w:spacing w:line="360" w:lineRule="auto"/>
        <w:ind w:firstLine="70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De acordo com Goleman (2005), as emoções exercem influência decisiva sobre os processos cognitivos, podendo facilitar ou bloquear a aprendizagem. Wallon (2007) também ressalta que o desenvolvimento humano é resultado da interação constante </w:t>
      </w:r>
      <w:r>
        <w:rPr>
          <w:rFonts w:ascii="Arial" w:eastAsia="Arial" w:hAnsi="Arial" w:cs="Arial"/>
          <w:sz w:val="24"/>
          <w:szCs w:val="24"/>
        </w:rPr>
        <w:lastRenderedPageBreak/>
        <w:t>entre aspectos cognitivos e afetivos. Assim, compreender e valorizar o papel da afetividade no ensino da matemática significa reconhecer que o aprender está diretamente relacionado ao sentir.</w:t>
      </w:r>
    </w:p>
    <w:p w14:paraId="59ABD70A" w14:textId="77777777" w:rsidR="005C35A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</w:tabs>
        <w:spacing w:line="360" w:lineRule="auto"/>
        <w:ind w:firstLine="70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Nesse contexto, o professor assume papel fundamental: suas atitudes, suas metodologias e a forma como lida com o erro e com o progresso do aluno contribuem para a construção de crenças positivas sobre a matemática. A criação de um ambiente acolhedor, colaborativo e desafiador pode despertar nos estudantes a curiosidade, o prazer e a </w:t>
      </w:r>
      <w:proofErr w:type="gramStart"/>
      <w:r>
        <w:rPr>
          <w:rFonts w:ascii="Arial" w:eastAsia="Arial" w:hAnsi="Arial" w:cs="Arial"/>
          <w:sz w:val="24"/>
          <w:szCs w:val="24"/>
        </w:rPr>
        <w:t>confiança ,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sendo esses elementos que favorecem o engajamento e a aprendizagem significativa.</w:t>
      </w:r>
    </w:p>
    <w:p w14:paraId="3065851B" w14:textId="77777777" w:rsidR="005C35A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</w:tabs>
        <w:spacing w:line="360" w:lineRule="auto"/>
        <w:ind w:firstLine="70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Dessa forma, este trabalho tem como objetivo discutir a relação entre crenças, emoções e gamificação no ensino de Matemática, analisando como essas dimensões, quando integradas de forma intencional, podem favorecer o engajamento, a autonomia e a construção de significados pelos estudantes.</w:t>
      </w:r>
    </w:p>
    <w:p w14:paraId="41B03AEB" w14:textId="77777777" w:rsidR="005C35A9" w:rsidRDefault="005C35A9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</w:tabs>
        <w:spacing w:line="360" w:lineRule="auto"/>
        <w:ind w:firstLine="709"/>
        <w:rPr>
          <w:rFonts w:ascii="Arial" w:eastAsia="Arial" w:hAnsi="Arial" w:cs="Arial"/>
          <w:sz w:val="24"/>
          <w:szCs w:val="24"/>
        </w:rPr>
      </w:pPr>
    </w:p>
    <w:p w14:paraId="20D1289B" w14:textId="77777777" w:rsidR="005C35A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</w:tabs>
        <w:spacing w:line="360" w:lineRule="auto"/>
        <w:ind w:firstLine="70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2 Crenças e a educação matemática</w:t>
      </w:r>
    </w:p>
    <w:p w14:paraId="130F96FB" w14:textId="77777777" w:rsidR="005C35A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</w:tabs>
        <w:spacing w:line="360" w:lineRule="auto"/>
        <w:ind w:firstLine="70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De acordo com </w:t>
      </w:r>
      <w:proofErr w:type="spellStart"/>
      <w:r>
        <w:rPr>
          <w:rFonts w:ascii="Arial" w:eastAsia="Arial" w:hAnsi="Arial" w:cs="Arial"/>
          <w:sz w:val="24"/>
          <w:szCs w:val="24"/>
        </w:rPr>
        <w:t>Chacón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(2003), as crenças são formadas a partir das experiências que vivenciamos e podem se manifestar em diferentes dimensões, conforme apresentado no Quadro 1.</w:t>
      </w:r>
    </w:p>
    <w:p w14:paraId="581FD866" w14:textId="77777777" w:rsidR="005C35A9" w:rsidRDefault="005C35A9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</w:tabs>
        <w:spacing w:line="360" w:lineRule="auto"/>
        <w:ind w:firstLine="709"/>
        <w:rPr>
          <w:rFonts w:ascii="Arial" w:eastAsia="Arial" w:hAnsi="Arial" w:cs="Arial"/>
          <w:sz w:val="24"/>
          <w:szCs w:val="24"/>
        </w:rPr>
      </w:pPr>
    </w:p>
    <w:p w14:paraId="58BDAA41" w14:textId="77777777" w:rsidR="005C35A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</w:tabs>
        <w:spacing w:line="360" w:lineRule="auto"/>
        <w:ind w:firstLine="70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Quadro 1 – Tipos de crença segundo </w:t>
      </w:r>
      <w:proofErr w:type="spellStart"/>
      <w:r>
        <w:rPr>
          <w:rFonts w:ascii="Arial" w:eastAsia="Arial" w:hAnsi="Arial" w:cs="Arial"/>
          <w:sz w:val="24"/>
          <w:szCs w:val="24"/>
        </w:rPr>
        <w:t>Chacón</w:t>
      </w:r>
      <w:proofErr w:type="spellEnd"/>
    </w:p>
    <w:sdt>
      <w:sdtPr>
        <w:tag w:val="goog_rdk_0"/>
        <w:id w:val="-493810123"/>
        <w:lock w:val="contentLocked"/>
      </w:sdtPr>
      <w:sdtContent>
        <w:tbl>
          <w:tblPr>
            <w:tblStyle w:val="a"/>
            <w:tblW w:w="9071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9071"/>
          </w:tblGrid>
          <w:tr w:rsidR="005C35A9" w14:paraId="564C0742" w14:textId="77777777">
            <w:tc>
              <w:tcPr>
                <w:tcW w:w="907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F395A59" w14:textId="77777777" w:rsidR="005C35A9" w:rsidRDefault="00000000">
                <w:pPr>
                  <w:tabs>
                    <w:tab w:val="center" w:pos="4819"/>
                  </w:tabs>
                  <w:spacing w:line="360" w:lineRule="auto"/>
                  <w:ind w:firstLine="709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>Crença no objeto (matemática)</w:t>
                </w:r>
              </w:p>
            </w:tc>
          </w:tr>
          <w:tr w:rsidR="005C35A9" w14:paraId="72641D0A" w14:textId="77777777">
            <w:tc>
              <w:tcPr>
                <w:tcW w:w="907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DBF63CA" w14:textId="77777777" w:rsidR="005C35A9" w:rsidRDefault="00000000">
                <w:pPr>
                  <w:tabs>
                    <w:tab w:val="center" w:pos="4819"/>
                  </w:tabs>
                  <w:spacing w:line="360" w:lineRule="auto"/>
                  <w:ind w:firstLine="709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>Quando uma pessoa tem uma relação positiva com a matemática e acredita ser capaz de lidar bem com ela, tende a seguir regras e realizar cálculos com segurança, mesmo que, às vezes, ainda tenha dificuldade em aplicar o que aprendeu em situações reais.</w:t>
                </w:r>
              </w:p>
            </w:tc>
          </w:tr>
          <w:tr w:rsidR="005C35A9" w14:paraId="6F60B8C0" w14:textId="77777777">
            <w:tc>
              <w:tcPr>
                <w:tcW w:w="907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5BAEE9D" w14:textId="77777777" w:rsidR="005C35A9" w:rsidRDefault="00000000">
                <w:pPr>
                  <w:tabs>
                    <w:tab w:val="center" w:pos="4819"/>
                  </w:tabs>
                  <w:spacing w:line="360" w:lineRule="auto"/>
                  <w:ind w:firstLine="709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>Crença sobre si mesmo como aprendiz de matemática</w:t>
                </w:r>
              </w:p>
            </w:tc>
          </w:tr>
          <w:tr w:rsidR="005C35A9" w14:paraId="4E0E5AB4" w14:textId="77777777">
            <w:tc>
              <w:tcPr>
                <w:tcW w:w="907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C9C9509" w14:textId="77777777" w:rsidR="005C35A9" w:rsidRDefault="00000000">
                <w:pPr>
                  <w:tabs>
                    <w:tab w:val="center" w:pos="4819"/>
                  </w:tabs>
                  <w:spacing w:line="360" w:lineRule="auto"/>
                  <w:ind w:firstLine="709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>Está ligada à forma como o estudante se enxerga e se sente diante da matemática. Quando essa crença é negativa, o aluno pode desenvolver a sensação de impotência e insegurança diante das tarefas.</w:t>
                </w:r>
              </w:p>
            </w:tc>
          </w:tr>
          <w:tr w:rsidR="005C35A9" w14:paraId="6848891B" w14:textId="77777777">
            <w:tc>
              <w:tcPr>
                <w:tcW w:w="907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BA7C8A" w14:textId="77777777" w:rsidR="005C35A9" w:rsidRDefault="00000000">
                <w:pPr>
                  <w:tabs>
                    <w:tab w:val="center" w:pos="4819"/>
                  </w:tabs>
                  <w:spacing w:line="360" w:lineRule="auto"/>
                  <w:ind w:firstLine="709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>Crença sobre o ensino da matemática</w:t>
                </w:r>
              </w:p>
            </w:tc>
          </w:tr>
          <w:tr w:rsidR="005C35A9" w14:paraId="19F4963C" w14:textId="77777777">
            <w:tc>
              <w:tcPr>
                <w:tcW w:w="907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1C0BBE2" w14:textId="77777777" w:rsidR="005C35A9" w:rsidRDefault="00000000">
                <w:pPr>
                  <w:tabs>
                    <w:tab w:val="center" w:pos="4819"/>
                  </w:tabs>
                  <w:spacing w:line="360" w:lineRule="auto"/>
                  <w:ind w:firstLine="709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lastRenderedPageBreak/>
                  <w:t>Reflete o que os alunos esperam das aulas e da forma como aprendem.</w:t>
                </w:r>
              </w:p>
            </w:tc>
          </w:tr>
          <w:tr w:rsidR="005C35A9" w14:paraId="09A44F7B" w14:textId="77777777">
            <w:tc>
              <w:tcPr>
                <w:tcW w:w="907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7343A10" w14:textId="77777777" w:rsidR="005C35A9" w:rsidRDefault="00000000">
                <w:pPr>
                  <w:tabs>
                    <w:tab w:val="center" w:pos="4819"/>
                  </w:tabs>
                  <w:spacing w:line="360" w:lineRule="auto"/>
                  <w:ind w:firstLine="709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>Crença sobre o contexto social do aluno</w:t>
                </w:r>
              </w:p>
            </w:tc>
          </w:tr>
          <w:tr w:rsidR="005C35A9" w14:paraId="68BFF52A" w14:textId="77777777">
            <w:tc>
              <w:tcPr>
                <w:tcW w:w="907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F89E916" w14:textId="77777777" w:rsidR="005C35A9" w:rsidRDefault="00000000">
                <w:pPr>
                  <w:tabs>
                    <w:tab w:val="center" w:pos="4819"/>
                  </w:tabs>
                  <w:spacing w:line="360" w:lineRule="auto"/>
                  <w:ind w:firstLine="709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>Mostra a influência do ambiente em que o estudante vive e as visões que circulam sobre a matemática e o papel do professor. Muitas vezes, essas crenças moldam o olhar do aluno e podem limitar sua percepção sobre o que é aprender matemática.</w:t>
                </w:r>
              </w:p>
            </w:tc>
          </w:tr>
          <w:tr w:rsidR="005C35A9" w14:paraId="0C7CC357" w14:textId="77777777">
            <w:tc>
              <w:tcPr>
                <w:tcW w:w="907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72D35FC" w14:textId="77777777" w:rsidR="005C35A9" w:rsidRDefault="00000000">
                <w:pPr>
                  <w:tabs>
                    <w:tab w:val="center" w:pos="4819"/>
                  </w:tabs>
                  <w:spacing w:line="360" w:lineRule="auto"/>
                  <w:ind w:firstLine="709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>Crença sobre o papel do professor e as metodologias de ensino</w:t>
                </w:r>
              </w:p>
            </w:tc>
          </w:tr>
          <w:tr w:rsidR="005C35A9" w14:paraId="6B56D255" w14:textId="77777777">
            <w:tc>
              <w:tcPr>
                <w:tcW w:w="907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95E9C53" w14:textId="77777777" w:rsidR="005C35A9" w:rsidRDefault="00000000">
                <w:pPr>
                  <w:tabs>
                    <w:tab w:val="center" w:pos="4819"/>
                  </w:tabs>
                  <w:spacing w:line="360" w:lineRule="auto"/>
                  <w:ind w:firstLine="709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>Em modelos tradicionais, o professor é visto como o dono do conhecimento — aquele que sabe as fórmulas e as repassa aos alunos, que por sua vez assumem um papel mais passivo, apenas recebendo as informações.</w:t>
                </w:r>
              </w:p>
              <w:p w14:paraId="2D9FED14" w14:textId="77777777" w:rsidR="005C35A9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ind w:firstLine="0"/>
                  <w:jc w:val="left"/>
                  <w:rPr>
                    <w:rFonts w:ascii="Arial" w:eastAsia="Arial" w:hAnsi="Arial" w:cs="Arial"/>
                    <w:sz w:val="24"/>
                    <w:szCs w:val="24"/>
                  </w:rPr>
                </w:pPr>
              </w:p>
            </w:tc>
          </w:tr>
        </w:tbl>
      </w:sdtContent>
    </w:sdt>
    <w:p w14:paraId="7CCFFE50" w14:textId="77777777" w:rsidR="005C35A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</w:tabs>
        <w:spacing w:line="360" w:lineRule="auto"/>
        <w:ind w:firstLine="709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Fonte: Adaptado de (CHACÓN, 2003)</w:t>
      </w:r>
    </w:p>
    <w:p w14:paraId="525C3195" w14:textId="77777777" w:rsidR="005C35A9" w:rsidRDefault="005C35A9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</w:tabs>
        <w:spacing w:line="360" w:lineRule="auto"/>
        <w:ind w:firstLine="709"/>
        <w:rPr>
          <w:rFonts w:ascii="Arial" w:eastAsia="Arial" w:hAnsi="Arial" w:cs="Arial"/>
          <w:sz w:val="24"/>
          <w:szCs w:val="24"/>
        </w:rPr>
      </w:pPr>
    </w:p>
    <w:p w14:paraId="35E6F7F9" w14:textId="77777777" w:rsidR="005C35A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</w:tabs>
        <w:spacing w:line="360" w:lineRule="auto"/>
        <w:ind w:firstLine="709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McLeod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(1989 apud CHACÓN, 2003) destaca duas categorias de crenças que influenciam fortemente quem aprende matemática: as crenças sobre a própria matemática como disciplina, e as crenças sobre si mesmo e sobre a relação com a matemática. As primeiras têm um componente afetivo mais fraco, enquanto as segundas envolvem aspectos emocionais mais intensos, como autoconfiança, autoestima e a forma como o estudante interpreta seus erros e dificuldades.</w:t>
      </w:r>
    </w:p>
    <w:p w14:paraId="78C3D2EF" w14:textId="77777777" w:rsidR="005C35A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</w:tabs>
        <w:spacing w:line="360" w:lineRule="auto"/>
        <w:ind w:firstLine="709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Chacón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(2003) também observa que aprendizes com crenças negativas e rígidas sobre a matemática tendem a ser mais passivos e focados na memorização, em vez de na compreensão. Por isso, acabam preferindo aulas tradicionais, onde a repetição e a cópia substituem o raciocínio e a reflexão.</w:t>
      </w:r>
    </w:p>
    <w:p w14:paraId="0B8025F8" w14:textId="77777777" w:rsidR="005C35A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</w:tabs>
        <w:spacing w:line="360" w:lineRule="auto"/>
        <w:ind w:firstLine="70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Essa postura reflete uma atitude de desengajamento em sala de aula, na qual o aluno não se vê como protagonista de sua aprendizagem, participa pouco, e muitas vezes realiza as atividades apenas por obrigação. </w:t>
      </w:r>
    </w:p>
    <w:p w14:paraId="4E3D5A68" w14:textId="77777777" w:rsidR="005C35A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</w:tabs>
        <w:spacing w:line="360" w:lineRule="auto"/>
        <w:ind w:firstLine="70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Nesse contexto, a gamificação surge como uma possibilidade para ressignificar essas crenças e afetos. Ao transformar o aprendizado em uma experiência lúdica e interativa, o estudante </w:t>
      </w:r>
      <w:proofErr w:type="spellStart"/>
      <w:r>
        <w:rPr>
          <w:rFonts w:ascii="Arial" w:eastAsia="Arial" w:hAnsi="Arial" w:cs="Arial"/>
          <w:sz w:val="24"/>
          <w:szCs w:val="24"/>
        </w:rPr>
        <w:t>pode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vivenciar a matemática de forma mais prazerosa, percebendo-se capaz, engajado e participante ativo do processo. Assim, o jogo e a ludicidade não são apenas estratégias para “motivar”, mas instrumentos que ajudam </w:t>
      </w:r>
      <w:r>
        <w:rPr>
          <w:rFonts w:ascii="Arial" w:eastAsia="Arial" w:hAnsi="Arial" w:cs="Arial"/>
          <w:sz w:val="24"/>
          <w:szCs w:val="24"/>
        </w:rPr>
        <w:lastRenderedPageBreak/>
        <w:t>a reconstruir crenças positivas sobre a própria capacidade de aprender e sobre o papel da matemática em sua vida cotidiana.</w:t>
      </w:r>
    </w:p>
    <w:p w14:paraId="22C23448" w14:textId="77777777" w:rsidR="005C35A9" w:rsidRDefault="005C35A9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</w:tabs>
        <w:spacing w:line="360" w:lineRule="auto"/>
        <w:ind w:firstLine="709"/>
        <w:rPr>
          <w:rFonts w:ascii="Arial" w:eastAsia="Arial" w:hAnsi="Arial" w:cs="Arial"/>
          <w:sz w:val="24"/>
          <w:szCs w:val="24"/>
        </w:rPr>
      </w:pPr>
    </w:p>
    <w:p w14:paraId="0F5C623C" w14:textId="77777777" w:rsidR="005C35A9" w:rsidRDefault="00000000">
      <w:pPr>
        <w:pStyle w:val="Ttulo1"/>
        <w:rPr>
          <w:b w:val="0"/>
        </w:rPr>
      </w:pPr>
      <w:r>
        <w:t>3 Emoções e Matemática</w:t>
      </w:r>
    </w:p>
    <w:p w14:paraId="6631547D" w14:textId="77777777" w:rsidR="005C35A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</w:tabs>
        <w:spacing w:line="360" w:lineRule="auto"/>
        <w:ind w:firstLine="70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As emoções exercem papel determinante na aprendizagem, influenciando a forma como o aluno pensa, reage e se relaciona com o conhecimento. Goleman (2005, p.34) afirma que “todas as emoções são, na sua essência, impulsos para a ação”, explicando a disponibilidade ou o bloqueio diante das aprendizagens. Wallon (2007) define as emoções como funções expressivas e socialmente aprendidas, com papel adaptativo e comunicativo. No contexto escolar, atuam como mecanismos de defesa e motivação (CHABOT, 2005), interferindo diretamente na atenção, no interesse e na persistência do estudante.</w:t>
      </w:r>
    </w:p>
    <w:p w14:paraId="0D831E33" w14:textId="77777777" w:rsidR="005C35A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</w:tabs>
        <w:spacing w:line="360" w:lineRule="auto"/>
        <w:ind w:firstLine="70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De acordo com </w:t>
      </w:r>
      <w:proofErr w:type="spellStart"/>
      <w:r>
        <w:rPr>
          <w:rFonts w:ascii="Arial" w:eastAsia="Arial" w:hAnsi="Arial" w:cs="Arial"/>
          <w:sz w:val="24"/>
          <w:szCs w:val="24"/>
        </w:rPr>
        <w:t>Chacón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(2003), as emoções envolvem dimensões fisiológicas, cognitivas e motivacionais, o que evidencia que o aluno aprende de forma integral, e não apenas racional. Fonseca (2016) defende que o ensino deve considerar o aluno em sua totalidade biopsicossocial, pois dificuldades emocionais podem gerar evasão ou rejeição à aprendizagem. Nessa perspectiva, Oliveira (2012) destaca que a afetividade aproxima professor e aluno, enquanto Guimarães (2015), apoiando-se em Wallon, afirma que a matemática pode ser melhor conduzida quando o apoio afetivo está presente na relação pedagógica.</w:t>
      </w:r>
    </w:p>
    <w:p w14:paraId="7A2A3562" w14:textId="77777777" w:rsidR="005C35A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</w:tabs>
        <w:spacing w:line="360" w:lineRule="auto"/>
        <w:ind w:firstLine="70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 afetividade, portanto, é um elemento essencial na construção do conhecimento matemático. </w:t>
      </w:r>
      <w:proofErr w:type="spellStart"/>
      <w:r>
        <w:rPr>
          <w:rFonts w:ascii="Arial" w:eastAsia="Arial" w:hAnsi="Arial" w:cs="Arial"/>
          <w:sz w:val="24"/>
          <w:szCs w:val="24"/>
        </w:rPr>
        <w:t>Chacón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(2003) propõe a “alfabetização emocional”, que envolve empatia, autocontrole e perseverança — competências que sustentam o aprendizado. Goleman (2005) observa que emoções negativas, como raiva e preocupação, prejudicam o raciocínio lógico, enquanto o manejo emocional favorece a autoconfiança. Wallon (2007) descreve o desenvolvimento humano como um “pêndulo” entre o afetivo e o cognitivo, ressaltando sua interdependência. Assim, integrar a dimensão emocional ao ensino de matemática é fundamental para transformar dificuldades em oportunidades de aprendizagem significativa. O trabalho com a afetividade torna o ambiente escolar mais acolhedor, promove o engajamento e fortalece vínculos positivos com a disciplina.</w:t>
      </w:r>
    </w:p>
    <w:p w14:paraId="404EECE8" w14:textId="77777777" w:rsidR="005C35A9" w:rsidRDefault="005C35A9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</w:tabs>
        <w:spacing w:line="360" w:lineRule="auto"/>
        <w:ind w:firstLine="709"/>
        <w:rPr>
          <w:rFonts w:ascii="Arial" w:eastAsia="Arial" w:hAnsi="Arial" w:cs="Arial"/>
          <w:sz w:val="24"/>
          <w:szCs w:val="24"/>
        </w:rPr>
      </w:pPr>
    </w:p>
    <w:p w14:paraId="2EE3674F" w14:textId="77777777" w:rsidR="005C35A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</w:tabs>
        <w:spacing w:line="360" w:lineRule="auto"/>
        <w:ind w:firstLine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4 A Gamificação e o Engajamento na Aprendizagem Matemática </w:t>
      </w:r>
    </w:p>
    <w:p w14:paraId="64FF122C" w14:textId="77777777" w:rsidR="005C35A9" w:rsidRDefault="005C35A9">
      <w:pPr>
        <w:tabs>
          <w:tab w:val="center" w:pos="4819"/>
        </w:tabs>
        <w:spacing w:line="360" w:lineRule="auto"/>
        <w:ind w:firstLine="0"/>
        <w:rPr>
          <w:rFonts w:ascii="Arial" w:eastAsia="Arial" w:hAnsi="Arial" w:cs="Arial"/>
          <w:sz w:val="24"/>
          <w:szCs w:val="24"/>
        </w:rPr>
      </w:pPr>
    </w:p>
    <w:p w14:paraId="2868FEF9" w14:textId="77777777" w:rsidR="005C35A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</w:tabs>
        <w:spacing w:line="360" w:lineRule="auto"/>
        <w:ind w:firstLine="70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Compreender a importância dos jogos e da gamificação no ensino de Matemática é reconhecer que aprender pode, e deve, ser uma experiência prazerosa, significativa e emocionalmente positiva. As atividades lúdicas permitem que os estudantes assimilem conceitos e desenvolvam atitudes mais abertas, curiosas e confiantes diante da disciplina. Quando bem planejadas, alinham-se aos componentes curriculares e às necessidades da turma, tornando o aprendizado mais envolvente.</w:t>
      </w:r>
    </w:p>
    <w:p w14:paraId="5F0A59E4" w14:textId="77777777" w:rsidR="005C35A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</w:tabs>
        <w:spacing w:line="360" w:lineRule="auto"/>
        <w:ind w:firstLine="70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As metodologias baseadas em jogos e elementos de gamificação, como desafios, recompensas e feedbacks, consolidam-se como tendência no ensino da Matemática. Para Flemming (2005), o uso de jogos em classe é justificado por diversos referenciais teóricos, pois trata-se de um recurso didático potente que integra cognição, emoção e socialização no processo de aprendizagem.</w:t>
      </w:r>
    </w:p>
    <w:p w14:paraId="2B276BF4" w14:textId="77777777" w:rsidR="005C35A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</w:tabs>
        <w:spacing w:line="360" w:lineRule="auto"/>
        <w:ind w:firstLine="70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Diante dos desafios de manter o engajamento dos estudantes em contextos ainda marcados por práticas tradicionais, o caráter lúdico das atividades gamificadas torna-se essencial. Ao jogar, o aluno envolve-se emocionalmente, enfrenta desafios, toma decisões e coopera, fortalecendo vínculos positivos com o conteúdo e com a escola. Assim, a afetividade, entendida como o conjunto de emoções, sentimentos e atitudes que influenciam o aprender (WALLON, 2007; CHACÓN, 2003) é mobilizada em favor da aprendizagem.</w:t>
      </w:r>
    </w:p>
    <w:p w14:paraId="2265273D" w14:textId="77777777" w:rsidR="005C35A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</w:tabs>
        <w:spacing w:line="360" w:lineRule="auto"/>
        <w:ind w:firstLine="70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Segundo Mendes (2008), os jogos, quando bem orientados, despertam o interesse e facilitam a aprendizagem matemática. A gamificação amplia essa função ao incorporar metas, níveis e recompensas à rotina escolar, transformando o processo de aprender em uma experiência interativa e motivadora. Diferente dos jogos isolados, ela valoriza o esforço, a colaboração e o protagonismo do estudante, fazendo de cada conquista um reconhecimento de crescimento e superação.</w:t>
      </w:r>
    </w:p>
    <w:p w14:paraId="1D9F2076" w14:textId="77777777" w:rsidR="005C35A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</w:tabs>
        <w:spacing w:line="360" w:lineRule="auto"/>
        <w:ind w:firstLine="70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Ao participar dessas experiências, o aluno compreende regras, interpreta situações e planeja estratégias, mobilizando competências cognitivas e afetivas que fortalecem sua autoconfiança e sua percepção de competência. Dessa forma, jogos e gamificação superam o papel de simples motivadores: representam práticas que resgatam o prazer de aprender e transformam a sala de aula em um espaço de descoberta, emoção e aprendizagem significativa.</w:t>
      </w:r>
    </w:p>
    <w:p w14:paraId="7CAD0569" w14:textId="77777777" w:rsidR="005C35A9" w:rsidRDefault="005C35A9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</w:tabs>
        <w:spacing w:line="360" w:lineRule="auto"/>
        <w:ind w:firstLine="0"/>
        <w:rPr>
          <w:rFonts w:ascii="Arial" w:eastAsia="Arial" w:hAnsi="Arial" w:cs="Arial"/>
          <w:color w:val="000000"/>
          <w:sz w:val="24"/>
          <w:szCs w:val="24"/>
        </w:rPr>
      </w:pPr>
    </w:p>
    <w:p w14:paraId="14B59657" w14:textId="73CE76BC" w:rsidR="005C35A9" w:rsidRDefault="00407161">
      <w:pPr>
        <w:pStyle w:val="Ttulo1"/>
      </w:pPr>
      <w:r>
        <w:lastRenderedPageBreak/>
        <w:t>5</w:t>
      </w:r>
      <w:r w:rsidR="00000000">
        <w:t xml:space="preserve"> CONSIDERAÇÕES FINAIS</w:t>
      </w:r>
    </w:p>
    <w:p w14:paraId="15555190" w14:textId="77777777" w:rsidR="005C35A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</w:tabs>
        <w:spacing w:line="360" w:lineRule="auto"/>
        <w:ind w:firstLine="70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 aprendizagem matemática, por muito tempo marcada por sentimentos de medo, resistência e repulsa, exige novas abordagens que considerem o estudante em sua totalidade cognitiva, emocional e social. A incorporação da gamificação e dos jogos pedagógicos representa um caminho promissor para transformar essas experiências negativas em vivências positivas e significativas. Ao introduzir elementos lúdicos, desafios e recompensas, a gamificação reconfigura o espaço da sala de aula em um ambiente de curiosidade, cooperação e prazer em aprender.</w:t>
      </w:r>
    </w:p>
    <w:p w14:paraId="0526BF82" w14:textId="77777777" w:rsidR="005C35A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</w:tabs>
        <w:spacing w:line="360" w:lineRule="auto"/>
        <w:ind w:firstLine="70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Ao ressignificar as crenças e emoções associadas à disciplina, a gamificação contribui para romper o ciclo de rejeição que historicamente acompanha o ensino de matemática. Ela desperta o entusiasmo, fortalece o vínculo entre aluno e professor e cria condições para que o aprender seja vivenciado como uma experiência prazerosa e transformadora. Dessa forma, o uso intencional da gamificação no ensino da matemática se mostra não apenas como uma inovação metodológica, mas como uma estratégia humanizadora, capaz de unir cognição, emoção e engajamento em favor de uma aprendizagem verdadeiramente significativa.</w:t>
      </w:r>
    </w:p>
    <w:p w14:paraId="3A8D8890" w14:textId="77777777" w:rsidR="005C35A9" w:rsidRDefault="005C35A9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</w:tabs>
        <w:spacing w:line="360" w:lineRule="auto"/>
        <w:ind w:firstLine="709"/>
        <w:rPr>
          <w:rFonts w:ascii="Arial" w:eastAsia="Arial" w:hAnsi="Arial" w:cs="Arial"/>
          <w:sz w:val="24"/>
          <w:szCs w:val="24"/>
        </w:rPr>
      </w:pPr>
    </w:p>
    <w:p w14:paraId="62BCC7D7" w14:textId="77777777" w:rsidR="005C35A9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REFERÊNCIAS </w:t>
      </w:r>
    </w:p>
    <w:p w14:paraId="7F4B608A" w14:textId="77777777" w:rsidR="005C35A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CHABOT, Daniel, CHABOT, Michel. Pedagogia Emocional: Sentir para aprender.</w:t>
      </w:r>
    </w:p>
    <w:p w14:paraId="09C37B62" w14:textId="77777777" w:rsidR="005C35A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São Paulo: Sá Editora, 2005.</w:t>
      </w:r>
    </w:p>
    <w:p w14:paraId="2B610BC9" w14:textId="77777777" w:rsidR="005C35A9" w:rsidRDefault="005C35A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left"/>
        <w:rPr>
          <w:rFonts w:ascii="Arial" w:eastAsia="Arial" w:hAnsi="Arial" w:cs="Arial"/>
          <w:sz w:val="24"/>
          <w:szCs w:val="24"/>
        </w:rPr>
      </w:pPr>
    </w:p>
    <w:p w14:paraId="450DE5CD" w14:textId="77777777" w:rsidR="005C35A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CHACÓN, I. M. G. Matemática Emocional: os afetos na aprendizagem matemática.</w:t>
      </w:r>
    </w:p>
    <w:p w14:paraId="4135C3C3" w14:textId="77777777" w:rsidR="005C35A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Trad. Daisy Vaz de Moraes. Porto Alegre: Artmed, 2003.</w:t>
      </w:r>
    </w:p>
    <w:p w14:paraId="46A3E4F5" w14:textId="77777777" w:rsidR="005C35A9" w:rsidRDefault="005C35A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left"/>
        <w:rPr>
          <w:rFonts w:ascii="Arial" w:eastAsia="Arial" w:hAnsi="Arial" w:cs="Arial"/>
          <w:sz w:val="24"/>
          <w:szCs w:val="24"/>
        </w:rPr>
      </w:pPr>
    </w:p>
    <w:p w14:paraId="18937208" w14:textId="77777777" w:rsidR="005C35A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FLEMMING, Diva Marília. Tendências em Educação Matemática. 2. ed. Universidade do Sul de Santa Catarina. Palhoça: Unisul Virtual, 2005. p. 87.</w:t>
      </w:r>
    </w:p>
    <w:p w14:paraId="6B8A6D60" w14:textId="77777777" w:rsidR="005C35A9" w:rsidRDefault="005C35A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left"/>
        <w:rPr>
          <w:rFonts w:ascii="Arial" w:eastAsia="Arial" w:hAnsi="Arial" w:cs="Arial"/>
          <w:sz w:val="24"/>
          <w:szCs w:val="24"/>
        </w:rPr>
      </w:pPr>
    </w:p>
    <w:p w14:paraId="3892FF3A" w14:textId="77777777" w:rsidR="005C35A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FONSECA, V. Dificuldades de aprendizagem: abordagem neuropsicológica e psicopedagógica. Rio de Janeiro: </w:t>
      </w:r>
      <w:proofErr w:type="spellStart"/>
      <w:r>
        <w:rPr>
          <w:rFonts w:ascii="Arial" w:eastAsia="Arial" w:hAnsi="Arial" w:cs="Arial"/>
          <w:sz w:val="24"/>
          <w:szCs w:val="24"/>
        </w:rPr>
        <w:t>Wak</w:t>
      </w:r>
      <w:proofErr w:type="spellEnd"/>
      <w:r>
        <w:rPr>
          <w:rFonts w:ascii="Arial" w:eastAsia="Arial" w:hAnsi="Arial" w:cs="Arial"/>
          <w:sz w:val="24"/>
          <w:szCs w:val="24"/>
        </w:rPr>
        <w:t>, 2016.</w:t>
      </w:r>
    </w:p>
    <w:p w14:paraId="7A561794" w14:textId="77777777" w:rsidR="005C35A9" w:rsidRDefault="005C35A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left"/>
        <w:rPr>
          <w:rFonts w:ascii="Arial" w:eastAsia="Arial" w:hAnsi="Arial" w:cs="Arial"/>
          <w:sz w:val="24"/>
          <w:szCs w:val="24"/>
        </w:rPr>
      </w:pPr>
    </w:p>
    <w:p w14:paraId="53D37BDB" w14:textId="77777777" w:rsidR="005C35A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GOLEMAN, D. Inteligência emocional: a teoria revolucionária que redefine o que é</w:t>
      </w:r>
    </w:p>
    <w:p w14:paraId="73435A65" w14:textId="77777777" w:rsidR="005C35A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ser inteligente. Rio de Janeiro: Objetiva, 2005.</w:t>
      </w:r>
    </w:p>
    <w:p w14:paraId="79EFCCB9" w14:textId="77777777" w:rsidR="005C35A9" w:rsidRDefault="005C35A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left"/>
        <w:rPr>
          <w:rFonts w:ascii="Arial" w:eastAsia="Arial" w:hAnsi="Arial" w:cs="Arial"/>
          <w:sz w:val="24"/>
          <w:szCs w:val="24"/>
        </w:rPr>
      </w:pPr>
    </w:p>
    <w:p w14:paraId="7F8DD51B" w14:textId="77777777" w:rsidR="005C35A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GUIMARÃES, G.O Processo Afetivo A Partir Das Representações Dos Jovens E A</w:t>
      </w:r>
    </w:p>
    <w:p w14:paraId="7F356F68" w14:textId="77777777" w:rsidR="005C35A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Matemática. Revista Paranaense de Educação Matemática, Vol.4, No.7. 2015</w:t>
      </w:r>
    </w:p>
    <w:p w14:paraId="3FFFD9B3" w14:textId="77777777" w:rsidR="005C35A9" w:rsidRDefault="005C35A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left"/>
        <w:rPr>
          <w:rFonts w:ascii="Arial" w:eastAsia="Arial" w:hAnsi="Arial" w:cs="Arial"/>
          <w:sz w:val="24"/>
          <w:szCs w:val="24"/>
        </w:rPr>
      </w:pPr>
    </w:p>
    <w:p w14:paraId="554F77AD" w14:textId="77777777" w:rsidR="005C35A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MENDES, Iran Abreu. Tendências metodológicas no ensino de matemática. Belém: </w:t>
      </w:r>
      <w:proofErr w:type="spellStart"/>
      <w:r>
        <w:rPr>
          <w:rFonts w:ascii="Arial" w:eastAsia="Arial" w:hAnsi="Arial" w:cs="Arial"/>
          <w:sz w:val="24"/>
          <w:szCs w:val="24"/>
        </w:rPr>
        <w:t>EdUFPA</w:t>
      </w:r>
      <w:proofErr w:type="spellEnd"/>
      <w:r>
        <w:rPr>
          <w:rFonts w:ascii="Arial" w:eastAsia="Arial" w:hAnsi="Arial" w:cs="Arial"/>
          <w:sz w:val="24"/>
          <w:szCs w:val="24"/>
        </w:rPr>
        <w:t>, 2008.</w:t>
      </w:r>
    </w:p>
    <w:p w14:paraId="64AF04E8" w14:textId="77777777" w:rsidR="005C35A9" w:rsidRDefault="005C35A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left"/>
        <w:rPr>
          <w:rFonts w:ascii="Arial" w:eastAsia="Arial" w:hAnsi="Arial" w:cs="Arial"/>
          <w:sz w:val="24"/>
          <w:szCs w:val="24"/>
        </w:rPr>
      </w:pPr>
    </w:p>
    <w:p w14:paraId="295C290D" w14:textId="77777777" w:rsidR="005C35A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OLIVEIRA, A.P.de. A Afetividade No Processo De Ensino E Aprendizagem Da</w:t>
      </w:r>
    </w:p>
    <w:p w14:paraId="4F9F995C" w14:textId="77777777" w:rsidR="005C35A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Matemática. 2012.</w:t>
      </w:r>
    </w:p>
    <w:p w14:paraId="38CB3CC2" w14:textId="77777777" w:rsidR="005C35A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 xml:space="preserve">WALLON, </w:t>
      </w:r>
      <w:proofErr w:type="spellStart"/>
      <w:r>
        <w:rPr>
          <w:rFonts w:ascii="Arial" w:eastAsia="Arial" w:hAnsi="Arial" w:cs="Arial"/>
          <w:sz w:val="24"/>
          <w:szCs w:val="24"/>
        </w:rPr>
        <w:t>Hi</w:t>
      </w:r>
      <w:proofErr w:type="spellEnd"/>
      <w:r>
        <w:rPr>
          <w:rFonts w:ascii="Arial" w:eastAsia="Arial" w:hAnsi="Arial" w:cs="Arial"/>
          <w:sz w:val="24"/>
          <w:szCs w:val="24"/>
        </w:rPr>
        <w:t>. Evolução psicológica da criança. São Paulo: Martins Fontes, 2007.</w:t>
      </w:r>
    </w:p>
    <w:p w14:paraId="67E6AC40" w14:textId="77777777" w:rsidR="005C35A9" w:rsidRDefault="005C35A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left"/>
        <w:rPr>
          <w:rFonts w:ascii="Arial" w:eastAsia="Arial" w:hAnsi="Arial" w:cs="Arial"/>
          <w:sz w:val="24"/>
          <w:szCs w:val="24"/>
        </w:rPr>
      </w:pPr>
    </w:p>
    <w:sectPr w:rsidR="005C35A9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701" w:right="1134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81D9E4" w14:textId="77777777" w:rsidR="00FB2A4A" w:rsidRDefault="00FB2A4A">
      <w:pPr>
        <w:spacing w:line="240" w:lineRule="auto"/>
      </w:pPr>
      <w:r>
        <w:separator/>
      </w:r>
    </w:p>
  </w:endnote>
  <w:endnote w:type="continuationSeparator" w:id="0">
    <w:p w14:paraId="17CCF1D8" w14:textId="77777777" w:rsidR="00FB2A4A" w:rsidRDefault="00FB2A4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82C07A41-3EE3-4CA8-A9C4-24754DA7D0A5}"/>
    <w:embedBold r:id="rId2" w:fontKey="{9D5BB47C-0496-46A3-BD62-E1B3DF413BDE}"/>
    <w:embedItalic r:id="rId3" w:fontKey="{46C0D82B-99DB-4938-9DC0-ACFC97492B1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lay">
    <w:charset w:val="00"/>
    <w:family w:val="auto"/>
    <w:pitch w:val="default"/>
    <w:embedRegular r:id="rId4" w:fontKey="{5185DA3D-3C70-4C4C-8EE1-1EBC0FE94EA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7C44FB7F-2228-4C21-8D42-680A02B26ED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898669" w14:textId="77777777" w:rsidR="005C35A9" w:rsidRDefault="005C35A9">
    <w:pPr>
      <w:ind w:firstLine="0"/>
    </w:pPr>
  </w:p>
  <w:p w14:paraId="10F62950" w14:textId="77777777" w:rsidR="005C35A9" w:rsidRDefault="005C35A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E77C79" w14:textId="77777777" w:rsidR="00FB2A4A" w:rsidRDefault="00FB2A4A">
      <w:pPr>
        <w:spacing w:line="240" w:lineRule="auto"/>
      </w:pPr>
      <w:r>
        <w:separator/>
      </w:r>
    </w:p>
  </w:footnote>
  <w:footnote w:type="continuationSeparator" w:id="0">
    <w:p w14:paraId="3B636F30" w14:textId="77777777" w:rsidR="00FB2A4A" w:rsidRDefault="00FB2A4A">
      <w:pPr>
        <w:spacing w:line="240" w:lineRule="auto"/>
      </w:pPr>
      <w:r>
        <w:continuationSeparator/>
      </w:r>
    </w:p>
  </w:footnote>
  <w:footnote w:id="1">
    <w:p w14:paraId="0444498A" w14:textId="77777777" w:rsidR="005C35A9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jc w:val="left"/>
        <w:rPr>
          <w:rFonts w:ascii="Arial" w:eastAsia="Arial" w:hAnsi="Arial" w:cs="Arial"/>
          <w:color w:val="00000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</w:rPr>
        <w:t>Mestrando em Educação Matemática</w:t>
      </w:r>
      <w:r>
        <w:rPr>
          <w:rFonts w:ascii="Arial" w:eastAsia="Arial" w:hAnsi="Arial" w:cs="Arial"/>
          <w:color w:val="000000"/>
        </w:rPr>
        <w:t xml:space="preserve">, </w:t>
      </w:r>
      <w:r>
        <w:rPr>
          <w:rFonts w:ascii="Arial" w:eastAsia="Arial" w:hAnsi="Arial" w:cs="Arial"/>
        </w:rPr>
        <w:t>UNIR</w:t>
      </w:r>
      <w:r>
        <w:rPr>
          <w:rFonts w:ascii="Arial" w:eastAsia="Arial" w:hAnsi="Arial" w:cs="Arial"/>
          <w:color w:val="000000"/>
        </w:rPr>
        <w:t xml:space="preserve">, </w:t>
      </w:r>
      <w:r>
        <w:rPr>
          <w:rFonts w:ascii="Arial" w:eastAsia="Arial" w:hAnsi="Arial" w:cs="Arial"/>
        </w:rPr>
        <w:t>Ji-paraná</w:t>
      </w:r>
      <w:r>
        <w:rPr>
          <w:rFonts w:ascii="Arial" w:eastAsia="Arial" w:hAnsi="Arial" w:cs="Arial"/>
          <w:color w:val="000000"/>
        </w:rPr>
        <w:t xml:space="preserve">, </w:t>
      </w:r>
      <w:r>
        <w:rPr>
          <w:rFonts w:ascii="Arial" w:eastAsia="Arial" w:hAnsi="Arial" w:cs="Arial"/>
        </w:rPr>
        <w:t>Rondônia</w:t>
      </w:r>
      <w:r>
        <w:rPr>
          <w:rFonts w:ascii="Arial" w:eastAsia="Arial" w:hAnsi="Arial" w:cs="Arial"/>
          <w:color w:val="000000"/>
        </w:rPr>
        <w:t xml:space="preserve">, </w:t>
      </w:r>
      <w:r>
        <w:rPr>
          <w:rFonts w:ascii="Arial" w:eastAsia="Arial" w:hAnsi="Arial" w:cs="Arial"/>
        </w:rPr>
        <w:t>Brasil</w:t>
      </w:r>
      <w:r>
        <w:rPr>
          <w:rFonts w:ascii="Arial" w:eastAsia="Arial" w:hAnsi="Arial" w:cs="Arial"/>
          <w:color w:val="000000"/>
        </w:rPr>
        <w:t xml:space="preserve">, </w:t>
      </w:r>
      <w:r>
        <w:rPr>
          <w:rFonts w:ascii="Arial" w:eastAsia="Arial" w:hAnsi="Arial" w:cs="Arial"/>
        </w:rPr>
        <w:t>profkleidivaldo@gmail.com</w:t>
      </w:r>
    </w:p>
    <w:p w14:paraId="4AC5D7C6" w14:textId="77777777" w:rsidR="005C35A9" w:rsidRDefault="005C35A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0"/>
          <w:szCs w:val="20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1BA438" w14:textId="77777777" w:rsidR="005C35A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  <w:r>
      <w:rPr>
        <w:color w:val="000000"/>
      </w:rPr>
      <w:pict w14:anchorId="6E58EA9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left:0;text-align:left;margin-left:0;margin-top:0;width:452.8pt;height:640.45pt;z-index:-251658752;mso-position-horizontal:center;mso-position-horizontal-relative:margin;mso-position-vertical:center;mso-position-vertical-relative:margin" o:allowincell="f">
          <v:imagedata r:id="rId1" o:title="layout sem internacional a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542BEB" w14:textId="77777777" w:rsidR="005C35A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firstLine="0"/>
      <w:rPr>
        <w:color w:val="000000"/>
      </w:rPr>
    </w:pPr>
    <w:r>
      <w:rPr>
        <w:color w:val="000000"/>
      </w:rPr>
      <w:pict w14:anchorId="642D350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style="position:absolute;left:0;text-align:left;margin-left:-70.45pt;margin-top:-101.55pt;width:571.45pt;height:866.35pt;z-index:-251657728;mso-position-horizontal:absolute;mso-position-horizontal-relative:margin;mso-position-vertical:absolute;mso-position-vertical-relative:margin" o:allowincell="f">
          <v:imagedata r:id="rId1" o:title="layout sem internacional a5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79B8A8" w14:textId="77777777" w:rsidR="005C35A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  <w:r>
      <w:rPr>
        <w:color w:val="000000"/>
      </w:rPr>
      <w:pict w14:anchorId="3557CC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6" type="#_x0000_t75" alt="" style="position:absolute;left:0;text-align:left;margin-left:0;margin-top:0;width:452.8pt;height:640.45pt;z-index:-251659776;mso-position-horizontal:center;mso-position-horizontal-relative:margin;mso-position-vertical:center;mso-position-vertical-relative:margin">
          <v:imagedata r:id="rId1" o:title="image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35A9"/>
    <w:rsid w:val="001B7C82"/>
    <w:rsid w:val="00407161"/>
    <w:rsid w:val="005C35A9"/>
    <w:rsid w:val="00FB2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C29480"/>
  <w15:docId w15:val="{AE3D5DB3-0E31-4921-820C-1647495897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pt-BR" w:eastAsia="pt-BR" w:bidi="ar-SA"/>
      </w:rPr>
    </w:rPrDefault>
    <w:pPrDefault>
      <w:pPr>
        <w:spacing w:line="259" w:lineRule="auto"/>
        <w:ind w:firstLine="56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line="360" w:lineRule="auto"/>
      <w:ind w:firstLine="0"/>
      <w:outlineLvl w:val="0"/>
    </w:pPr>
    <w:rPr>
      <w:rFonts w:ascii="Arial" w:eastAsia="Arial" w:hAnsi="Arial" w:cs="Arial"/>
      <w:b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i/>
      <w:color w:val="595959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26BC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26BC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26BC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line="360" w:lineRule="auto"/>
      <w:ind w:firstLine="0"/>
      <w:jc w:val="center"/>
    </w:pPr>
    <w:rPr>
      <w:rFonts w:ascii="Arial" w:eastAsia="Arial" w:hAnsi="Arial" w:cs="Arial"/>
      <w:b/>
      <w:sz w:val="24"/>
      <w:szCs w:val="24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Ttulo1Char">
    <w:name w:val="Título 1 Char"/>
    <w:basedOn w:val="Fontepargpadro"/>
    <w:uiPriority w:val="9"/>
    <w:rsid w:val="004C446D"/>
    <w:rPr>
      <w:rFonts w:ascii="Arial" w:eastAsiaTheme="majorEastAsia" w:hAnsi="Arial" w:cstheme="majorBidi"/>
      <w:b/>
      <w:sz w:val="24"/>
      <w:szCs w:val="40"/>
    </w:rPr>
  </w:style>
  <w:style w:type="character" w:customStyle="1" w:styleId="Ttulo2Char">
    <w:name w:val="Título 2 Char"/>
    <w:basedOn w:val="Fontepargpadro"/>
    <w:uiPriority w:val="9"/>
    <w:semiHidden/>
    <w:rsid w:val="00026B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uiPriority w:val="9"/>
    <w:semiHidden/>
    <w:rsid w:val="00026BC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uiPriority w:val="9"/>
    <w:semiHidden/>
    <w:rsid w:val="00026BC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uiPriority w:val="9"/>
    <w:semiHidden/>
    <w:rsid w:val="00026BCD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uiPriority w:val="9"/>
    <w:semiHidden/>
    <w:rsid w:val="00026BCD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26BCD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26BCD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26BCD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uiPriority w:val="10"/>
    <w:rsid w:val="004C446D"/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character" w:customStyle="1" w:styleId="SubttuloChar">
    <w:name w:val="Subtítulo Char"/>
    <w:basedOn w:val="Fontepargpadro"/>
    <w:uiPriority w:val="11"/>
    <w:rsid w:val="00026B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026BC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026BCD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026BCD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026BCD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26B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26BCD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026BCD"/>
    <w:rPr>
      <w:b/>
      <w:bCs/>
      <w:smallCaps/>
      <w:color w:val="0F4761" w:themeColor="accent1" w:themeShade="BF"/>
      <w:spacing w:val="5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026BCD"/>
    <w:pPr>
      <w:spacing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026BCD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026BCD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026BCD"/>
    <w:pPr>
      <w:spacing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026BCD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026BCD"/>
    <w:rPr>
      <w:vertAlign w:val="superscript"/>
    </w:rPr>
  </w:style>
  <w:style w:type="paragraph" w:customStyle="1" w:styleId="Notaderodap">
    <w:name w:val="Nota de rodapé"/>
    <w:basedOn w:val="Textodenotaderodap"/>
    <w:qFormat/>
    <w:rsid w:val="004C446D"/>
    <w:pPr>
      <w:ind w:firstLine="0"/>
    </w:pPr>
    <w:rPr>
      <w:rFonts w:ascii="Arial" w:hAnsi="Arial"/>
      <w:sz w:val="22"/>
    </w:rPr>
  </w:style>
  <w:style w:type="paragraph" w:customStyle="1" w:styleId="Texto">
    <w:name w:val="Texto"/>
    <w:basedOn w:val="Normal"/>
    <w:qFormat/>
    <w:rsid w:val="004C446D"/>
    <w:pPr>
      <w:tabs>
        <w:tab w:val="center" w:pos="4819"/>
      </w:tabs>
      <w:spacing w:line="360" w:lineRule="auto"/>
      <w:ind w:firstLine="709"/>
    </w:pPr>
    <w:rPr>
      <w:rFonts w:ascii="Arial" w:hAnsi="Arial" w:cs="Arial"/>
      <w:sz w:val="24"/>
      <w:szCs w:val="24"/>
    </w:rPr>
  </w:style>
  <w:style w:type="paragraph" w:customStyle="1" w:styleId="Resumo">
    <w:name w:val="Resumo"/>
    <w:basedOn w:val="Normal"/>
    <w:qFormat/>
    <w:rsid w:val="004C446D"/>
    <w:pPr>
      <w:spacing w:line="240" w:lineRule="auto"/>
      <w:ind w:firstLine="0"/>
    </w:pPr>
    <w:rPr>
      <w:rFonts w:ascii="Arial" w:hAnsi="Arial" w:cs="Arial"/>
      <w:sz w:val="24"/>
      <w:szCs w:val="24"/>
    </w:rPr>
  </w:style>
  <w:style w:type="paragraph" w:customStyle="1" w:styleId="TtulosNoNumerados">
    <w:name w:val="Títulos Não Numerados"/>
    <w:basedOn w:val="Normal"/>
    <w:qFormat/>
    <w:rsid w:val="004C446D"/>
    <w:pPr>
      <w:spacing w:line="360" w:lineRule="auto"/>
      <w:ind w:firstLine="0"/>
      <w:jc w:val="left"/>
    </w:pPr>
    <w:rPr>
      <w:rFonts w:ascii="Arial" w:hAnsi="Arial" w:cs="Arial"/>
      <w:b/>
      <w:bCs/>
      <w:sz w:val="24"/>
      <w:szCs w:val="24"/>
    </w:rPr>
  </w:style>
  <w:style w:type="paragraph" w:customStyle="1" w:styleId="Autoria">
    <w:name w:val="Autoria"/>
    <w:basedOn w:val="Normal"/>
    <w:qFormat/>
    <w:rsid w:val="004C446D"/>
    <w:pPr>
      <w:spacing w:line="240" w:lineRule="auto"/>
      <w:ind w:firstLine="0"/>
      <w:jc w:val="right"/>
    </w:pPr>
    <w:rPr>
      <w:rFonts w:ascii="Arial" w:hAnsi="Arial" w:cs="Arial"/>
      <w:szCs w:val="24"/>
    </w:rPr>
  </w:style>
  <w:style w:type="paragraph" w:customStyle="1" w:styleId="Referncias">
    <w:name w:val="Referências"/>
    <w:basedOn w:val="Texto"/>
    <w:qFormat/>
    <w:rsid w:val="00442C14"/>
    <w:pPr>
      <w:spacing w:line="240" w:lineRule="auto"/>
      <w:ind w:firstLine="0"/>
      <w:jc w:val="left"/>
    </w:pPr>
  </w:style>
  <w:style w:type="character" w:styleId="Hyperlink">
    <w:name w:val="Hyperlink"/>
    <w:basedOn w:val="Fontepargpadro"/>
    <w:uiPriority w:val="99"/>
    <w:unhideWhenUsed/>
    <w:rsid w:val="00AD5392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D5392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E406F6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406F6"/>
  </w:style>
  <w:style w:type="paragraph" w:styleId="Rodap">
    <w:name w:val="footer"/>
    <w:basedOn w:val="Normal"/>
    <w:link w:val="RodapChar"/>
    <w:uiPriority w:val="99"/>
    <w:unhideWhenUsed/>
    <w:rsid w:val="00E406F6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406F6"/>
  </w:style>
  <w:style w:type="table" w:styleId="Tabelacomgrade">
    <w:name w:val="Table Grid"/>
    <w:basedOn w:val="Tabelanormal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ubttulo">
    <w:name w:val="Subtitle"/>
    <w:basedOn w:val="Normal"/>
    <w:next w:val="Normal"/>
    <w:uiPriority w:val="11"/>
    <w:qFormat/>
    <w:pPr>
      <w:spacing w:after="160"/>
    </w:pPr>
    <w:rPr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eFd9gpRHSApAcg/IO9F+MiAclA==">CgMxLjAaHwoBMBIaChgICVIUChJ0YWJsZS42MDZicmg0NG91bDU4AHIhMTZVZFhZMDZWVzhta0NiNE9CcFpuOTFMdUNTV3RCa3JJ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1822</Words>
  <Characters>9844</Characters>
  <Application>Microsoft Office Word</Application>
  <DocSecurity>0</DocSecurity>
  <Lines>82</Lines>
  <Paragraphs>23</Paragraphs>
  <ScaleCrop>false</ScaleCrop>
  <Company/>
  <LinksUpToDate>false</LinksUpToDate>
  <CharactersWithSpaces>11643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Kelly Ayanna Peters Barros</dc:creator>
  <cp:lastModifiedBy>Daniele Caetano Souza</cp:lastModifiedBy>
  <cp:revision>2</cp:revision>
  <dcterms:created xsi:type="dcterms:W3CDTF">2025-10-13T17:17:00Z</dcterms:created>
  <dcterms:modified xsi:type="dcterms:W3CDTF">2025-11-02T23:44:00Z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f9c0dd6-8c65-43d6-9995-fff3709d7310_Enabled">
    <vt:lpwstr>true</vt:lpwstr>
  </property>
  <property fmtid="{D5CDD505-2E9C-101B-9397-08002B2CF9AE}" pid="3" name="MSIP_Label_9f9c0dd6-8c65-43d6-9995-fff3709d7310_SetDate">
    <vt:lpwstr>2025-08-19T19:29:39Z</vt:lpwstr>
  </property>
  <property fmtid="{D5CDD505-2E9C-101B-9397-08002B2CF9AE}" pid="4" name="MSIP_Label_9f9c0dd6-8c65-43d6-9995-fff3709d7310_Method">
    <vt:lpwstr>Standard</vt:lpwstr>
  </property>
  <property fmtid="{D5CDD505-2E9C-101B-9397-08002B2CF9AE}" pid="5" name="MSIP_Label_9f9c0dd6-8c65-43d6-9995-fff3709d7310_Name">
    <vt:lpwstr>defa4170-0d19-0005-0000-bc88714345d2</vt:lpwstr>
  </property>
  <property fmtid="{D5CDD505-2E9C-101B-9397-08002B2CF9AE}" pid="6" name="MSIP_Label_9f9c0dd6-8c65-43d6-9995-fff3709d7310_SiteId">
    <vt:lpwstr>0c2d222a-ecda-4b70-960a-acef6ced3052</vt:lpwstr>
  </property>
  <property fmtid="{D5CDD505-2E9C-101B-9397-08002B2CF9AE}" pid="7" name="MSIP_Label_9f9c0dd6-8c65-43d6-9995-fff3709d7310_ActionId">
    <vt:lpwstr>fc2fd069-19e2-4f8f-a8fe-daf1a673d360</vt:lpwstr>
  </property>
  <property fmtid="{D5CDD505-2E9C-101B-9397-08002B2CF9AE}" pid="8" name="MSIP_Label_9f9c0dd6-8c65-43d6-9995-fff3709d7310_ContentBits">
    <vt:lpwstr>0</vt:lpwstr>
  </property>
  <property fmtid="{D5CDD505-2E9C-101B-9397-08002B2CF9AE}" pid="9" name="MSIP_Label_9f9c0dd6-8c65-43d6-9995-fff3709d7310_Tag">
    <vt:lpwstr>10, 3, 0, 2</vt:lpwstr>
  </property>
</Properties>
</file>