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2506A62D" w:rsidR="0491D5EE" w:rsidRPr="001F6136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2A215E">
        <w:rPr>
          <w:rFonts w:ascii="Arial" w:hAnsi="Arial" w:cs="Arial"/>
          <w:sz w:val="24"/>
          <w:szCs w:val="24"/>
        </w:rPr>
        <w:t>13. Desafios, Tendências e Impactos da</w:t>
      </w:r>
      <w:r w:rsidR="005D3FFC">
        <w:rPr>
          <w:rFonts w:ascii="Arial" w:hAnsi="Arial" w:cs="Arial"/>
          <w:sz w:val="24"/>
          <w:szCs w:val="24"/>
        </w:rPr>
        <w:t>s</w:t>
      </w:r>
      <w:r w:rsidR="002A215E">
        <w:rPr>
          <w:rFonts w:ascii="Arial" w:hAnsi="Arial" w:cs="Arial"/>
          <w:sz w:val="24"/>
          <w:szCs w:val="24"/>
        </w:rPr>
        <w:t xml:space="preserve"> Políticas Públicas na Educação: qualidade, equidade e gestão em perspectiva nacional e internacional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752D4864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02A215E">
        <w:rPr>
          <w:rFonts w:ascii="Arial" w:hAnsi="Arial" w:cs="Arial"/>
          <w:sz w:val="24"/>
          <w:szCs w:val="24"/>
        </w:rPr>
        <w:t>Comunicação Oral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7AE1749C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</w:t>
      </w:r>
      <w:r w:rsidR="002A215E">
        <w:rPr>
          <w:rFonts w:ascii="Arial" w:hAnsi="Arial" w:cs="Arial"/>
          <w:sz w:val="24"/>
          <w:szCs w:val="24"/>
        </w:rPr>
        <w:t>Presencial</w:t>
      </w:r>
    </w:p>
    <w:p w14:paraId="5191CADF" w14:textId="5F803C52" w:rsidR="0491D5EE" w:rsidRDefault="0491D5EE" w:rsidP="00E73320">
      <w:pPr>
        <w:pStyle w:val="Texto"/>
      </w:pPr>
    </w:p>
    <w:p w14:paraId="2C8BD57A" w14:textId="697B1492" w:rsidR="003B2FAA" w:rsidRDefault="00B56F33" w:rsidP="003B2FAA">
      <w:pPr>
        <w:pStyle w:val="Ttulo"/>
      </w:pPr>
      <w:r>
        <w:t>FORMAÇÃO DE PROFESSORES</w:t>
      </w:r>
      <w:r w:rsidR="005B1D03">
        <w:t xml:space="preserve"> DO ENSINO MÉDIO</w:t>
      </w:r>
      <w:r>
        <w:t xml:space="preserve"> PROMOVIDAS POR INSTITUTOS FILANTRÓPICOS E CONSTITUIÇÃO DA IDENTIDADE DOCENTE</w:t>
      </w:r>
    </w:p>
    <w:p w14:paraId="5A1B1E66" w14:textId="6C5C168C" w:rsidR="78AE189E" w:rsidRPr="008955B6" w:rsidRDefault="78AE189E" w:rsidP="00E73320">
      <w:pPr>
        <w:pStyle w:val="Texto"/>
      </w:pPr>
    </w:p>
    <w:p w14:paraId="7DC4BC66" w14:textId="56D567AD" w:rsidR="00A161E5" w:rsidRDefault="00B56F33" w:rsidP="004C446D">
      <w:pPr>
        <w:pStyle w:val="Autoria"/>
        <w:rPr>
          <w:sz w:val="24"/>
        </w:rPr>
      </w:pPr>
      <w:r>
        <w:rPr>
          <w:sz w:val="24"/>
        </w:rPr>
        <w:t>Elaine Hoffmann</w:t>
      </w:r>
      <w:r w:rsidR="00250E5E">
        <w:rPr>
          <w:rStyle w:val="Refdenotaderodap"/>
          <w:sz w:val="24"/>
        </w:rPr>
        <w:footnoteReference w:id="1"/>
      </w:r>
    </w:p>
    <w:p w14:paraId="4D0C00AE" w14:textId="6184EA4E" w:rsidR="00B56F33" w:rsidRPr="00DA1797" w:rsidRDefault="00B56F33" w:rsidP="004C446D">
      <w:pPr>
        <w:pStyle w:val="Autoria"/>
        <w:rPr>
          <w:sz w:val="24"/>
        </w:rPr>
      </w:pPr>
      <w:r>
        <w:rPr>
          <w:sz w:val="24"/>
        </w:rPr>
        <w:t>Carin Carvalho Brugnara</w:t>
      </w:r>
      <w:r>
        <w:rPr>
          <w:rStyle w:val="Refdenotaderodap"/>
          <w:sz w:val="24"/>
        </w:rPr>
        <w:footnoteReference w:id="2"/>
      </w:r>
    </w:p>
    <w:p w14:paraId="4F47D999" w14:textId="323E0AE3" w:rsidR="00DF040B" w:rsidRPr="00DA1797" w:rsidRDefault="00250E5E" w:rsidP="00250E5E">
      <w:pPr>
        <w:pStyle w:val="Texto"/>
        <w:tabs>
          <w:tab w:val="clear" w:pos="4819"/>
          <w:tab w:val="left" w:pos="5760"/>
        </w:tabs>
      </w:pPr>
      <w:r>
        <w:tab/>
      </w:r>
    </w:p>
    <w:p w14:paraId="7783C2E5" w14:textId="32F32CB9" w:rsidR="00BB3206" w:rsidRPr="002A215E" w:rsidRDefault="00BD0F6C" w:rsidP="00442C14">
      <w:pPr>
        <w:pStyle w:val="Resumo"/>
      </w:pPr>
      <w:r w:rsidRPr="001A1913">
        <w:rPr>
          <w:b/>
          <w:bCs/>
        </w:rPr>
        <w:t xml:space="preserve">PALAVRAS-CHAVE: </w:t>
      </w:r>
      <w:r w:rsidR="002A215E" w:rsidRPr="002A215E">
        <w:t>Formação de Professores</w:t>
      </w:r>
      <w:r w:rsidR="00D75607">
        <w:t>,</w:t>
      </w:r>
      <w:r w:rsidR="002A215E" w:rsidRPr="002A215E">
        <w:t xml:space="preserve"> Ensino Médio</w:t>
      </w:r>
      <w:r w:rsidR="00D75607">
        <w:t>,</w:t>
      </w:r>
      <w:r w:rsidR="002A215E" w:rsidRPr="002A215E">
        <w:t xml:space="preserve"> Institutos Filantrópicos</w:t>
      </w:r>
      <w:r w:rsidR="00D75607">
        <w:t>,</w:t>
      </w:r>
      <w:r w:rsidR="002A215E" w:rsidRPr="002A215E">
        <w:t xml:space="preserve"> </w:t>
      </w:r>
      <w:r w:rsidR="002A215E">
        <w:t>Políticas Educacionais</w:t>
      </w:r>
      <w:r w:rsidR="005B1D03">
        <w:t>.</w:t>
      </w: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5E01BBAE" w14:textId="77777777" w:rsidR="008955B6" w:rsidRDefault="008955B6" w:rsidP="008955B6"/>
    <w:p w14:paraId="45F2C79A" w14:textId="761EC289" w:rsidR="005B1D03" w:rsidRDefault="008955B6" w:rsidP="00CC1CEC">
      <w:pPr>
        <w:pStyle w:val="Epgrafe2"/>
        <w:spacing w:before="0" w:after="0"/>
        <w:ind w:left="0" w:firstLine="425"/>
        <w:rPr>
          <w:rFonts w:ascii="Arial" w:hAnsi="Arial" w:cs="Arial"/>
          <w:b w:val="0"/>
          <w:bCs/>
          <w:szCs w:val="24"/>
          <w:lang w:val="pt-BR"/>
        </w:rPr>
      </w:pPr>
      <w:r w:rsidRPr="008955B6">
        <w:rPr>
          <w:rFonts w:ascii="Arial" w:hAnsi="Arial" w:cs="Arial"/>
          <w:b w:val="0"/>
          <w:bCs/>
          <w:szCs w:val="24"/>
          <w:lang w:val="pt-BR"/>
        </w:rPr>
        <w:t>Este trabalho objetiva analisar co</w:t>
      </w:r>
      <w:r>
        <w:rPr>
          <w:rFonts w:ascii="Arial" w:hAnsi="Arial" w:cs="Arial"/>
          <w:b w:val="0"/>
          <w:bCs/>
          <w:szCs w:val="24"/>
          <w:lang w:val="pt-BR"/>
        </w:rPr>
        <w:t xml:space="preserve">mo a formação para professores do Ensino Médio </w:t>
      </w:r>
      <w:r w:rsidR="005B1D03">
        <w:rPr>
          <w:rFonts w:ascii="Arial" w:hAnsi="Arial" w:cs="Arial"/>
          <w:b w:val="0"/>
          <w:bCs/>
          <w:szCs w:val="24"/>
          <w:lang w:val="pt-BR"/>
        </w:rPr>
        <w:t>pode influenciar</w:t>
      </w:r>
      <w:r>
        <w:rPr>
          <w:rFonts w:ascii="Arial" w:hAnsi="Arial" w:cs="Arial"/>
          <w:b w:val="0"/>
          <w:bCs/>
          <w:szCs w:val="24"/>
          <w:lang w:val="pt-BR"/>
        </w:rPr>
        <w:t xml:space="preserve"> a constituição </w:t>
      </w:r>
      <w:r w:rsidR="005B1D03">
        <w:rPr>
          <w:rFonts w:ascii="Arial" w:hAnsi="Arial" w:cs="Arial"/>
          <w:b w:val="0"/>
          <w:bCs/>
          <w:szCs w:val="24"/>
          <w:lang w:val="pt-BR"/>
        </w:rPr>
        <w:t>identitária</w:t>
      </w:r>
      <w:r>
        <w:rPr>
          <w:rFonts w:ascii="Arial" w:hAnsi="Arial" w:cs="Arial"/>
          <w:b w:val="0"/>
          <w:bCs/>
          <w:szCs w:val="24"/>
          <w:lang w:val="pt-BR"/>
        </w:rPr>
        <w:t xml:space="preserve"> dos docentes. </w:t>
      </w:r>
      <w:r w:rsidR="000A2154">
        <w:rPr>
          <w:rFonts w:ascii="Arial" w:hAnsi="Arial" w:cs="Arial"/>
          <w:b w:val="0"/>
          <w:bCs/>
          <w:szCs w:val="24"/>
          <w:lang w:val="pt-BR"/>
        </w:rPr>
        <w:t>Verificamos</w:t>
      </w:r>
      <w:r>
        <w:rPr>
          <w:rFonts w:ascii="Arial" w:hAnsi="Arial" w:cs="Arial"/>
          <w:b w:val="0"/>
          <w:bCs/>
          <w:szCs w:val="24"/>
          <w:lang w:val="pt-BR"/>
        </w:rPr>
        <w:t xml:space="preserve"> sites e plataformas de diferentes institutos filantrópicos que atuam na educação brasileira para identificar</w:t>
      </w:r>
      <w:r w:rsidR="005B1D03">
        <w:rPr>
          <w:rFonts w:ascii="Arial" w:hAnsi="Arial" w:cs="Arial"/>
          <w:b w:val="0"/>
          <w:bCs/>
          <w:szCs w:val="24"/>
          <w:lang w:val="pt-BR"/>
        </w:rPr>
        <w:t xml:space="preserve"> </w:t>
      </w:r>
      <w:r w:rsidRPr="00CC1CEC">
        <w:rPr>
          <w:rFonts w:ascii="Arial" w:hAnsi="Arial" w:cs="Arial"/>
          <w:b w:val="0"/>
          <w:bCs/>
          <w:szCs w:val="24"/>
          <w:lang w:val="pt-BR"/>
        </w:rPr>
        <w:t xml:space="preserve">quais estão, </w:t>
      </w:r>
      <w:r w:rsidR="000A2154">
        <w:rPr>
          <w:rFonts w:ascii="Arial" w:hAnsi="Arial" w:cs="Arial"/>
          <w:b w:val="0"/>
          <w:bCs/>
          <w:szCs w:val="24"/>
          <w:lang w:val="pt-BR"/>
        </w:rPr>
        <w:t>na atualidade</w:t>
      </w:r>
      <w:r w:rsidRPr="00CC1CEC">
        <w:rPr>
          <w:rFonts w:ascii="Arial" w:hAnsi="Arial" w:cs="Arial"/>
          <w:b w:val="0"/>
          <w:bCs/>
          <w:szCs w:val="24"/>
          <w:lang w:val="pt-BR"/>
        </w:rPr>
        <w:t xml:space="preserve">, mais </w:t>
      </w:r>
      <w:r w:rsidR="002A215E">
        <w:rPr>
          <w:rFonts w:ascii="Arial" w:hAnsi="Arial" w:cs="Arial"/>
          <w:b w:val="0"/>
          <w:bCs/>
          <w:szCs w:val="24"/>
          <w:lang w:val="pt-BR"/>
        </w:rPr>
        <w:t xml:space="preserve">atuantes no que diz respeito à </w:t>
      </w:r>
      <w:r w:rsidRPr="00CC1CEC">
        <w:rPr>
          <w:rFonts w:ascii="Arial" w:hAnsi="Arial" w:cs="Arial"/>
          <w:b w:val="0"/>
          <w:bCs/>
          <w:szCs w:val="24"/>
          <w:lang w:val="pt-BR"/>
        </w:rPr>
        <w:t>formação de profe</w:t>
      </w:r>
      <w:r w:rsidR="005B1D03">
        <w:rPr>
          <w:rFonts w:ascii="Arial" w:hAnsi="Arial" w:cs="Arial"/>
          <w:b w:val="0"/>
          <w:bCs/>
          <w:szCs w:val="24"/>
          <w:lang w:val="pt-BR"/>
        </w:rPr>
        <w:t>s</w:t>
      </w:r>
      <w:r w:rsidRPr="00CC1CEC">
        <w:rPr>
          <w:rFonts w:ascii="Arial" w:hAnsi="Arial" w:cs="Arial"/>
          <w:b w:val="0"/>
          <w:bCs/>
          <w:szCs w:val="24"/>
          <w:lang w:val="pt-BR"/>
        </w:rPr>
        <w:t xml:space="preserve">sores do Ensino Médio. </w:t>
      </w:r>
    </w:p>
    <w:p w14:paraId="7114C981" w14:textId="33A03915" w:rsidR="00B8211D" w:rsidRDefault="008A7539" w:rsidP="00CC1CEC">
      <w:pPr>
        <w:pStyle w:val="Epgrafe2"/>
        <w:spacing w:before="0" w:after="0"/>
        <w:ind w:left="0" w:firstLine="425"/>
        <w:rPr>
          <w:rFonts w:ascii="Arial" w:hAnsi="Arial" w:cs="Arial"/>
          <w:b w:val="0"/>
          <w:bCs/>
          <w:szCs w:val="24"/>
          <w:lang w:val="pt-BR"/>
        </w:rPr>
      </w:pPr>
      <w:r w:rsidRPr="008A7539">
        <w:rPr>
          <w:rFonts w:ascii="Arial" w:hAnsi="Arial" w:cs="Arial"/>
          <w:b w:val="0"/>
          <w:bCs/>
          <w:szCs w:val="24"/>
          <w:lang w:val="pt-BR"/>
        </w:rPr>
        <w:t xml:space="preserve">Chamou-nos a atenção o </w:t>
      </w:r>
      <w:r>
        <w:rPr>
          <w:rFonts w:ascii="Arial" w:hAnsi="Arial" w:cs="Arial"/>
          <w:b w:val="0"/>
          <w:bCs/>
          <w:szCs w:val="24"/>
          <w:lang w:val="pt-BR"/>
        </w:rPr>
        <w:t>Instituto Reúna</w:t>
      </w:r>
      <w:r w:rsidR="001D146E">
        <w:rPr>
          <w:rFonts w:ascii="Arial" w:hAnsi="Arial" w:cs="Arial"/>
          <w:b w:val="0"/>
          <w:bCs/>
          <w:szCs w:val="24"/>
          <w:lang w:val="pt-BR"/>
        </w:rPr>
        <w:t xml:space="preserve"> (2024)</w:t>
      </w:r>
      <w:r>
        <w:rPr>
          <w:rFonts w:ascii="Arial" w:hAnsi="Arial" w:cs="Arial"/>
          <w:b w:val="0"/>
          <w:bCs/>
          <w:szCs w:val="24"/>
          <w:lang w:val="pt-BR"/>
        </w:rPr>
        <w:t xml:space="preserve"> que, em </w:t>
      </w:r>
      <w:r w:rsidR="00B8211D">
        <w:rPr>
          <w:rFonts w:ascii="Arial" w:hAnsi="Arial" w:cs="Arial"/>
          <w:b w:val="0"/>
          <w:bCs/>
          <w:szCs w:val="24"/>
          <w:lang w:val="pt-BR"/>
        </w:rPr>
        <w:t xml:space="preserve">28 de </w:t>
      </w:r>
      <w:r>
        <w:rPr>
          <w:rFonts w:ascii="Arial" w:hAnsi="Arial" w:cs="Arial"/>
          <w:b w:val="0"/>
          <w:bCs/>
          <w:szCs w:val="24"/>
          <w:lang w:val="pt-BR"/>
        </w:rPr>
        <w:t>setembro de 2024, enviou às escolas brasileiras um e-</w:t>
      </w:r>
      <w:r w:rsidRPr="00262993">
        <w:rPr>
          <w:rFonts w:ascii="Arial" w:hAnsi="Arial" w:cs="Arial"/>
          <w:b w:val="0"/>
          <w:bCs/>
          <w:szCs w:val="24"/>
          <w:lang w:val="pt-BR"/>
        </w:rPr>
        <w:t>mail</w:t>
      </w:r>
      <w:r w:rsidR="001D146E">
        <w:rPr>
          <w:rFonts w:ascii="Arial" w:hAnsi="Arial" w:cs="Arial"/>
          <w:b w:val="0"/>
          <w:bCs/>
          <w:szCs w:val="24"/>
          <w:lang w:val="pt-BR"/>
        </w:rPr>
        <w:t xml:space="preserve"> </w:t>
      </w:r>
      <w:r>
        <w:rPr>
          <w:rFonts w:ascii="Arial" w:hAnsi="Arial" w:cs="Arial"/>
          <w:b w:val="0"/>
          <w:bCs/>
          <w:szCs w:val="24"/>
          <w:lang w:val="pt-BR"/>
        </w:rPr>
        <w:t xml:space="preserve">no qual informava sua parceria com o </w:t>
      </w:r>
      <w:r w:rsidR="001D146E">
        <w:rPr>
          <w:rFonts w:ascii="Arial" w:hAnsi="Arial" w:cs="Arial"/>
          <w:b w:val="0"/>
          <w:bCs/>
          <w:szCs w:val="24"/>
          <w:lang w:val="pt-BR"/>
        </w:rPr>
        <w:t>Consed</w:t>
      </w:r>
      <w:r>
        <w:rPr>
          <w:rFonts w:ascii="Arial" w:hAnsi="Arial" w:cs="Arial"/>
          <w:b w:val="0"/>
          <w:bCs/>
          <w:szCs w:val="24"/>
          <w:lang w:val="pt-BR"/>
        </w:rPr>
        <w:t xml:space="preserve"> (Conselho Nacional de Secretários de Educação) para a criação da </w:t>
      </w:r>
      <w:r w:rsidRPr="005B1D03">
        <w:rPr>
          <w:rFonts w:ascii="Arial" w:hAnsi="Arial" w:cs="Arial"/>
          <w:b w:val="0"/>
          <w:bCs/>
          <w:i/>
          <w:iCs/>
          <w:szCs w:val="24"/>
          <w:lang w:val="pt-BR"/>
        </w:rPr>
        <w:t xml:space="preserve">Plataforma </w:t>
      </w:r>
      <w:r w:rsidRPr="005B1D03">
        <w:rPr>
          <w:rFonts w:ascii="Arial" w:hAnsi="Arial" w:cs="Arial"/>
          <w:b w:val="0"/>
          <w:bCs/>
          <w:i/>
          <w:iCs/>
          <w:szCs w:val="24"/>
          <w:lang w:val="pt-BR"/>
        </w:rPr>
        <w:lastRenderedPageBreak/>
        <w:t>Trilhares</w:t>
      </w:r>
      <w:r>
        <w:rPr>
          <w:rFonts w:ascii="Arial" w:hAnsi="Arial" w:cs="Arial"/>
          <w:b w:val="0"/>
          <w:bCs/>
          <w:szCs w:val="24"/>
          <w:lang w:val="pt-BR"/>
        </w:rPr>
        <w:t xml:space="preserve">. </w:t>
      </w:r>
      <w:r w:rsidRPr="008A7539">
        <w:rPr>
          <w:rFonts w:ascii="Arial" w:hAnsi="Arial" w:cs="Arial"/>
          <w:b w:val="0"/>
          <w:bCs/>
          <w:szCs w:val="24"/>
          <w:lang w:val="pt-BR"/>
        </w:rPr>
        <w:t xml:space="preserve">No e-mail consta a informação de que </w:t>
      </w:r>
      <w:r w:rsidR="00B8211D">
        <w:rPr>
          <w:rFonts w:ascii="Arial" w:hAnsi="Arial" w:cs="Arial"/>
          <w:b w:val="0"/>
          <w:bCs/>
          <w:szCs w:val="24"/>
          <w:lang w:val="pt-BR"/>
        </w:rPr>
        <w:t>“</w:t>
      </w:r>
      <w:r w:rsidR="00B8211D" w:rsidRPr="00B8211D">
        <w:rPr>
          <w:rFonts w:ascii="Arial" w:hAnsi="Arial" w:cs="Arial"/>
          <w:b w:val="0"/>
          <w:bCs/>
          <w:szCs w:val="24"/>
          <w:lang w:val="pt-BR"/>
        </w:rPr>
        <w:t>A Trilhares Ensino Médio é uma iniciativa gratuita que reúne recursos que auxiliam na construção de Itinerários Formativos de qualidade e fornecem suporte à sua implementação</w:t>
      </w:r>
      <w:r w:rsidR="00B8211D">
        <w:rPr>
          <w:rFonts w:ascii="Arial" w:hAnsi="Arial" w:cs="Arial"/>
          <w:b w:val="0"/>
          <w:bCs/>
          <w:szCs w:val="24"/>
          <w:lang w:val="pt-BR"/>
        </w:rPr>
        <w:t>”</w:t>
      </w:r>
      <w:r w:rsidR="000A2154">
        <w:rPr>
          <w:rFonts w:ascii="Arial" w:hAnsi="Arial" w:cs="Arial"/>
          <w:b w:val="0"/>
          <w:bCs/>
          <w:szCs w:val="24"/>
          <w:lang w:val="pt-BR"/>
        </w:rPr>
        <w:t xml:space="preserve"> (Reúna, 2024)</w:t>
      </w:r>
      <w:r w:rsidR="00B8211D" w:rsidRPr="00B8211D">
        <w:rPr>
          <w:rFonts w:ascii="Arial" w:hAnsi="Arial" w:cs="Arial"/>
          <w:b w:val="0"/>
          <w:bCs/>
          <w:szCs w:val="24"/>
          <w:lang w:val="pt-BR"/>
        </w:rPr>
        <w:t>.</w:t>
      </w:r>
    </w:p>
    <w:p w14:paraId="7EF0D5A0" w14:textId="6E606DC6" w:rsidR="008A7539" w:rsidRDefault="008A7539" w:rsidP="00CC1CEC">
      <w:pPr>
        <w:pStyle w:val="Epgrafe2"/>
        <w:spacing w:before="0" w:after="0"/>
        <w:ind w:left="0" w:firstLine="425"/>
        <w:rPr>
          <w:rFonts w:ascii="Arial" w:hAnsi="Arial" w:cs="Arial"/>
          <w:b w:val="0"/>
          <w:bCs/>
          <w:szCs w:val="24"/>
          <w:lang w:val="pt-BR"/>
        </w:rPr>
      </w:pPr>
      <w:r>
        <w:rPr>
          <w:rFonts w:ascii="Arial" w:hAnsi="Arial" w:cs="Arial"/>
          <w:b w:val="0"/>
          <w:bCs/>
          <w:szCs w:val="24"/>
          <w:lang w:val="pt-BR"/>
        </w:rPr>
        <w:t xml:space="preserve">A produção da plataforma considera a mudança na estrutura curricular do Ensino Médio, anunciada para 2025, </w:t>
      </w:r>
      <w:r w:rsidR="00BE75A1">
        <w:rPr>
          <w:rFonts w:ascii="Arial" w:hAnsi="Arial" w:cs="Arial"/>
          <w:b w:val="0"/>
          <w:bCs/>
          <w:szCs w:val="24"/>
          <w:lang w:val="pt-BR"/>
        </w:rPr>
        <w:t xml:space="preserve">pela lei 14.945/2024 </w:t>
      </w:r>
      <w:r w:rsidR="00BE75A1" w:rsidRPr="00BE75A1">
        <w:rPr>
          <w:rFonts w:ascii="Arial" w:hAnsi="Arial" w:cs="Arial"/>
          <w:b w:val="0"/>
          <w:bCs/>
          <w:szCs w:val="24"/>
          <w:lang w:val="pt-BR"/>
        </w:rPr>
        <w:t xml:space="preserve">(Brasil, 2024), </w:t>
      </w:r>
      <w:r w:rsidRPr="00BE75A1">
        <w:rPr>
          <w:rFonts w:ascii="Arial" w:hAnsi="Arial" w:cs="Arial"/>
          <w:b w:val="0"/>
          <w:bCs/>
          <w:szCs w:val="24"/>
          <w:lang w:val="pt-BR"/>
        </w:rPr>
        <w:t>de</w:t>
      </w:r>
      <w:r>
        <w:rPr>
          <w:rFonts w:ascii="Arial" w:hAnsi="Arial" w:cs="Arial"/>
          <w:b w:val="0"/>
          <w:bCs/>
          <w:szCs w:val="24"/>
          <w:lang w:val="pt-BR"/>
        </w:rPr>
        <w:t xml:space="preserve"> forma que esta etapa de ensino passou a constituir-se por Formação Geral Básica e Itinerários Formativ</w:t>
      </w:r>
      <w:r w:rsidR="00BE75A1">
        <w:rPr>
          <w:rFonts w:ascii="Arial" w:hAnsi="Arial" w:cs="Arial"/>
          <w:b w:val="0"/>
          <w:bCs/>
          <w:szCs w:val="24"/>
          <w:lang w:val="pt-BR"/>
        </w:rPr>
        <w:t>o</w:t>
      </w:r>
      <w:r>
        <w:rPr>
          <w:rFonts w:ascii="Arial" w:hAnsi="Arial" w:cs="Arial"/>
          <w:b w:val="0"/>
          <w:bCs/>
          <w:szCs w:val="24"/>
          <w:lang w:val="pt-BR"/>
        </w:rPr>
        <w:t>s</w:t>
      </w:r>
      <w:r w:rsidR="00BE75A1">
        <w:rPr>
          <w:rFonts w:ascii="Arial" w:hAnsi="Arial" w:cs="Arial"/>
          <w:b w:val="0"/>
          <w:bCs/>
          <w:szCs w:val="24"/>
          <w:lang w:val="pt-BR"/>
        </w:rPr>
        <w:t>.</w:t>
      </w:r>
      <w:r>
        <w:rPr>
          <w:rFonts w:ascii="Arial" w:hAnsi="Arial" w:cs="Arial"/>
          <w:b w:val="0"/>
          <w:bCs/>
          <w:szCs w:val="24"/>
          <w:lang w:val="pt-BR"/>
        </w:rPr>
        <w:t xml:space="preserve"> </w:t>
      </w:r>
    </w:p>
    <w:p w14:paraId="4296927E" w14:textId="09766A3A" w:rsidR="003B688F" w:rsidRDefault="001D146E" w:rsidP="00CC1CEC">
      <w:pPr>
        <w:pStyle w:val="Epgrafe2"/>
        <w:spacing w:before="0" w:after="0"/>
        <w:ind w:left="0" w:firstLine="425"/>
        <w:rPr>
          <w:rFonts w:ascii="Arial" w:hAnsi="Arial" w:cs="Arial"/>
          <w:b w:val="0"/>
          <w:bCs/>
          <w:szCs w:val="24"/>
          <w:lang w:val="pt-BR"/>
        </w:rPr>
      </w:pPr>
      <w:r>
        <w:rPr>
          <w:rFonts w:ascii="Arial" w:hAnsi="Arial" w:cs="Arial"/>
          <w:b w:val="0"/>
          <w:bCs/>
          <w:szCs w:val="24"/>
          <w:lang w:val="pt-BR"/>
        </w:rPr>
        <w:t>A</w:t>
      </w:r>
      <w:r w:rsidR="003B688F">
        <w:rPr>
          <w:rFonts w:ascii="Arial" w:hAnsi="Arial" w:cs="Arial"/>
          <w:b w:val="0"/>
          <w:bCs/>
          <w:szCs w:val="24"/>
          <w:lang w:val="pt-BR"/>
        </w:rPr>
        <w:t xml:space="preserve"> </w:t>
      </w:r>
      <w:r w:rsidR="003B688F" w:rsidRPr="002A215E">
        <w:rPr>
          <w:rFonts w:ascii="Arial" w:hAnsi="Arial" w:cs="Arial"/>
          <w:b w:val="0"/>
          <w:bCs/>
          <w:i/>
          <w:iCs/>
          <w:szCs w:val="24"/>
          <w:lang w:val="pt-BR"/>
        </w:rPr>
        <w:t>Plataforma Trilhares</w:t>
      </w:r>
      <w:r w:rsidR="005D3FFC" w:rsidRPr="005D3FFC">
        <w:rPr>
          <w:rFonts w:ascii="Arial" w:hAnsi="Arial" w:cs="Arial"/>
          <w:b w:val="0"/>
          <w:bCs/>
          <w:szCs w:val="24"/>
          <w:lang w:val="pt-BR"/>
        </w:rPr>
        <w:t>, no entanto,</w:t>
      </w:r>
      <w:r w:rsidR="003B688F">
        <w:rPr>
          <w:rFonts w:ascii="Arial" w:hAnsi="Arial" w:cs="Arial"/>
          <w:b w:val="0"/>
          <w:bCs/>
          <w:szCs w:val="24"/>
          <w:lang w:val="pt-BR"/>
        </w:rPr>
        <w:t xml:space="preserve"> </w:t>
      </w:r>
      <w:r w:rsidR="002A215E">
        <w:rPr>
          <w:rFonts w:ascii="Arial" w:hAnsi="Arial" w:cs="Arial"/>
          <w:b w:val="0"/>
          <w:bCs/>
          <w:szCs w:val="24"/>
          <w:lang w:val="pt-BR"/>
        </w:rPr>
        <w:t>está interligada à</w:t>
      </w:r>
      <w:r w:rsidR="003B688F">
        <w:rPr>
          <w:rFonts w:ascii="Arial" w:hAnsi="Arial" w:cs="Arial"/>
          <w:b w:val="0"/>
          <w:bCs/>
          <w:szCs w:val="24"/>
          <w:lang w:val="pt-BR"/>
        </w:rPr>
        <w:t xml:space="preserve"> </w:t>
      </w:r>
      <w:r w:rsidR="003B688F" w:rsidRPr="002A215E">
        <w:rPr>
          <w:rFonts w:ascii="Arial" w:hAnsi="Arial" w:cs="Arial"/>
          <w:b w:val="0"/>
          <w:bCs/>
          <w:i/>
          <w:iCs/>
          <w:szCs w:val="24"/>
          <w:lang w:val="pt-BR"/>
        </w:rPr>
        <w:t>Plataforma Nosso Ensino Médio</w:t>
      </w:r>
      <w:r w:rsidR="003B688F">
        <w:rPr>
          <w:rFonts w:ascii="Arial" w:hAnsi="Arial" w:cs="Arial"/>
          <w:b w:val="0"/>
          <w:bCs/>
          <w:szCs w:val="24"/>
          <w:lang w:val="pt-BR"/>
        </w:rPr>
        <w:t xml:space="preserve">, </w:t>
      </w:r>
      <w:r w:rsidR="002A215E">
        <w:rPr>
          <w:rFonts w:ascii="Arial" w:hAnsi="Arial" w:cs="Arial"/>
          <w:b w:val="0"/>
          <w:bCs/>
          <w:szCs w:val="24"/>
          <w:lang w:val="pt-BR"/>
        </w:rPr>
        <w:t>dedicada especificamente à formação de professores desta etapa de ensino.</w:t>
      </w:r>
      <w:r>
        <w:rPr>
          <w:rFonts w:ascii="Arial" w:hAnsi="Arial" w:cs="Arial"/>
          <w:b w:val="0"/>
          <w:bCs/>
          <w:szCs w:val="24"/>
          <w:lang w:val="pt-BR"/>
        </w:rPr>
        <w:t xml:space="preserve"> </w:t>
      </w:r>
      <w:r w:rsidR="003B688F">
        <w:rPr>
          <w:rFonts w:ascii="Arial" w:hAnsi="Arial" w:cs="Arial"/>
          <w:b w:val="0"/>
          <w:bCs/>
          <w:szCs w:val="24"/>
          <w:lang w:val="pt-BR"/>
        </w:rPr>
        <w:t>Se considerarmos a parceria do Reúna com o Consed (que abarca todos os estados brasileiros</w:t>
      </w:r>
      <w:r w:rsidR="002A215E">
        <w:rPr>
          <w:rFonts w:ascii="Arial" w:hAnsi="Arial" w:cs="Arial"/>
          <w:b w:val="0"/>
          <w:bCs/>
          <w:szCs w:val="24"/>
          <w:lang w:val="pt-BR"/>
        </w:rPr>
        <w:t>)</w:t>
      </w:r>
      <w:r w:rsidR="003B688F">
        <w:rPr>
          <w:rFonts w:ascii="Arial" w:hAnsi="Arial" w:cs="Arial"/>
          <w:b w:val="0"/>
          <w:bCs/>
          <w:szCs w:val="24"/>
          <w:lang w:val="pt-BR"/>
        </w:rPr>
        <w:t xml:space="preserve"> para a produção e implementação dos Itinerários Formativos </w:t>
      </w:r>
      <w:r w:rsidR="00B8211D">
        <w:rPr>
          <w:rFonts w:ascii="Arial" w:hAnsi="Arial" w:cs="Arial"/>
          <w:b w:val="0"/>
          <w:bCs/>
          <w:szCs w:val="24"/>
          <w:lang w:val="pt-BR"/>
        </w:rPr>
        <w:t xml:space="preserve">e formação para professores </w:t>
      </w:r>
      <w:r w:rsidR="003B688F">
        <w:rPr>
          <w:rFonts w:ascii="Arial" w:hAnsi="Arial" w:cs="Arial"/>
          <w:b w:val="0"/>
          <w:bCs/>
          <w:szCs w:val="24"/>
          <w:lang w:val="pt-BR"/>
        </w:rPr>
        <w:t xml:space="preserve">através </w:t>
      </w:r>
      <w:r w:rsidR="00B8211D">
        <w:rPr>
          <w:rFonts w:ascii="Arial" w:hAnsi="Arial" w:cs="Arial"/>
          <w:b w:val="0"/>
          <w:bCs/>
          <w:szCs w:val="24"/>
          <w:lang w:val="pt-BR"/>
        </w:rPr>
        <w:t>das plataformas mencionadas</w:t>
      </w:r>
      <w:r w:rsidR="003B688F">
        <w:rPr>
          <w:rFonts w:ascii="Arial" w:hAnsi="Arial" w:cs="Arial"/>
          <w:b w:val="0"/>
          <w:bCs/>
          <w:szCs w:val="24"/>
          <w:lang w:val="pt-BR"/>
        </w:rPr>
        <w:t>, podemos visualizar uma possibilidade de regular os sentidos dos documentos oficiais da educação, que, por sua vez, também são produzidos por institutos filantrópicos</w:t>
      </w:r>
      <w:r w:rsidR="002A215E">
        <w:rPr>
          <w:rFonts w:ascii="Arial" w:hAnsi="Arial" w:cs="Arial"/>
          <w:b w:val="0"/>
          <w:bCs/>
          <w:szCs w:val="24"/>
          <w:lang w:val="pt-BR"/>
        </w:rPr>
        <w:t>.</w:t>
      </w:r>
      <w:r w:rsidR="003B688F">
        <w:rPr>
          <w:rFonts w:ascii="Arial" w:hAnsi="Arial" w:cs="Arial"/>
          <w:b w:val="0"/>
          <w:bCs/>
          <w:szCs w:val="24"/>
          <w:lang w:val="pt-BR"/>
        </w:rPr>
        <w:t xml:space="preserve"> </w:t>
      </w:r>
    </w:p>
    <w:p w14:paraId="1FDAD764" w14:textId="033D6F09" w:rsidR="003B688F" w:rsidRDefault="003B688F" w:rsidP="00CC1CEC">
      <w:pPr>
        <w:pStyle w:val="Epgrafe2"/>
        <w:spacing w:before="0" w:after="0"/>
        <w:ind w:left="0" w:firstLine="425"/>
        <w:rPr>
          <w:rFonts w:ascii="Arial" w:hAnsi="Arial" w:cs="Arial"/>
          <w:b w:val="0"/>
          <w:bCs/>
          <w:szCs w:val="24"/>
          <w:lang w:val="pt-BR"/>
        </w:rPr>
      </w:pPr>
      <w:r>
        <w:rPr>
          <w:rFonts w:ascii="Arial" w:hAnsi="Arial" w:cs="Arial"/>
          <w:b w:val="0"/>
          <w:bCs/>
          <w:szCs w:val="24"/>
          <w:lang w:val="pt-BR"/>
        </w:rPr>
        <w:t>Na tentativa de</w:t>
      </w:r>
      <w:r w:rsidR="009A30B6">
        <w:rPr>
          <w:rFonts w:ascii="Arial" w:hAnsi="Arial" w:cs="Arial"/>
          <w:b w:val="0"/>
          <w:bCs/>
          <w:szCs w:val="24"/>
          <w:lang w:val="pt-BR"/>
        </w:rPr>
        <w:t xml:space="preserve"> manter certo controle quanto à produção de sentidos e manutenção das intencionalidades dos documentos oficiais, conforme abordam </w:t>
      </w:r>
      <w:r w:rsidR="009A30B6" w:rsidRPr="005D0C40">
        <w:rPr>
          <w:rFonts w:ascii="Arial" w:hAnsi="Arial" w:cs="Arial"/>
          <w:b w:val="0"/>
          <w:bCs/>
          <w:szCs w:val="24"/>
          <w:lang w:val="pt-BR"/>
        </w:rPr>
        <w:t xml:space="preserve">Shiroma, Campos e Garcia (2005), </w:t>
      </w:r>
      <w:r w:rsidR="00CF79DF" w:rsidRPr="005D0C40">
        <w:rPr>
          <w:rFonts w:ascii="Arial" w:hAnsi="Arial" w:cs="Arial"/>
          <w:b w:val="0"/>
          <w:bCs/>
          <w:szCs w:val="24"/>
          <w:lang w:val="pt-BR"/>
        </w:rPr>
        <w:t>há</w:t>
      </w:r>
      <w:r w:rsidR="009A30B6" w:rsidRPr="005D0C40">
        <w:rPr>
          <w:rFonts w:ascii="Arial" w:hAnsi="Arial" w:cs="Arial"/>
          <w:b w:val="0"/>
          <w:bCs/>
          <w:szCs w:val="24"/>
          <w:lang w:val="pt-BR"/>
        </w:rPr>
        <w:t xml:space="preserve"> a necessidade</w:t>
      </w:r>
      <w:r w:rsidR="009A30B6">
        <w:rPr>
          <w:rFonts w:ascii="Arial" w:hAnsi="Arial" w:cs="Arial"/>
          <w:b w:val="0"/>
          <w:bCs/>
          <w:szCs w:val="24"/>
          <w:lang w:val="pt-BR"/>
        </w:rPr>
        <w:t xml:space="preserve"> de produção “outros textos”</w:t>
      </w:r>
      <w:r w:rsidR="000A2154">
        <w:rPr>
          <w:rFonts w:ascii="Arial" w:hAnsi="Arial" w:cs="Arial"/>
          <w:b w:val="0"/>
          <w:bCs/>
          <w:szCs w:val="24"/>
          <w:lang w:val="pt-BR"/>
        </w:rPr>
        <w:t>. Dentre os textos que visam a manutenção de sentidos oficiais, elegemos como nosso objeto de estudo os textos disponíveis n</w:t>
      </w:r>
      <w:r w:rsidR="00CF79DF">
        <w:rPr>
          <w:rFonts w:ascii="Arial" w:hAnsi="Arial" w:cs="Arial"/>
          <w:b w:val="0"/>
          <w:bCs/>
          <w:szCs w:val="24"/>
          <w:lang w:val="pt-BR"/>
        </w:rPr>
        <w:t xml:space="preserve">a </w:t>
      </w:r>
      <w:r w:rsidR="009A30B6" w:rsidRPr="00CF79DF">
        <w:rPr>
          <w:rFonts w:ascii="Arial" w:hAnsi="Arial" w:cs="Arial"/>
          <w:b w:val="0"/>
          <w:bCs/>
          <w:i/>
          <w:iCs/>
          <w:szCs w:val="24"/>
          <w:lang w:val="pt-BR"/>
        </w:rPr>
        <w:t>Plataforma Nosso Ensino Médio</w:t>
      </w:r>
      <w:r w:rsidR="004E7E88">
        <w:rPr>
          <w:rFonts w:ascii="Arial" w:hAnsi="Arial" w:cs="Arial"/>
          <w:b w:val="0"/>
          <w:bCs/>
          <w:i/>
          <w:iCs/>
          <w:szCs w:val="24"/>
          <w:lang w:val="pt-BR"/>
        </w:rPr>
        <w:t xml:space="preserve"> </w:t>
      </w:r>
      <w:r w:rsidR="004E7E88" w:rsidRPr="004E7E88">
        <w:rPr>
          <w:rFonts w:ascii="Arial" w:hAnsi="Arial" w:cs="Arial"/>
          <w:b w:val="0"/>
          <w:bCs/>
          <w:szCs w:val="24"/>
          <w:lang w:val="pt-BR"/>
        </w:rPr>
        <w:t>(s/d,s/p)</w:t>
      </w:r>
      <w:r w:rsidR="00B8211D" w:rsidRPr="004E7E88">
        <w:rPr>
          <w:rFonts w:ascii="Arial" w:hAnsi="Arial" w:cs="Arial"/>
          <w:b w:val="0"/>
          <w:bCs/>
          <w:szCs w:val="24"/>
          <w:lang w:val="pt-BR"/>
        </w:rPr>
        <w:t>,</w:t>
      </w:r>
      <w:r w:rsidR="000A2154">
        <w:rPr>
          <w:rFonts w:ascii="Arial" w:hAnsi="Arial" w:cs="Arial"/>
          <w:b w:val="0"/>
          <w:bCs/>
          <w:szCs w:val="24"/>
          <w:lang w:val="pt-BR"/>
        </w:rPr>
        <w:t xml:space="preserve"> </w:t>
      </w:r>
      <w:r w:rsidR="00B8211D">
        <w:rPr>
          <w:rFonts w:ascii="Arial" w:hAnsi="Arial" w:cs="Arial"/>
          <w:b w:val="0"/>
          <w:bCs/>
          <w:szCs w:val="24"/>
          <w:lang w:val="pt-BR"/>
        </w:rPr>
        <w:t>dos quais podemos inferir possíveis efeitos de sentidos para a constituição identitári</w:t>
      </w:r>
      <w:r w:rsidR="001D146E">
        <w:rPr>
          <w:rFonts w:ascii="Arial" w:hAnsi="Arial" w:cs="Arial"/>
          <w:b w:val="0"/>
          <w:bCs/>
          <w:szCs w:val="24"/>
          <w:lang w:val="pt-BR"/>
        </w:rPr>
        <w:t>a</w:t>
      </w:r>
      <w:r w:rsidR="00B8211D">
        <w:rPr>
          <w:rFonts w:ascii="Arial" w:hAnsi="Arial" w:cs="Arial"/>
          <w:b w:val="0"/>
          <w:bCs/>
          <w:szCs w:val="24"/>
          <w:lang w:val="pt-BR"/>
        </w:rPr>
        <w:t xml:space="preserve"> dos professores. </w:t>
      </w:r>
    </w:p>
    <w:p w14:paraId="60F60949" w14:textId="572E0D7D" w:rsidR="00B8211D" w:rsidRDefault="00B8211D" w:rsidP="00CC1CEC">
      <w:pPr>
        <w:pStyle w:val="Epgrafe2"/>
        <w:spacing w:before="0" w:after="0"/>
        <w:ind w:left="0" w:firstLine="425"/>
        <w:rPr>
          <w:rFonts w:ascii="Arial" w:hAnsi="Arial" w:cs="Arial"/>
          <w:b w:val="0"/>
          <w:bCs/>
          <w:szCs w:val="24"/>
          <w:lang w:val="pt-BR"/>
        </w:rPr>
      </w:pPr>
      <w:r>
        <w:rPr>
          <w:rFonts w:ascii="Arial" w:hAnsi="Arial" w:cs="Arial"/>
          <w:b w:val="0"/>
          <w:bCs/>
          <w:szCs w:val="24"/>
          <w:lang w:val="pt-BR"/>
        </w:rPr>
        <w:t>A respeito de os “outros textos” funcionarem como uma tentativa de regulação de sentidos dos documentos oficiais</w:t>
      </w:r>
      <w:r w:rsidR="001D146E">
        <w:rPr>
          <w:rFonts w:ascii="Arial" w:hAnsi="Arial" w:cs="Arial"/>
          <w:b w:val="0"/>
          <w:bCs/>
          <w:szCs w:val="24"/>
          <w:lang w:val="pt-BR"/>
        </w:rPr>
        <w:t>,</w:t>
      </w:r>
      <w:r>
        <w:rPr>
          <w:rFonts w:ascii="Arial" w:hAnsi="Arial" w:cs="Arial"/>
          <w:b w:val="0"/>
          <w:bCs/>
          <w:szCs w:val="24"/>
          <w:lang w:val="pt-BR"/>
        </w:rPr>
        <w:t xml:space="preserve"> no site </w:t>
      </w:r>
      <w:r w:rsidRPr="000523EB">
        <w:rPr>
          <w:rFonts w:ascii="Arial" w:hAnsi="Arial" w:cs="Arial"/>
          <w:b w:val="0"/>
          <w:bCs/>
          <w:szCs w:val="24"/>
          <w:lang w:val="pt-BR"/>
        </w:rPr>
        <w:t xml:space="preserve">do Instituo Reúna </w:t>
      </w:r>
      <w:r w:rsidR="00D421FC" w:rsidRPr="000523EB">
        <w:rPr>
          <w:rFonts w:ascii="Arial" w:hAnsi="Arial" w:cs="Arial"/>
          <w:b w:val="0"/>
          <w:bCs/>
          <w:szCs w:val="24"/>
          <w:lang w:val="pt-BR"/>
        </w:rPr>
        <w:t>(s/d, s/p</w:t>
      </w:r>
      <w:r w:rsidR="000523EB" w:rsidRPr="000523EB">
        <w:rPr>
          <w:rFonts w:ascii="Arial" w:hAnsi="Arial" w:cs="Arial"/>
          <w:b w:val="0"/>
          <w:bCs/>
          <w:szCs w:val="24"/>
          <w:lang w:val="pt-BR"/>
        </w:rPr>
        <w:t>.</w:t>
      </w:r>
      <w:r w:rsidR="00D421FC" w:rsidRPr="000523EB">
        <w:rPr>
          <w:rFonts w:ascii="Arial" w:hAnsi="Arial" w:cs="Arial"/>
          <w:b w:val="0"/>
          <w:bCs/>
          <w:szCs w:val="24"/>
          <w:lang w:val="pt-BR"/>
        </w:rPr>
        <w:t xml:space="preserve">) </w:t>
      </w:r>
      <w:r w:rsidRPr="000523EB">
        <w:rPr>
          <w:rFonts w:ascii="Arial" w:hAnsi="Arial" w:cs="Arial"/>
          <w:b w:val="0"/>
          <w:bCs/>
          <w:szCs w:val="24"/>
          <w:lang w:val="pt-BR"/>
        </w:rPr>
        <w:t>de</w:t>
      </w:r>
      <w:r>
        <w:rPr>
          <w:rFonts w:ascii="Arial" w:hAnsi="Arial" w:cs="Arial"/>
          <w:b w:val="0"/>
          <w:bCs/>
          <w:szCs w:val="24"/>
          <w:lang w:val="pt-BR"/>
        </w:rPr>
        <w:t xml:space="preserve">clara-se que </w:t>
      </w:r>
      <w:r w:rsidRPr="00D67294">
        <w:rPr>
          <w:rFonts w:ascii="Arial" w:hAnsi="Arial" w:cs="Arial"/>
          <w:b w:val="0"/>
          <w:bCs/>
          <w:szCs w:val="24"/>
          <w:lang w:val="pt-BR"/>
        </w:rPr>
        <w:t>“O Instituto Reúna traz a Base Nacional Comum Curricular - BNCC da legislação para</w:t>
      </w:r>
      <w:r w:rsidRPr="00B8211D">
        <w:rPr>
          <w:rFonts w:ascii="Arial" w:hAnsi="Arial" w:cs="Arial"/>
          <w:b w:val="0"/>
          <w:bCs/>
          <w:szCs w:val="24"/>
          <w:lang w:val="pt-BR"/>
        </w:rPr>
        <w:t xml:space="preserve"> a sala de aula. Nossas pesquisas e recursos pedagógicos apoiam as redes de educação e escolas de todo Brasil no desenvolvimento de um sistema pedagógico coerente</w:t>
      </w:r>
      <w:r>
        <w:rPr>
          <w:rFonts w:ascii="Arial" w:hAnsi="Arial" w:cs="Arial"/>
          <w:b w:val="0"/>
          <w:bCs/>
          <w:szCs w:val="24"/>
          <w:lang w:val="pt-BR"/>
        </w:rPr>
        <w:t>”</w:t>
      </w:r>
      <w:r w:rsidRPr="00B8211D">
        <w:rPr>
          <w:rFonts w:ascii="Arial" w:hAnsi="Arial" w:cs="Arial"/>
          <w:b w:val="0"/>
          <w:bCs/>
          <w:szCs w:val="24"/>
          <w:lang w:val="pt-BR"/>
        </w:rPr>
        <w:t>.</w:t>
      </w:r>
      <w:r w:rsidR="001D146E">
        <w:rPr>
          <w:rFonts w:ascii="Arial" w:hAnsi="Arial" w:cs="Arial"/>
          <w:b w:val="0"/>
          <w:bCs/>
          <w:szCs w:val="24"/>
          <w:lang w:val="pt-BR"/>
        </w:rPr>
        <w:t xml:space="preserve"> </w:t>
      </w:r>
      <w:r w:rsidR="00227C2E">
        <w:rPr>
          <w:rFonts w:ascii="Arial" w:hAnsi="Arial" w:cs="Arial"/>
          <w:b w:val="0"/>
          <w:bCs/>
          <w:szCs w:val="24"/>
          <w:lang w:val="pt-BR"/>
        </w:rPr>
        <w:t>Desta citação compreende-se que há a consciência por parte dos institutos filantrópicos que atuam na educação brasileira sobre essa necessidade de manutenção daquilo que está previsto como oficial, criando-se uma cultura que objetiva delinear a identidade e a atuação de professores e estudantes.</w:t>
      </w:r>
    </w:p>
    <w:p w14:paraId="29551728" w14:textId="77777777" w:rsidR="00D421FC" w:rsidRDefault="00D421FC" w:rsidP="00CC1CEC">
      <w:pPr>
        <w:pStyle w:val="Epgrafe2"/>
        <w:spacing w:before="0" w:after="0"/>
        <w:ind w:left="0" w:firstLine="425"/>
        <w:rPr>
          <w:rFonts w:ascii="Arial" w:hAnsi="Arial" w:cs="Arial"/>
          <w:b w:val="0"/>
          <w:bCs/>
          <w:szCs w:val="24"/>
          <w:lang w:val="pt-BR"/>
        </w:rPr>
      </w:pPr>
    </w:p>
    <w:p w14:paraId="41EEC0FF" w14:textId="3199E977" w:rsidR="00435A4C" w:rsidRDefault="00FC4166" w:rsidP="004C446D">
      <w:pPr>
        <w:pStyle w:val="Ttulo1"/>
      </w:pPr>
      <w:r>
        <w:t>2</w:t>
      </w:r>
      <w:r w:rsidR="00D97213">
        <w:t xml:space="preserve"> </w:t>
      </w:r>
      <w:r w:rsidR="00055BA2">
        <w:t>REFERENCIAL TEÓRICO</w:t>
      </w:r>
    </w:p>
    <w:p w14:paraId="5A35A39C" w14:textId="77777777" w:rsidR="008572BE" w:rsidRPr="00CC1CEC" w:rsidRDefault="008572BE" w:rsidP="00CC1CEC">
      <w:pPr>
        <w:spacing w:line="360" w:lineRule="auto"/>
        <w:rPr>
          <w:rFonts w:ascii="Arial" w:hAnsi="Arial" w:cs="Arial"/>
          <w:sz w:val="24"/>
          <w:szCs w:val="24"/>
        </w:rPr>
      </w:pPr>
    </w:p>
    <w:p w14:paraId="635954C0" w14:textId="08F2CA76" w:rsidR="008572BE" w:rsidRPr="00CC1CEC" w:rsidRDefault="008572BE" w:rsidP="00CC1CEC">
      <w:pPr>
        <w:spacing w:line="360" w:lineRule="auto"/>
        <w:rPr>
          <w:rFonts w:ascii="Arial" w:hAnsi="Arial" w:cs="Arial"/>
          <w:sz w:val="24"/>
          <w:szCs w:val="24"/>
        </w:rPr>
      </w:pPr>
      <w:r w:rsidRPr="00CC1CEC">
        <w:rPr>
          <w:rFonts w:ascii="Arial" w:hAnsi="Arial" w:cs="Arial"/>
          <w:sz w:val="24"/>
          <w:szCs w:val="24"/>
        </w:rPr>
        <w:lastRenderedPageBreak/>
        <w:t xml:space="preserve">A análise teórico-metodológica que nos guia é a Teoria do Discurso (TD), de Ernesto Laclau e Chantal Mouffe e a Análise do Discurso Francesa (AD), que tem como principal autor Michel Pêcheux. A TD nos auxilia a compreender que diferentes autores, com distintos posicionamentos, se unem por objetivos comuns a partir de práticas articulatórias. Ou seja, </w:t>
      </w:r>
      <w:r w:rsidRPr="005D0C40">
        <w:rPr>
          <w:rFonts w:ascii="Arial" w:hAnsi="Arial" w:cs="Arial"/>
          <w:sz w:val="24"/>
          <w:szCs w:val="24"/>
        </w:rPr>
        <w:t>segundo Laclau e Mouffe (2015),</w:t>
      </w:r>
      <w:r w:rsidRPr="00CC1CEC">
        <w:rPr>
          <w:rFonts w:ascii="Arial" w:hAnsi="Arial" w:cs="Arial"/>
          <w:sz w:val="24"/>
          <w:szCs w:val="24"/>
        </w:rPr>
        <w:t xml:space="preserve"> a articulação funciona como uma prática que constitui pontos nodais</w:t>
      </w:r>
      <w:r w:rsidR="000B6399">
        <w:rPr>
          <w:rFonts w:ascii="Arial" w:hAnsi="Arial" w:cs="Arial"/>
          <w:sz w:val="24"/>
          <w:szCs w:val="24"/>
        </w:rPr>
        <w:t xml:space="preserve">, buscando </w:t>
      </w:r>
      <w:r w:rsidRPr="00CC1CEC">
        <w:rPr>
          <w:rFonts w:ascii="Arial" w:hAnsi="Arial" w:cs="Arial"/>
          <w:sz w:val="24"/>
          <w:szCs w:val="24"/>
        </w:rPr>
        <w:t xml:space="preserve">fixar sentidos em determinado contexto social a partir de um sistema organizado de diferenças. </w:t>
      </w:r>
    </w:p>
    <w:p w14:paraId="4D50B882" w14:textId="0D1C7490" w:rsidR="008572BE" w:rsidRPr="00CC1CEC" w:rsidRDefault="008572BE" w:rsidP="00CC1CEC">
      <w:pPr>
        <w:spacing w:line="360" w:lineRule="auto"/>
        <w:rPr>
          <w:rFonts w:ascii="Arial" w:hAnsi="Arial" w:cs="Arial"/>
          <w:sz w:val="24"/>
          <w:szCs w:val="24"/>
        </w:rPr>
      </w:pPr>
      <w:r w:rsidRPr="00CC1CEC">
        <w:rPr>
          <w:rFonts w:ascii="Arial" w:hAnsi="Arial" w:cs="Arial"/>
          <w:sz w:val="24"/>
          <w:szCs w:val="24"/>
        </w:rPr>
        <w:t>É pelas práticas articulatórias, que</w:t>
      </w:r>
      <w:r w:rsidR="00CF79DF">
        <w:rPr>
          <w:rFonts w:ascii="Arial" w:hAnsi="Arial" w:cs="Arial"/>
          <w:sz w:val="24"/>
          <w:szCs w:val="24"/>
        </w:rPr>
        <w:t xml:space="preserve"> se</w:t>
      </w:r>
      <w:r w:rsidRPr="00CC1CEC">
        <w:rPr>
          <w:rFonts w:ascii="Arial" w:hAnsi="Arial" w:cs="Arial"/>
          <w:sz w:val="24"/>
          <w:szCs w:val="24"/>
        </w:rPr>
        <w:t xml:space="preserve"> constroem pontos nodais </w:t>
      </w:r>
      <w:r w:rsidR="00B25FC9" w:rsidRPr="00CC1CEC">
        <w:rPr>
          <w:rFonts w:ascii="Arial" w:hAnsi="Arial" w:cs="Arial"/>
          <w:sz w:val="24"/>
          <w:szCs w:val="24"/>
        </w:rPr>
        <w:t>dos quais partem</w:t>
      </w:r>
      <w:r w:rsidRPr="00CC1CEC">
        <w:rPr>
          <w:rFonts w:ascii="Arial" w:hAnsi="Arial" w:cs="Arial"/>
          <w:sz w:val="24"/>
          <w:szCs w:val="24"/>
        </w:rPr>
        <w:t xml:space="preserve"> os discursos hegemônicos. Discursos esses que se fazem presentes nos documentos oficiais e nos textos de formação de professores produzidos por institutos filantrópicos</w:t>
      </w:r>
      <w:r w:rsidR="000B6399">
        <w:rPr>
          <w:rFonts w:ascii="Arial" w:hAnsi="Arial" w:cs="Arial"/>
          <w:sz w:val="24"/>
          <w:szCs w:val="24"/>
        </w:rPr>
        <w:t>, que formam alianças entre si e com o setor privado</w:t>
      </w:r>
      <w:r w:rsidRPr="00CC1CEC">
        <w:rPr>
          <w:rFonts w:ascii="Arial" w:hAnsi="Arial" w:cs="Arial"/>
          <w:sz w:val="24"/>
          <w:szCs w:val="24"/>
        </w:rPr>
        <w:t xml:space="preserve">. </w:t>
      </w:r>
    </w:p>
    <w:p w14:paraId="27838ECF" w14:textId="709A3019" w:rsidR="008572BE" w:rsidRPr="00CC1CEC" w:rsidRDefault="00B25FC9" w:rsidP="00CC1CEC">
      <w:pPr>
        <w:spacing w:line="360" w:lineRule="auto"/>
        <w:rPr>
          <w:rFonts w:ascii="Arial" w:hAnsi="Arial" w:cs="Arial"/>
          <w:sz w:val="24"/>
          <w:szCs w:val="24"/>
        </w:rPr>
      </w:pPr>
      <w:r w:rsidRPr="00CC1CEC">
        <w:rPr>
          <w:rFonts w:ascii="Arial" w:hAnsi="Arial" w:cs="Arial"/>
          <w:sz w:val="24"/>
          <w:szCs w:val="24"/>
        </w:rPr>
        <w:t xml:space="preserve">A TD nos possibilita compreender </w:t>
      </w:r>
      <w:r w:rsidR="00CF79DF">
        <w:rPr>
          <w:rFonts w:ascii="Arial" w:hAnsi="Arial" w:cs="Arial"/>
          <w:sz w:val="24"/>
          <w:szCs w:val="24"/>
        </w:rPr>
        <w:t>o</w:t>
      </w:r>
      <w:r w:rsidRPr="00CC1CEC">
        <w:rPr>
          <w:rFonts w:ascii="Arial" w:hAnsi="Arial" w:cs="Arial"/>
          <w:sz w:val="24"/>
          <w:szCs w:val="24"/>
        </w:rPr>
        <w:t xml:space="preserve"> contexto macro em relação às práticas articulatórias</w:t>
      </w:r>
      <w:bookmarkStart w:id="0" w:name="_Hlk207637094"/>
      <w:bookmarkStart w:id="1" w:name="_Hlk207633816"/>
      <w:r w:rsidRPr="00CC1CEC">
        <w:rPr>
          <w:rFonts w:ascii="Arial" w:hAnsi="Arial" w:cs="Arial"/>
          <w:sz w:val="24"/>
          <w:szCs w:val="24"/>
        </w:rPr>
        <w:t xml:space="preserve"> que levam diferentes atores a um ponto nodal</w:t>
      </w:r>
      <w:r w:rsidR="00227C2E">
        <w:rPr>
          <w:rFonts w:ascii="Arial" w:hAnsi="Arial" w:cs="Arial"/>
          <w:sz w:val="24"/>
          <w:szCs w:val="24"/>
        </w:rPr>
        <w:t xml:space="preserve"> para a </w:t>
      </w:r>
      <w:r w:rsidRPr="00CC1CEC">
        <w:rPr>
          <w:rFonts w:ascii="Arial" w:hAnsi="Arial" w:cs="Arial"/>
          <w:sz w:val="24"/>
          <w:szCs w:val="24"/>
        </w:rPr>
        <w:t>produção de discursos hegemônicos</w:t>
      </w:r>
      <w:bookmarkEnd w:id="0"/>
      <w:r w:rsidRPr="00CC1CEC">
        <w:rPr>
          <w:rFonts w:ascii="Arial" w:hAnsi="Arial" w:cs="Arial"/>
          <w:sz w:val="24"/>
          <w:szCs w:val="24"/>
        </w:rPr>
        <w:t>.</w:t>
      </w:r>
      <w:r w:rsidR="008572BE" w:rsidRPr="00CC1CEC">
        <w:rPr>
          <w:rFonts w:ascii="Arial" w:hAnsi="Arial" w:cs="Arial"/>
          <w:sz w:val="24"/>
          <w:szCs w:val="24"/>
        </w:rPr>
        <w:t xml:space="preserve"> </w:t>
      </w:r>
      <w:bookmarkEnd w:id="1"/>
      <w:r w:rsidRPr="00CC1CEC">
        <w:rPr>
          <w:rFonts w:ascii="Arial" w:hAnsi="Arial" w:cs="Arial"/>
          <w:sz w:val="24"/>
          <w:szCs w:val="24"/>
        </w:rPr>
        <w:t xml:space="preserve">Todavia, este </w:t>
      </w:r>
      <w:r w:rsidRPr="000B6399">
        <w:rPr>
          <w:rFonts w:ascii="Arial" w:hAnsi="Arial" w:cs="Arial"/>
          <w:sz w:val="24"/>
          <w:szCs w:val="24"/>
        </w:rPr>
        <w:t xml:space="preserve">trabalho </w:t>
      </w:r>
      <w:r w:rsidR="000B6399" w:rsidRPr="000B6399">
        <w:rPr>
          <w:rFonts w:ascii="Arial" w:hAnsi="Arial" w:cs="Arial"/>
          <w:sz w:val="24"/>
          <w:szCs w:val="24"/>
        </w:rPr>
        <w:t xml:space="preserve">visa, através </w:t>
      </w:r>
      <w:r w:rsidR="00227C2E">
        <w:rPr>
          <w:rFonts w:ascii="Arial" w:hAnsi="Arial" w:cs="Arial"/>
          <w:sz w:val="24"/>
          <w:szCs w:val="24"/>
        </w:rPr>
        <w:t>da análise de</w:t>
      </w:r>
      <w:r w:rsidR="000B6399" w:rsidRPr="000B6399">
        <w:rPr>
          <w:rFonts w:ascii="Arial" w:hAnsi="Arial" w:cs="Arial"/>
          <w:sz w:val="24"/>
          <w:szCs w:val="24"/>
        </w:rPr>
        <w:t xml:space="preserve"> textos destinados à formação de professores,</w:t>
      </w:r>
      <w:r w:rsidR="00227C2E">
        <w:rPr>
          <w:rFonts w:ascii="Arial" w:hAnsi="Arial" w:cs="Arial"/>
          <w:sz w:val="24"/>
          <w:szCs w:val="24"/>
        </w:rPr>
        <w:t xml:space="preserve"> </w:t>
      </w:r>
      <w:r w:rsidR="000B6399" w:rsidRPr="000B6399">
        <w:rPr>
          <w:rFonts w:ascii="Arial" w:hAnsi="Arial" w:cs="Arial"/>
          <w:sz w:val="24"/>
          <w:szCs w:val="24"/>
        </w:rPr>
        <w:t>compreender como esses textos podem influenciar a constituição identitária dos docentes.</w:t>
      </w:r>
      <w:r w:rsidR="00227C2E">
        <w:rPr>
          <w:rFonts w:ascii="Arial" w:hAnsi="Arial" w:cs="Arial"/>
          <w:sz w:val="24"/>
          <w:szCs w:val="24"/>
        </w:rPr>
        <w:t xml:space="preserve"> Nesse sentido, conforme </w:t>
      </w:r>
      <w:r w:rsidRPr="005D0C40">
        <w:rPr>
          <w:rFonts w:ascii="Arial" w:hAnsi="Arial" w:cs="Arial"/>
          <w:sz w:val="24"/>
          <w:szCs w:val="24"/>
        </w:rPr>
        <w:t>Orlandi (2002), o</w:t>
      </w:r>
      <w:r w:rsidRPr="00CC1CEC">
        <w:rPr>
          <w:rFonts w:ascii="Arial" w:hAnsi="Arial" w:cs="Arial"/>
          <w:sz w:val="24"/>
          <w:szCs w:val="24"/>
        </w:rPr>
        <w:t xml:space="preserve"> indivíduo é interpelado em sujeito pela ideologia, que se materializa nos textos propriamente ditos. </w:t>
      </w:r>
    </w:p>
    <w:p w14:paraId="7FFB274A" w14:textId="769F1148" w:rsidR="000B6399" w:rsidRDefault="00B25FC9" w:rsidP="00CC1CEC">
      <w:pPr>
        <w:spacing w:line="360" w:lineRule="auto"/>
        <w:rPr>
          <w:rFonts w:ascii="Arial" w:hAnsi="Arial" w:cs="Arial"/>
          <w:sz w:val="24"/>
          <w:szCs w:val="24"/>
        </w:rPr>
      </w:pPr>
      <w:r w:rsidRPr="00CC1CEC">
        <w:rPr>
          <w:rFonts w:ascii="Arial" w:hAnsi="Arial" w:cs="Arial"/>
          <w:sz w:val="24"/>
          <w:szCs w:val="24"/>
        </w:rPr>
        <w:t xml:space="preserve">Tanto a AD quanto a TD consideram que o sujeito se constitui pelo discurso e não antes dele. </w:t>
      </w:r>
      <w:r w:rsidR="00DB3C23" w:rsidRPr="00CC1CEC">
        <w:rPr>
          <w:rFonts w:ascii="Arial" w:hAnsi="Arial" w:cs="Arial"/>
          <w:sz w:val="24"/>
          <w:szCs w:val="24"/>
        </w:rPr>
        <w:t xml:space="preserve">A AD compreende que é pelo discurso que o sujeito assume uma posição no contexto em que se insere, formando sua identidade. Assim, o discurso não é transparente, a </w:t>
      </w:r>
      <w:r w:rsidR="000B6399">
        <w:rPr>
          <w:rFonts w:ascii="Arial" w:hAnsi="Arial" w:cs="Arial"/>
          <w:sz w:val="24"/>
          <w:szCs w:val="24"/>
        </w:rPr>
        <w:t xml:space="preserve">sua </w:t>
      </w:r>
      <w:r w:rsidR="00DB3C23" w:rsidRPr="00CC1CEC">
        <w:rPr>
          <w:rFonts w:ascii="Arial" w:hAnsi="Arial" w:cs="Arial"/>
          <w:sz w:val="24"/>
          <w:szCs w:val="24"/>
        </w:rPr>
        <w:t xml:space="preserve">opacidade faz-nos analisar além do que está dito, </w:t>
      </w:r>
      <w:r w:rsidR="00227C2E">
        <w:rPr>
          <w:rFonts w:ascii="Arial" w:hAnsi="Arial" w:cs="Arial"/>
          <w:sz w:val="24"/>
          <w:szCs w:val="24"/>
        </w:rPr>
        <w:t>observando</w:t>
      </w:r>
      <w:r w:rsidR="00DB3C23" w:rsidRPr="00CC1CEC">
        <w:rPr>
          <w:rFonts w:ascii="Arial" w:hAnsi="Arial" w:cs="Arial"/>
          <w:sz w:val="24"/>
          <w:szCs w:val="24"/>
        </w:rPr>
        <w:t xml:space="preserve"> como foi dito, em que contexto</w:t>
      </w:r>
      <w:r w:rsidR="000B6399">
        <w:rPr>
          <w:rFonts w:ascii="Arial" w:hAnsi="Arial" w:cs="Arial"/>
          <w:sz w:val="24"/>
          <w:szCs w:val="24"/>
        </w:rPr>
        <w:t xml:space="preserve">, o que não foi dito e por que </w:t>
      </w:r>
      <w:r w:rsidR="00227C2E">
        <w:rPr>
          <w:rFonts w:ascii="Arial" w:hAnsi="Arial" w:cs="Arial"/>
          <w:sz w:val="24"/>
          <w:szCs w:val="24"/>
        </w:rPr>
        <w:t>motivo etc.</w:t>
      </w:r>
      <w:r w:rsidR="00DB3C23" w:rsidRPr="00CC1CEC">
        <w:rPr>
          <w:rFonts w:ascii="Arial" w:hAnsi="Arial" w:cs="Arial"/>
          <w:sz w:val="24"/>
          <w:szCs w:val="24"/>
        </w:rPr>
        <w:t xml:space="preserve"> É na busca pela compreensão desses aspectos que </w:t>
      </w:r>
      <w:r w:rsidR="00CF79DF">
        <w:rPr>
          <w:rFonts w:ascii="Arial" w:hAnsi="Arial" w:cs="Arial"/>
          <w:sz w:val="24"/>
          <w:szCs w:val="24"/>
        </w:rPr>
        <w:t>se procura compreender</w:t>
      </w:r>
      <w:r w:rsidR="005D3FFC">
        <w:rPr>
          <w:rFonts w:ascii="Arial" w:hAnsi="Arial" w:cs="Arial"/>
          <w:sz w:val="24"/>
          <w:szCs w:val="24"/>
        </w:rPr>
        <w:t xml:space="preserve">, </w:t>
      </w:r>
      <w:r w:rsidR="004E7E88">
        <w:rPr>
          <w:rFonts w:ascii="Arial" w:hAnsi="Arial" w:cs="Arial"/>
          <w:sz w:val="24"/>
          <w:szCs w:val="24"/>
        </w:rPr>
        <w:t>a</w:t>
      </w:r>
      <w:r w:rsidR="005D3FFC">
        <w:rPr>
          <w:rFonts w:ascii="Arial" w:hAnsi="Arial" w:cs="Arial"/>
          <w:sz w:val="24"/>
          <w:szCs w:val="24"/>
        </w:rPr>
        <w:t xml:space="preserve"> partir dos textos da </w:t>
      </w:r>
      <w:r w:rsidR="005D3FFC" w:rsidRPr="005D3FFC">
        <w:rPr>
          <w:rFonts w:ascii="Arial" w:hAnsi="Arial" w:cs="Arial"/>
          <w:i/>
          <w:iCs/>
          <w:sz w:val="24"/>
          <w:szCs w:val="24"/>
        </w:rPr>
        <w:t>Plataforma Nosso Ensino Médio</w:t>
      </w:r>
      <w:r w:rsidR="005D3FFC">
        <w:rPr>
          <w:rFonts w:ascii="Arial" w:hAnsi="Arial" w:cs="Arial"/>
          <w:sz w:val="24"/>
          <w:szCs w:val="24"/>
        </w:rPr>
        <w:t>,</w:t>
      </w:r>
      <w:r w:rsidR="00DB3C23" w:rsidRPr="00CC1CEC">
        <w:rPr>
          <w:rFonts w:ascii="Arial" w:hAnsi="Arial" w:cs="Arial"/>
          <w:sz w:val="24"/>
          <w:szCs w:val="24"/>
        </w:rPr>
        <w:t xml:space="preserve"> não apenas o contexto de produção, mas os textos das políticas educativas em si, </w:t>
      </w:r>
      <w:r w:rsidR="00CF79DF">
        <w:rPr>
          <w:rFonts w:ascii="Arial" w:hAnsi="Arial" w:cs="Arial"/>
          <w:sz w:val="24"/>
          <w:szCs w:val="24"/>
        </w:rPr>
        <w:t xml:space="preserve">tarefa </w:t>
      </w:r>
      <w:r w:rsidR="000B6399">
        <w:rPr>
          <w:rFonts w:ascii="Arial" w:hAnsi="Arial" w:cs="Arial"/>
          <w:sz w:val="24"/>
          <w:szCs w:val="24"/>
        </w:rPr>
        <w:t xml:space="preserve">para a qual </w:t>
      </w:r>
      <w:r w:rsidR="00CF79DF">
        <w:rPr>
          <w:rFonts w:ascii="Arial" w:hAnsi="Arial" w:cs="Arial"/>
          <w:sz w:val="24"/>
          <w:szCs w:val="24"/>
        </w:rPr>
        <w:t>encontramos apoio na</w:t>
      </w:r>
      <w:r w:rsidR="00DB3C23" w:rsidRPr="00CC1CEC">
        <w:rPr>
          <w:rFonts w:ascii="Arial" w:hAnsi="Arial" w:cs="Arial"/>
          <w:sz w:val="24"/>
          <w:szCs w:val="24"/>
        </w:rPr>
        <w:t xml:space="preserve"> AD. </w:t>
      </w:r>
    </w:p>
    <w:p w14:paraId="19B2EE39" w14:textId="3EDCAE8C" w:rsidR="00B25FC9" w:rsidRPr="00CC1CEC" w:rsidRDefault="00DB3C23" w:rsidP="00CC1CEC">
      <w:pPr>
        <w:spacing w:line="360" w:lineRule="auto"/>
        <w:rPr>
          <w:rFonts w:ascii="Arial" w:hAnsi="Arial" w:cs="Arial"/>
          <w:sz w:val="24"/>
          <w:szCs w:val="24"/>
        </w:rPr>
      </w:pPr>
      <w:r w:rsidRPr="00CC1CEC">
        <w:rPr>
          <w:rFonts w:ascii="Arial" w:hAnsi="Arial" w:cs="Arial"/>
          <w:sz w:val="24"/>
          <w:szCs w:val="24"/>
        </w:rPr>
        <w:t>Ao mesmo tempo, consideramos a relevância da TD para analisar as práticas de articulação</w:t>
      </w:r>
      <w:r w:rsidR="00CF79DF">
        <w:rPr>
          <w:rFonts w:ascii="Arial" w:hAnsi="Arial" w:cs="Arial"/>
          <w:sz w:val="24"/>
          <w:szCs w:val="24"/>
        </w:rPr>
        <w:t>,</w:t>
      </w:r>
      <w:r w:rsidRPr="00CC1CEC">
        <w:rPr>
          <w:rFonts w:ascii="Arial" w:hAnsi="Arial" w:cs="Arial"/>
          <w:sz w:val="24"/>
          <w:szCs w:val="24"/>
        </w:rPr>
        <w:t xml:space="preserve"> que revelam os atores que trabalham na produção de discursos hegemônicos</w:t>
      </w:r>
      <w:r w:rsidR="000B6399">
        <w:rPr>
          <w:rFonts w:ascii="Arial" w:hAnsi="Arial" w:cs="Arial"/>
          <w:sz w:val="24"/>
          <w:szCs w:val="24"/>
        </w:rPr>
        <w:t xml:space="preserve"> em um contexto macro, que levam ao que vem antes da produção dos textos em si. </w:t>
      </w:r>
      <w:r w:rsidRPr="00CC1CEC">
        <w:rPr>
          <w:rFonts w:ascii="Arial" w:hAnsi="Arial" w:cs="Arial"/>
          <w:sz w:val="24"/>
          <w:szCs w:val="24"/>
        </w:rPr>
        <w:t xml:space="preserve"> </w:t>
      </w:r>
    </w:p>
    <w:p w14:paraId="1CCABDA0" w14:textId="4E363605" w:rsidR="00D67294" w:rsidRPr="00CC1CEC" w:rsidRDefault="00481ECC" w:rsidP="001E1A94">
      <w:pPr>
        <w:spacing w:line="360" w:lineRule="auto"/>
        <w:rPr>
          <w:rFonts w:ascii="Arial" w:hAnsi="Arial" w:cs="Arial"/>
          <w:sz w:val="24"/>
          <w:szCs w:val="24"/>
        </w:rPr>
      </w:pPr>
      <w:r w:rsidRPr="00CC1CEC">
        <w:rPr>
          <w:rFonts w:ascii="Arial" w:hAnsi="Arial" w:cs="Arial"/>
          <w:sz w:val="24"/>
          <w:szCs w:val="24"/>
        </w:rPr>
        <w:lastRenderedPageBreak/>
        <w:t xml:space="preserve">Sendo assim, mesmo reconhecendo as diferentes perspectivas dessas teorias e a atenção necessária quanto a isso, compreendemos que são elas que nos permitem ter o subsídio necessário </w:t>
      </w:r>
      <w:r w:rsidR="00BA7120">
        <w:rPr>
          <w:rFonts w:ascii="Arial" w:hAnsi="Arial" w:cs="Arial"/>
          <w:sz w:val="24"/>
          <w:szCs w:val="24"/>
        </w:rPr>
        <w:t>para a</w:t>
      </w:r>
      <w:r w:rsidRPr="00CC1CEC">
        <w:rPr>
          <w:rFonts w:ascii="Arial" w:hAnsi="Arial" w:cs="Arial"/>
          <w:sz w:val="24"/>
          <w:szCs w:val="24"/>
        </w:rPr>
        <w:t xml:space="preserve"> nossa análise. </w:t>
      </w:r>
    </w:p>
    <w:p w14:paraId="6EF99736" w14:textId="618871C7" w:rsidR="0C591BAA" w:rsidRPr="00CC1CEC" w:rsidRDefault="0C591BAA" w:rsidP="00CC1CEC">
      <w:pPr>
        <w:pStyle w:val="Texto"/>
      </w:pPr>
    </w:p>
    <w:p w14:paraId="1DD2BBB3" w14:textId="0B784F74" w:rsid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30B4478E" w14:textId="77777777" w:rsidR="00BA7120" w:rsidRPr="00BA7120" w:rsidRDefault="00BA7120" w:rsidP="00BA7120"/>
    <w:p w14:paraId="6774D58B" w14:textId="77777777" w:rsidR="00D1069C" w:rsidRPr="00CC1CEC" w:rsidRDefault="00D1069C" w:rsidP="00CC1CEC">
      <w:pPr>
        <w:spacing w:line="360" w:lineRule="auto"/>
        <w:rPr>
          <w:rFonts w:ascii="Arial" w:hAnsi="Arial" w:cs="Arial"/>
          <w:sz w:val="24"/>
          <w:szCs w:val="24"/>
        </w:rPr>
      </w:pPr>
      <w:r w:rsidRPr="00CC1CEC">
        <w:rPr>
          <w:rFonts w:ascii="Arial" w:hAnsi="Arial" w:cs="Arial"/>
          <w:sz w:val="24"/>
          <w:szCs w:val="24"/>
        </w:rPr>
        <w:t xml:space="preserve">Iniciamos este trabalho buscando identificar nosso objeto de estudo. Para isso, partimos da leitura da </w:t>
      </w:r>
      <w:r w:rsidRPr="005D0C40">
        <w:rPr>
          <w:rFonts w:ascii="Arial" w:hAnsi="Arial" w:cs="Arial"/>
          <w:sz w:val="24"/>
          <w:szCs w:val="24"/>
        </w:rPr>
        <w:t>tese de Amorim (2025), que</w:t>
      </w:r>
      <w:r w:rsidRPr="00CC1CEC">
        <w:rPr>
          <w:rFonts w:ascii="Arial" w:hAnsi="Arial" w:cs="Arial"/>
          <w:sz w:val="24"/>
          <w:szCs w:val="24"/>
        </w:rPr>
        <w:t xml:space="preserve"> expõe os institutos atuantes na construção dos currículos dos diferentes estados brasileiros. O segundo passo foi acessar os sites desses institutos e verificar quais, neste momento (2025), dedicam-se especificamente à formação de professores de Ensino Médio. Como mencionamos na introdução do trabalho, o Instituto Reúna se destaca pela parceria com o Consed, o que lhe permite abranger todo o país. </w:t>
      </w:r>
    </w:p>
    <w:p w14:paraId="4918D323" w14:textId="795085E2" w:rsidR="00D1069C" w:rsidRPr="00CC1CEC" w:rsidRDefault="00D1069C" w:rsidP="00CC1CEC">
      <w:pPr>
        <w:spacing w:line="360" w:lineRule="auto"/>
        <w:rPr>
          <w:rFonts w:ascii="Arial" w:hAnsi="Arial" w:cs="Arial"/>
          <w:sz w:val="24"/>
          <w:szCs w:val="24"/>
        </w:rPr>
      </w:pPr>
      <w:r w:rsidRPr="00CC1CEC">
        <w:rPr>
          <w:rFonts w:ascii="Arial" w:hAnsi="Arial" w:cs="Arial"/>
          <w:sz w:val="24"/>
          <w:szCs w:val="24"/>
        </w:rPr>
        <w:t>Compreendemos que o Instituto Reúna exerce um papel central nesse cenário e</w:t>
      </w:r>
      <w:r w:rsidR="00BA7120">
        <w:rPr>
          <w:rFonts w:ascii="Arial" w:hAnsi="Arial" w:cs="Arial"/>
          <w:sz w:val="24"/>
          <w:szCs w:val="24"/>
        </w:rPr>
        <w:t xml:space="preserve">, considerando sua </w:t>
      </w:r>
      <w:r w:rsidRPr="00CC1CEC">
        <w:rPr>
          <w:rFonts w:ascii="Arial" w:hAnsi="Arial" w:cs="Arial"/>
          <w:sz w:val="24"/>
          <w:szCs w:val="24"/>
        </w:rPr>
        <w:t xml:space="preserve">parceria com o Consed para a implementação </w:t>
      </w:r>
      <w:r w:rsidR="00A153C9">
        <w:rPr>
          <w:rFonts w:ascii="Arial" w:hAnsi="Arial" w:cs="Arial"/>
          <w:sz w:val="24"/>
          <w:szCs w:val="24"/>
        </w:rPr>
        <w:t xml:space="preserve">da </w:t>
      </w:r>
      <w:r w:rsidR="00A153C9" w:rsidRPr="001E1A94">
        <w:rPr>
          <w:rFonts w:ascii="Arial" w:hAnsi="Arial" w:cs="Arial"/>
          <w:i/>
          <w:iCs/>
          <w:sz w:val="24"/>
          <w:szCs w:val="24"/>
        </w:rPr>
        <w:t>Plataforma Trilhares</w:t>
      </w:r>
      <w:r w:rsidR="00A153C9">
        <w:rPr>
          <w:rFonts w:ascii="Arial" w:hAnsi="Arial" w:cs="Arial"/>
          <w:sz w:val="24"/>
          <w:szCs w:val="24"/>
        </w:rPr>
        <w:t xml:space="preserve"> e da </w:t>
      </w:r>
      <w:r w:rsidR="00A153C9" w:rsidRPr="001E1A94">
        <w:rPr>
          <w:rFonts w:ascii="Arial" w:hAnsi="Arial" w:cs="Arial"/>
          <w:i/>
          <w:iCs/>
          <w:sz w:val="24"/>
          <w:szCs w:val="24"/>
        </w:rPr>
        <w:t>Plataforma Nosso Ensino Médio</w:t>
      </w:r>
      <w:r w:rsidR="00A153C9">
        <w:rPr>
          <w:rFonts w:ascii="Arial" w:hAnsi="Arial" w:cs="Arial"/>
          <w:sz w:val="24"/>
          <w:szCs w:val="24"/>
        </w:rPr>
        <w:t>,</w:t>
      </w:r>
      <w:r w:rsidR="001E1A94">
        <w:rPr>
          <w:rFonts w:ascii="Arial" w:hAnsi="Arial" w:cs="Arial"/>
          <w:sz w:val="24"/>
          <w:szCs w:val="24"/>
        </w:rPr>
        <w:t xml:space="preserve"> dedicada especificamente à formação de professores do Ensino Médio,</w:t>
      </w:r>
      <w:r w:rsidR="00A153C9">
        <w:rPr>
          <w:rFonts w:ascii="Arial" w:hAnsi="Arial" w:cs="Arial"/>
          <w:sz w:val="24"/>
          <w:szCs w:val="24"/>
        </w:rPr>
        <w:t xml:space="preserve"> </w:t>
      </w:r>
      <w:r w:rsidR="004E7E88">
        <w:rPr>
          <w:rFonts w:ascii="Arial" w:hAnsi="Arial" w:cs="Arial"/>
          <w:sz w:val="24"/>
          <w:szCs w:val="24"/>
        </w:rPr>
        <w:t>elegemos</w:t>
      </w:r>
      <w:r w:rsidRPr="00CC1CEC">
        <w:rPr>
          <w:rFonts w:ascii="Arial" w:hAnsi="Arial" w:cs="Arial"/>
          <w:sz w:val="24"/>
          <w:szCs w:val="24"/>
        </w:rPr>
        <w:t xml:space="preserve"> </w:t>
      </w:r>
      <w:r w:rsidR="001E1A94">
        <w:rPr>
          <w:rFonts w:ascii="Arial" w:hAnsi="Arial" w:cs="Arial"/>
          <w:sz w:val="24"/>
          <w:szCs w:val="24"/>
        </w:rPr>
        <w:t xml:space="preserve">os textos da </w:t>
      </w:r>
      <w:r w:rsidR="001E1A94" w:rsidRPr="001E1A94">
        <w:rPr>
          <w:rFonts w:ascii="Arial" w:hAnsi="Arial" w:cs="Arial"/>
          <w:i/>
          <w:iCs/>
          <w:sz w:val="24"/>
          <w:szCs w:val="24"/>
        </w:rPr>
        <w:t>Plataforma Nosso Ensino Médio</w:t>
      </w:r>
      <w:r w:rsidRPr="00CC1CEC">
        <w:rPr>
          <w:rFonts w:ascii="Arial" w:hAnsi="Arial" w:cs="Arial"/>
          <w:sz w:val="24"/>
          <w:szCs w:val="24"/>
        </w:rPr>
        <w:t xml:space="preserve"> como objeto de estudo</w:t>
      </w:r>
      <w:r w:rsidR="00BA7120">
        <w:rPr>
          <w:rFonts w:ascii="Arial" w:hAnsi="Arial" w:cs="Arial"/>
          <w:sz w:val="24"/>
          <w:szCs w:val="24"/>
        </w:rPr>
        <w:t>, tendo em vista sua possibilidade de abrangência</w:t>
      </w:r>
      <w:r w:rsidRPr="00CC1CEC">
        <w:rPr>
          <w:rFonts w:ascii="Arial" w:hAnsi="Arial" w:cs="Arial"/>
          <w:sz w:val="24"/>
          <w:szCs w:val="24"/>
        </w:rPr>
        <w:t xml:space="preserve">. </w:t>
      </w:r>
    </w:p>
    <w:p w14:paraId="15BD7B7D" w14:textId="2FA4D8A8" w:rsidR="00D1069C" w:rsidRPr="00CC1CEC" w:rsidRDefault="00BA7120" w:rsidP="00CC1CE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Avaliamos</w:t>
      </w:r>
      <w:r w:rsidR="00D1069C" w:rsidRPr="00CC1CEC">
        <w:rPr>
          <w:rFonts w:ascii="Arial" w:hAnsi="Arial" w:cs="Arial"/>
          <w:sz w:val="24"/>
          <w:szCs w:val="24"/>
        </w:rPr>
        <w:t xml:space="preserve">, a partir da escolha do </w:t>
      </w:r>
      <w:r>
        <w:rPr>
          <w:rFonts w:ascii="Arial" w:hAnsi="Arial" w:cs="Arial"/>
          <w:sz w:val="24"/>
          <w:szCs w:val="24"/>
        </w:rPr>
        <w:t xml:space="preserve">nosso </w:t>
      </w:r>
      <w:r w:rsidR="00D1069C" w:rsidRPr="00CC1CEC">
        <w:rPr>
          <w:rFonts w:ascii="Arial" w:hAnsi="Arial" w:cs="Arial"/>
          <w:sz w:val="24"/>
          <w:szCs w:val="24"/>
        </w:rPr>
        <w:t>objeto</w:t>
      </w:r>
      <w:r>
        <w:rPr>
          <w:rFonts w:ascii="Arial" w:hAnsi="Arial" w:cs="Arial"/>
          <w:sz w:val="24"/>
          <w:szCs w:val="24"/>
        </w:rPr>
        <w:t xml:space="preserve"> de estudo</w:t>
      </w:r>
      <w:r w:rsidR="00D1069C" w:rsidRPr="00CC1CEC">
        <w:rPr>
          <w:rFonts w:ascii="Arial" w:hAnsi="Arial" w:cs="Arial"/>
          <w:sz w:val="24"/>
          <w:szCs w:val="24"/>
        </w:rPr>
        <w:t>, a relevância de analisar os discursos presentes nos “outros textos</w:t>
      </w:r>
      <w:r w:rsidR="00D1069C" w:rsidRPr="005D0C40">
        <w:rPr>
          <w:rFonts w:ascii="Arial" w:hAnsi="Arial" w:cs="Arial"/>
          <w:sz w:val="24"/>
          <w:szCs w:val="24"/>
        </w:rPr>
        <w:t>” (Shiroma, Campos, Garcia, 2005),</w:t>
      </w:r>
      <w:r w:rsidR="00D1069C" w:rsidRPr="00CC1CEC">
        <w:rPr>
          <w:rFonts w:ascii="Arial" w:hAnsi="Arial" w:cs="Arial"/>
          <w:sz w:val="24"/>
          <w:szCs w:val="24"/>
        </w:rPr>
        <w:t xml:space="preserve"> além dos documentos oficiais da educação. Nesse caso, textos que possibilitam vislumbrar como pode se dar a constituição identitária docente no contexto hodierno. </w:t>
      </w:r>
    </w:p>
    <w:p w14:paraId="5905B946" w14:textId="5520B327" w:rsidR="6EB1BE39" w:rsidRPr="00CC1CEC" w:rsidRDefault="6EB1BE39" w:rsidP="00CC1CEC">
      <w:pPr>
        <w:pStyle w:val="Texto"/>
      </w:pPr>
    </w:p>
    <w:p w14:paraId="4B72C82E" w14:textId="27FD3CC4" w:rsidR="00707214" w:rsidRPr="00707214" w:rsidRDefault="00FC4166" w:rsidP="004C446D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</w:p>
    <w:p w14:paraId="4669AC60" w14:textId="2C7EE996" w:rsidR="0C591BAA" w:rsidRDefault="0C591BAA" w:rsidP="00DF040B">
      <w:pPr>
        <w:pStyle w:val="Texto"/>
      </w:pPr>
    </w:p>
    <w:p w14:paraId="6AE8D89F" w14:textId="1C8D83D5" w:rsidR="00BA7120" w:rsidRDefault="00481ECC" w:rsidP="00DF040B">
      <w:pPr>
        <w:pStyle w:val="Texto"/>
      </w:pPr>
      <w:r w:rsidRPr="00481ECC">
        <w:t>A leitura dos documentos d</w:t>
      </w:r>
      <w:r>
        <w:t xml:space="preserve">e formação de professores da </w:t>
      </w:r>
      <w:r w:rsidRPr="00BA7120">
        <w:rPr>
          <w:i/>
          <w:iCs/>
        </w:rPr>
        <w:t>Plataforma Nosso Ensino Médio</w:t>
      </w:r>
      <w:r>
        <w:t xml:space="preserve"> nos permitiu observar alguns aspectos. Um deles é uma espécie de “sequestro linguístico”, uma vez que são utilizados vocabulários comuns a estudiosos da educação, como Paulo Freire, que parte de uma perspectiva crítica da educação. </w:t>
      </w:r>
      <w:r w:rsidR="00BA7120">
        <w:t>O autor</w:t>
      </w:r>
      <w:r>
        <w:t xml:space="preserve"> relaciona a palavra sujeito às palavras autonomia, liberdade e responsabilidade. </w:t>
      </w:r>
      <w:r w:rsidRPr="005B1D03">
        <w:t>Para o autor,</w:t>
      </w:r>
    </w:p>
    <w:p w14:paraId="546551D5" w14:textId="77777777" w:rsidR="00017965" w:rsidRPr="005B1D03" w:rsidRDefault="00017965" w:rsidP="00DF040B">
      <w:pPr>
        <w:pStyle w:val="Texto"/>
      </w:pPr>
    </w:p>
    <w:p w14:paraId="24BF15CE" w14:textId="759EA316" w:rsidR="00481ECC" w:rsidRPr="005B1D03" w:rsidRDefault="00F40A00" w:rsidP="00481ECC">
      <w:pPr>
        <w:spacing w:line="240" w:lineRule="auto"/>
        <w:ind w:left="2268" w:firstLine="0"/>
        <w:rPr>
          <w:rFonts w:ascii="Arial" w:hAnsi="Arial"/>
          <w:sz w:val="20"/>
          <w:szCs w:val="20"/>
        </w:rPr>
      </w:pPr>
      <w:r w:rsidRPr="00CC1CEC">
        <w:rPr>
          <w:rFonts w:ascii="Arial" w:hAnsi="Arial"/>
          <w:sz w:val="20"/>
          <w:szCs w:val="20"/>
        </w:rPr>
        <w:t xml:space="preserve">Ninguém é </w:t>
      </w:r>
      <w:r w:rsidRPr="00CC1CEC">
        <w:rPr>
          <w:rFonts w:ascii="Arial" w:hAnsi="Arial"/>
          <w:b/>
          <w:bCs/>
          <w:sz w:val="20"/>
          <w:szCs w:val="20"/>
        </w:rPr>
        <w:t xml:space="preserve">sujeito </w:t>
      </w:r>
      <w:r w:rsidRPr="00CC1CEC">
        <w:rPr>
          <w:rFonts w:ascii="Arial" w:hAnsi="Arial"/>
          <w:sz w:val="20"/>
          <w:szCs w:val="20"/>
        </w:rPr>
        <w:t xml:space="preserve">da autonomia de ninguém. Por outro lado, ninguém amadurece de repente, aos 25 anos. A gente vai amadurecendo todo dia, ou não. A </w:t>
      </w:r>
      <w:r w:rsidRPr="00CC1CEC">
        <w:rPr>
          <w:rFonts w:ascii="Arial" w:hAnsi="Arial"/>
          <w:b/>
          <w:bCs/>
          <w:sz w:val="20"/>
          <w:szCs w:val="20"/>
        </w:rPr>
        <w:t>autonomia</w:t>
      </w:r>
      <w:r w:rsidRPr="00CC1CEC">
        <w:rPr>
          <w:rFonts w:ascii="Arial" w:hAnsi="Arial"/>
          <w:sz w:val="20"/>
          <w:szCs w:val="20"/>
        </w:rPr>
        <w:t xml:space="preserve">, enquanto amadurecimento do ser para si, é processo, é </w:t>
      </w:r>
      <w:r w:rsidRPr="00CC1CEC">
        <w:rPr>
          <w:rFonts w:ascii="Arial" w:hAnsi="Arial"/>
          <w:sz w:val="20"/>
          <w:szCs w:val="20"/>
        </w:rPr>
        <w:lastRenderedPageBreak/>
        <w:t xml:space="preserve">vir a ser. Não ocorre em data marcada. É neste sentido que uma pedagogia da autonomia tem de estar centrada em experiências estimuladoras da decisão e da </w:t>
      </w:r>
      <w:r w:rsidRPr="00CC1CEC">
        <w:rPr>
          <w:rFonts w:ascii="Arial" w:hAnsi="Arial"/>
          <w:b/>
          <w:bCs/>
          <w:sz w:val="20"/>
          <w:szCs w:val="20"/>
        </w:rPr>
        <w:t>responsabilidade</w:t>
      </w:r>
      <w:r w:rsidRPr="00CC1CEC">
        <w:rPr>
          <w:rFonts w:ascii="Arial" w:hAnsi="Arial"/>
          <w:sz w:val="20"/>
          <w:szCs w:val="20"/>
        </w:rPr>
        <w:t xml:space="preserve">, vale dizer, em experiências respeitosas da </w:t>
      </w:r>
      <w:r w:rsidRPr="005D0C40">
        <w:rPr>
          <w:rFonts w:ascii="Arial" w:hAnsi="Arial"/>
          <w:b/>
          <w:bCs/>
          <w:sz w:val="20"/>
          <w:szCs w:val="20"/>
        </w:rPr>
        <w:t>liberdade</w:t>
      </w:r>
      <w:r w:rsidR="0014369B" w:rsidRPr="005D0C40">
        <w:rPr>
          <w:rFonts w:ascii="Arial" w:hAnsi="Arial"/>
          <w:sz w:val="20"/>
          <w:szCs w:val="20"/>
        </w:rPr>
        <w:t xml:space="preserve"> </w:t>
      </w:r>
      <w:r w:rsidRPr="005D0C40">
        <w:rPr>
          <w:rFonts w:ascii="Arial" w:hAnsi="Arial"/>
          <w:sz w:val="20"/>
          <w:szCs w:val="20"/>
        </w:rPr>
        <w:t>(Freire,1996, p</w:t>
      </w:r>
      <w:r w:rsidRPr="005B1D03">
        <w:rPr>
          <w:rFonts w:ascii="Arial" w:hAnsi="Arial"/>
          <w:sz w:val="20"/>
          <w:szCs w:val="20"/>
        </w:rPr>
        <w:t xml:space="preserve">. 55 – grifos nossos). </w:t>
      </w:r>
    </w:p>
    <w:p w14:paraId="54C591F2" w14:textId="77777777" w:rsidR="00F40A00" w:rsidRPr="005B1D03" w:rsidRDefault="00F40A00" w:rsidP="00F40A00">
      <w:pPr>
        <w:spacing w:line="240" w:lineRule="auto"/>
        <w:rPr>
          <w:rFonts w:ascii="Arial" w:hAnsi="Arial"/>
          <w:sz w:val="24"/>
        </w:rPr>
      </w:pPr>
    </w:p>
    <w:p w14:paraId="610AD951" w14:textId="231DF344" w:rsidR="00F40A00" w:rsidRDefault="00F40A00" w:rsidP="00CC1CEC">
      <w:pPr>
        <w:spacing w:line="360" w:lineRule="auto"/>
        <w:rPr>
          <w:rFonts w:ascii="Arial" w:hAnsi="Arial"/>
          <w:sz w:val="24"/>
        </w:rPr>
      </w:pPr>
      <w:r w:rsidRPr="00F40A00">
        <w:rPr>
          <w:rFonts w:ascii="Arial" w:hAnsi="Arial"/>
          <w:sz w:val="24"/>
        </w:rPr>
        <w:t>Compreende-se que a au</w:t>
      </w:r>
      <w:r>
        <w:rPr>
          <w:rFonts w:ascii="Arial" w:hAnsi="Arial"/>
          <w:sz w:val="24"/>
        </w:rPr>
        <w:t>tonomia</w:t>
      </w:r>
      <w:r w:rsidR="00A153C9">
        <w:rPr>
          <w:rFonts w:ascii="Arial" w:hAnsi="Arial"/>
          <w:sz w:val="24"/>
        </w:rPr>
        <w:t>, para o autor,</w:t>
      </w:r>
      <w:r>
        <w:rPr>
          <w:rFonts w:ascii="Arial" w:hAnsi="Arial"/>
          <w:sz w:val="24"/>
        </w:rPr>
        <w:t xml:space="preserve"> é um processo pessoal, que se constrói lentamente a partir de experiências favoráveis, que permitam desenvolver a liberdade e a responsabilidade. No entanto, é possível que os professores que conhecem os textos de Freire, ao ler nos documentos de formação de professores palavras como </w:t>
      </w:r>
      <w:r w:rsidRPr="003B2F5B">
        <w:rPr>
          <w:rFonts w:ascii="Arial" w:hAnsi="Arial"/>
          <w:b/>
          <w:bCs/>
          <w:sz w:val="24"/>
        </w:rPr>
        <w:t>autonomia</w:t>
      </w:r>
      <w:r>
        <w:rPr>
          <w:rFonts w:ascii="Arial" w:hAnsi="Arial"/>
          <w:sz w:val="24"/>
        </w:rPr>
        <w:t xml:space="preserve">, </w:t>
      </w:r>
      <w:r w:rsidRPr="003B2F5B">
        <w:rPr>
          <w:rFonts w:ascii="Arial" w:hAnsi="Arial"/>
          <w:b/>
          <w:bCs/>
          <w:sz w:val="24"/>
        </w:rPr>
        <w:t>liberdade</w:t>
      </w:r>
      <w:r>
        <w:rPr>
          <w:rFonts w:ascii="Arial" w:hAnsi="Arial"/>
          <w:sz w:val="24"/>
        </w:rPr>
        <w:t xml:space="preserve"> e</w:t>
      </w:r>
      <w:r w:rsidR="003B2F5B">
        <w:rPr>
          <w:rFonts w:ascii="Arial" w:hAnsi="Arial"/>
          <w:sz w:val="24"/>
        </w:rPr>
        <w:t xml:space="preserve"> </w:t>
      </w:r>
      <w:r w:rsidRPr="003B2F5B">
        <w:rPr>
          <w:rFonts w:ascii="Arial" w:hAnsi="Arial"/>
          <w:b/>
          <w:bCs/>
          <w:sz w:val="24"/>
        </w:rPr>
        <w:t>responsabilidade</w:t>
      </w:r>
      <w:r>
        <w:rPr>
          <w:rFonts w:ascii="Arial" w:hAnsi="Arial"/>
          <w:sz w:val="24"/>
        </w:rPr>
        <w:t xml:space="preserve"> relacionem as mesmas ao desenvolvimento do pensamento crítico e ao questionamento do papel que cada um de nós assume na sociedade. Porém, o contexto em que são mencionadas </w:t>
      </w:r>
      <w:r w:rsidR="003B2F5B">
        <w:rPr>
          <w:rFonts w:ascii="Arial" w:hAnsi="Arial"/>
          <w:sz w:val="24"/>
        </w:rPr>
        <w:t xml:space="preserve">essas </w:t>
      </w:r>
      <w:r>
        <w:rPr>
          <w:rFonts w:ascii="Arial" w:hAnsi="Arial"/>
          <w:sz w:val="24"/>
        </w:rPr>
        <w:t xml:space="preserve">palavras nos atuais textos de formação docente é outro. </w:t>
      </w:r>
      <w:r w:rsidR="003B2F5B">
        <w:rPr>
          <w:rFonts w:ascii="Arial" w:hAnsi="Arial"/>
          <w:sz w:val="24"/>
        </w:rPr>
        <w:t>São</w:t>
      </w:r>
      <w:r>
        <w:rPr>
          <w:rFonts w:ascii="Arial" w:hAnsi="Arial"/>
          <w:sz w:val="24"/>
        </w:rPr>
        <w:t xml:space="preserve"> palavras </w:t>
      </w:r>
      <w:r w:rsidR="003B2F5B">
        <w:rPr>
          <w:rFonts w:ascii="Arial" w:hAnsi="Arial"/>
          <w:sz w:val="24"/>
        </w:rPr>
        <w:t xml:space="preserve">que </w:t>
      </w:r>
      <w:r>
        <w:rPr>
          <w:rFonts w:ascii="Arial" w:hAnsi="Arial"/>
          <w:sz w:val="24"/>
        </w:rPr>
        <w:t xml:space="preserve">podem ser chamadas de “significantes </w:t>
      </w:r>
      <w:r w:rsidRPr="005D0C40">
        <w:rPr>
          <w:rFonts w:ascii="Arial" w:hAnsi="Arial"/>
          <w:sz w:val="24"/>
        </w:rPr>
        <w:t>vazios” (Laclau, Moufee, 2015), não</w:t>
      </w:r>
      <w:r>
        <w:rPr>
          <w:rFonts w:ascii="Arial" w:hAnsi="Arial"/>
          <w:sz w:val="24"/>
        </w:rPr>
        <w:t xml:space="preserve"> porque não têm sentido, mas porque podem assumir muitos sentidos diferentes, de acordo com </w:t>
      </w:r>
      <w:r w:rsidR="00BA7120">
        <w:rPr>
          <w:rFonts w:ascii="Arial" w:hAnsi="Arial"/>
          <w:sz w:val="24"/>
        </w:rPr>
        <w:t>o contexto e os sujeitos em diálogo</w:t>
      </w:r>
      <w:r>
        <w:rPr>
          <w:rFonts w:ascii="Arial" w:hAnsi="Arial"/>
          <w:sz w:val="24"/>
        </w:rPr>
        <w:t xml:space="preserve">. </w:t>
      </w:r>
    </w:p>
    <w:p w14:paraId="2494D100" w14:textId="5EB56E3A" w:rsidR="00F40A00" w:rsidRPr="00F40A00" w:rsidRDefault="00F40A00" w:rsidP="00A153C9">
      <w:p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4"/>
        </w:rPr>
        <w:t>Ao entrar em contato com discursos que</w:t>
      </w:r>
      <w:r w:rsidR="00BA7120">
        <w:rPr>
          <w:rFonts w:ascii="Arial" w:hAnsi="Arial"/>
          <w:sz w:val="24"/>
        </w:rPr>
        <w:t xml:space="preserve"> se</w:t>
      </w:r>
      <w:r>
        <w:rPr>
          <w:rFonts w:ascii="Arial" w:hAnsi="Arial"/>
          <w:sz w:val="24"/>
        </w:rPr>
        <w:t xml:space="preserve"> assemelham a outros que já conhecemos, </w:t>
      </w:r>
      <w:r w:rsidRPr="005D0C40">
        <w:rPr>
          <w:rFonts w:ascii="Arial" w:hAnsi="Arial"/>
          <w:sz w:val="24"/>
        </w:rPr>
        <w:t>conforme Orlandi (2002)</w:t>
      </w:r>
      <w:r w:rsidR="00BA7120" w:rsidRPr="005D0C40">
        <w:rPr>
          <w:rFonts w:ascii="Arial" w:hAnsi="Arial"/>
          <w:sz w:val="24"/>
        </w:rPr>
        <w:t>,</w:t>
      </w:r>
      <w:r w:rsidRPr="005D0C40">
        <w:rPr>
          <w:rFonts w:ascii="Arial" w:hAnsi="Arial"/>
          <w:sz w:val="24"/>
        </w:rPr>
        <w:t xml:space="preserve"> cabe</w:t>
      </w:r>
      <w:r>
        <w:rPr>
          <w:rFonts w:ascii="Arial" w:hAnsi="Arial"/>
          <w:sz w:val="24"/>
        </w:rPr>
        <w:t xml:space="preserve"> verificar como a memória </w:t>
      </w:r>
      <w:r w:rsidR="00CC1CEC">
        <w:rPr>
          <w:rFonts w:ascii="Arial" w:hAnsi="Arial"/>
          <w:sz w:val="24"/>
        </w:rPr>
        <w:t xml:space="preserve">ativa as condições de produção do discurso, o que envolve o contexto imediato, mas também o que fala antes é ativado e produz efeitos de sentidos. Dessa forma, </w:t>
      </w:r>
      <w:r w:rsidR="003B2F5B">
        <w:rPr>
          <w:rFonts w:ascii="Arial" w:hAnsi="Arial"/>
          <w:sz w:val="24"/>
        </w:rPr>
        <w:t xml:space="preserve">os </w:t>
      </w:r>
      <w:r w:rsidR="00CC1CEC">
        <w:rPr>
          <w:rFonts w:ascii="Arial" w:hAnsi="Arial"/>
          <w:sz w:val="24"/>
        </w:rPr>
        <w:t xml:space="preserve">efeitos de sentidos </w:t>
      </w:r>
      <w:r w:rsidR="003B2F5B">
        <w:rPr>
          <w:rFonts w:ascii="Arial" w:hAnsi="Arial"/>
          <w:sz w:val="24"/>
        </w:rPr>
        <w:t xml:space="preserve">depreendidos da </w:t>
      </w:r>
      <w:r w:rsidR="00CC1CEC">
        <w:rPr>
          <w:rFonts w:ascii="Arial" w:hAnsi="Arial"/>
          <w:sz w:val="24"/>
        </w:rPr>
        <w:t xml:space="preserve">obra de Freire, por exemplo, interagem com </w:t>
      </w:r>
      <w:r w:rsidR="003B2F5B">
        <w:rPr>
          <w:rFonts w:ascii="Arial" w:hAnsi="Arial"/>
          <w:sz w:val="24"/>
        </w:rPr>
        <w:t>os textos que analisamos, produzidos num</w:t>
      </w:r>
      <w:r w:rsidR="00CC1CEC">
        <w:rPr>
          <w:rFonts w:ascii="Arial" w:hAnsi="Arial"/>
          <w:sz w:val="24"/>
        </w:rPr>
        <w:t xml:space="preserve"> contexto neoliberal e no qual os mesmos vocábulos são utilizados</w:t>
      </w:r>
      <w:r w:rsidR="003B2F5B">
        <w:rPr>
          <w:rFonts w:ascii="Arial" w:hAnsi="Arial"/>
          <w:sz w:val="24"/>
        </w:rPr>
        <w:t xml:space="preserve"> com objetivos distintos</w:t>
      </w:r>
      <w:r w:rsidR="00CC1CEC">
        <w:rPr>
          <w:rFonts w:ascii="Arial" w:hAnsi="Arial"/>
          <w:sz w:val="24"/>
        </w:rPr>
        <w:t>, interferindo na compreensão e na constituição da identidade</w:t>
      </w:r>
      <w:r w:rsidR="00BA7120">
        <w:rPr>
          <w:rFonts w:ascii="Arial" w:hAnsi="Arial"/>
          <w:sz w:val="24"/>
        </w:rPr>
        <w:t xml:space="preserve"> e</w:t>
      </w:r>
      <w:r w:rsidR="00CC1CEC">
        <w:rPr>
          <w:rFonts w:ascii="Arial" w:hAnsi="Arial"/>
          <w:sz w:val="24"/>
        </w:rPr>
        <w:t xml:space="preserve"> das formas agir no mundo.</w:t>
      </w:r>
    </w:p>
    <w:p w14:paraId="5252FA0A" w14:textId="4F0A3D3C" w:rsidR="00291957" w:rsidRDefault="00481ECC" w:rsidP="00A153C9">
      <w:pPr>
        <w:spacing w:line="360" w:lineRule="auto"/>
        <w:ind w:firstLine="425"/>
        <w:rPr>
          <w:rFonts w:ascii="Arial" w:hAnsi="Arial"/>
          <w:sz w:val="24"/>
          <w:szCs w:val="24"/>
        </w:rPr>
      </w:pPr>
      <w:r w:rsidRPr="00291957">
        <w:rPr>
          <w:rFonts w:ascii="Arial" w:hAnsi="Arial"/>
          <w:sz w:val="24"/>
          <w:szCs w:val="24"/>
        </w:rPr>
        <w:t>Consideramos</w:t>
      </w:r>
      <w:r w:rsidR="00291957" w:rsidRPr="00291957">
        <w:rPr>
          <w:rFonts w:ascii="Arial" w:hAnsi="Arial"/>
          <w:sz w:val="24"/>
          <w:szCs w:val="24"/>
        </w:rPr>
        <w:t xml:space="preserve">, como nos </w:t>
      </w:r>
      <w:r w:rsidR="00291957" w:rsidRPr="005D0C40">
        <w:rPr>
          <w:rFonts w:ascii="Arial" w:hAnsi="Arial"/>
          <w:sz w:val="24"/>
          <w:szCs w:val="24"/>
        </w:rPr>
        <w:t>alerta Oliveira (apud Freire, 1996, p. 08) no</w:t>
      </w:r>
      <w:r w:rsidR="00291957">
        <w:rPr>
          <w:rFonts w:ascii="Arial" w:hAnsi="Arial"/>
          <w:sz w:val="24"/>
          <w:szCs w:val="24"/>
        </w:rPr>
        <w:t xml:space="preserve"> próprio prefácio do livro </w:t>
      </w:r>
      <w:r w:rsidR="00291957" w:rsidRPr="00BA7120">
        <w:rPr>
          <w:rFonts w:ascii="Arial" w:hAnsi="Arial"/>
          <w:i/>
          <w:iCs/>
          <w:sz w:val="24"/>
          <w:szCs w:val="24"/>
        </w:rPr>
        <w:t>Pedagogia da Autonomia</w:t>
      </w:r>
      <w:r w:rsidR="00291957">
        <w:rPr>
          <w:rFonts w:ascii="Arial" w:hAnsi="Arial"/>
          <w:sz w:val="24"/>
          <w:szCs w:val="24"/>
        </w:rPr>
        <w:t>, de Paulo Freire, que</w:t>
      </w:r>
    </w:p>
    <w:p w14:paraId="057A2602" w14:textId="77777777" w:rsidR="00A153C9" w:rsidRDefault="00A153C9" w:rsidP="00A153C9">
      <w:pPr>
        <w:spacing w:line="360" w:lineRule="auto"/>
        <w:ind w:firstLine="425"/>
        <w:rPr>
          <w:rFonts w:ascii="Arial" w:hAnsi="Arial"/>
          <w:sz w:val="24"/>
          <w:szCs w:val="24"/>
        </w:rPr>
      </w:pPr>
    </w:p>
    <w:p w14:paraId="6CA65320" w14:textId="01D2DA8C" w:rsidR="00291957" w:rsidRPr="00291957" w:rsidRDefault="00291957" w:rsidP="00291957">
      <w:pPr>
        <w:spacing w:line="240" w:lineRule="auto"/>
        <w:ind w:left="2268" w:firstLine="0"/>
        <w:rPr>
          <w:rFonts w:ascii="Arial" w:hAnsi="Arial"/>
          <w:sz w:val="20"/>
          <w:szCs w:val="20"/>
        </w:rPr>
      </w:pPr>
      <w:r w:rsidRPr="00291957">
        <w:rPr>
          <w:rFonts w:ascii="Arial" w:hAnsi="Arial"/>
          <w:sz w:val="20"/>
          <w:szCs w:val="20"/>
        </w:rPr>
        <w:t>Nesse contexto em que a ideologia neoliberal incorpor</w:t>
      </w:r>
      <w:r w:rsidR="00BA7120">
        <w:rPr>
          <w:rFonts w:ascii="Arial" w:hAnsi="Arial"/>
          <w:sz w:val="20"/>
          <w:szCs w:val="20"/>
        </w:rPr>
        <w:t>a</w:t>
      </w:r>
      <w:r w:rsidRPr="00291957">
        <w:rPr>
          <w:rFonts w:ascii="Arial" w:hAnsi="Arial"/>
          <w:sz w:val="20"/>
          <w:szCs w:val="20"/>
        </w:rPr>
        <w:t>, entre outras, a categoria de autonomia é preciso também atentar para a força de seu discurso ideológico e para as inversões que podem operar no pensamento e na prática pedagógica ao estimular o individualismo e a competitividade. Como contraponto, denunciando o mal-estar que está se produzindo pela ética do mercado</w:t>
      </w:r>
      <w:r w:rsidR="00563289">
        <w:rPr>
          <w:rFonts w:ascii="Arial" w:hAnsi="Arial"/>
          <w:sz w:val="20"/>
          <w:szCs w:val="20"/>
        </w:rPr>
        <w:t>.</w:t>
      </w:r>
    </w:p>
    <w:p w14:paraId="7D896FA8" w14:textId="77777777" w:rsidR="000523EB" w:rsidRDefault="000523EB" w:rsidP="001E1A94">
      <w:pPr>
        <w:spacing w:line="360" w:lineRule="auto"/>
        <w:ind w:firstLine="425"/>
        <w:rPr>
          <w:rFonts w:ascii="Arial" w:hAnsi="Arial"/>
          <w:sz w:val="24"/>
          <w:szCs w:val="24"/>
        </w:rPr>
      </w:pPr>
    </w:p>
    <w:p w14:paraId="28A657ED" w14:textId="224BC33B" w:rsidR="00291957" w:rsidRPr="00291957" w:rsidRDefault="00291957" w:rsidP="001E1A94">
      <w:p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Diante do que </w:t>
      </w:r>
      <w:r w:rsidR="00A153C9">
        <w:rPr>
          <w:rFonts w:ascii="Arial" w:hAnsi="Arial"/>
          <w:sz w:val="24"/>
          <w:szCs w:val="24"/>
        </w:rPr>
        <w:t>refletimos</w:t>
      </w:r>
      <w:r>
        <w:rPr>
          <w:rFonts w:ascii="Arial" w:hAnsi="Arial"/>
          <w:sz w:val="24"/>
          <w:szCs w:val="24"/>
        </w:rPr>
        <w:t xml:space="preserve"> até o momento, consideramos que</w:t>
      </w:r>
      <w:r w:rsidR="00122CA6">
        <w:rPr>
          <w:rFonts w:ascii="Arial" w:hAnsi="Arial"/>
          <w:sz w:val="24"/>
          <w:szCs w:val="24"/>
        </w:rPr>
        <w:t xml:space="preserve"> as mesmas palavras deslocadas de contexto, podem produzir </w:t>
      </w:r>
      <w:r w:rsidR="008E5F2C">
        <w:rPr>
          <w:rFonts w:ascii="Arial" w:hAnsi="Arial"/>
          <w:sz w:val="24"/>
          <w:szCs w:val="24"/>
        </w:rPr>
        <w:t xml:space="preserve">efeitos de </w:t>
      </w:r>
      <w:r w:rsidR="00122CA6">
        <w:rPr>
          <w:rFonts w:ascii="Arial" w:hAnsi="Arial"/>
          <w:sz w:val="24"/>
          <w:szCs w:val="24"/>
        </w:rPr>
        <w:t xml:space="preserve">sentidos diferentes. Palavras comuns ao contexto das teorias críticas, a partir das obras de Paulo Freire, são trazidas a um contexto neoliberal, produzindo identidades individuais, a partir de uma </w:t>
      </w:r>
      <w:r w:rsidR="00122CA6">
        <w:rPr>
          <w:rFonts w:ascii="Arial" w:hAnsi="Arial"/>
          <w:sz w:val="24"/>
          <w:szCs w:val="24"/>
        </w:rPr>
        <w:lastRenderedPageBreak/>
        <w:t xml:space="preserve">ideologia </w:t>
      </w:r>
      <w:r w:rsidR="00563289">
        <w:rPr>
          <w:rFonts w:ascii="Arial" w:hAnsi="Arial"/>
          <w:sz w:val="24"/>
          <w:szCs w:val="24"/>
        </w:rPr>
        <w:t>do ser autônomo como ser um sujeito que prescinde de direitos sociais</w:t>
      </w:r>
      <w:r w:rsidR="00122CA6">
        <w:rPr>
          <w:rFonts w:ascii="Arial" w:hAnsi="Arial"/>
          <w:sz w:val="24"/>
          <w:szCs w:val="24"/>
        </w:rPr>
        <w:t>. Consideramos também que a ativação da memória, a partir de discursos semelhantes, mas oriundos de contextos diferentes, podem mascarar discursos hegemônicos.</w:t>
      </w:r>
    </w:p>
    <w:p w14:paraId="4376DA1F" w14:textId="77777777" w:rsidR="001D146E" w:rsidRDefault="001D146E" w:rsidP="004C446D">
      <w:pPr>
        <w:pStyle w:val="Ttulo1"/>
      </w:pPr>
    </w:p>
    <w:p w14:paraId="48D133EA" w14:textId="12CFA843" w:rsidR="00707214" w:rsidRDefault="00FC4166" w:rsidP="004C446D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0984E33D" w14:textId="77777777" w:rsidR="00122CA6" w:rsidRPr="00BA5662" w:rsidRDefault="00122CA6" w:rsidP="00122CA6">
      <w:pPr>
        <w:rPr>
          <w:rFonts w:ascii="Arial" w:hAnsi="Arial" w:cs="Arial"/>
          <w:sz w:val="24"/>
          <w:szCs w:val="24"/>
        </w:rPr>
      </w:pPr>
    </w:p>
    <w:p w14:paraId="2250305D" w14:textId="7FD0D574" w:rsidR="00122CA6" w:rsidRPr="00BA5662" w:rsidRDefault="00122CA6" w:rsidP="00563289">
      <w:pPr>
        <w:spacing w:line="360" w:lineRule="auto"/>
        <w:rPr>
          <w:rFonts w:ascii="Arial" w:hAnsi="Arial" w:cs="Arial"/>
          <w:sz w:val="24"/>
          <w:szCs w:val="24"/>
        </w:rPr>
      </w:pPr>
      <w:r w:rsidRPr="00BA5662">
        <w:rPr>
          <w:rFonts w:ascii="Arial" w:hAnsi="Arial" w:cs="Arial"/>
          <w:sz w:val="24"/>
          <w:szCs w:val="24"/>
        </w:rPr>
        <w:t xml:space="preserve">Ao observar textos de formação de professores podemos observar “sentidos </w:t>
      </w:r>
      <w:r w:rsidRPr="005D0C40">
        <w:rPr>
          <w:rFonts w:ascii="Arial" w:hAnsi="Arial" w:cs="Arial"/>
          <w:sz w:val="24"/>
          <w:szCs w:val="24"/>
        </w:rPr>
        <w:t>flutuantes” (Pêcheux, 2010) e</w:t>
      </w:r>
      <w:r w:rsidRPr="00BA5662">
        <w:rPr>
          <w:rFonts w:ascii="Arial" w:hAnsi="Arial" w:cs="Arial"/>
          <w:sz w:val="24"/>
          <w:szCs w:val="24"/>
        </w:rPr>
        <w:t xml:space="preserve"> palavras como autonomia e liberdade passam </w:t>
      </w:r>
      <w:r w:rsidR="008E5F2C">
        <w:rPr>
          <w:rFonts w:ascii="Arial" w:hAnsi="Arial" w:cs="Arial"/>
          <w:sz w:val="24"/>
          <w:szCs w:val="24"/>
        </w:rPr>
        <w:t xml:space="preserve">a </w:t>
      </w:r>
      <w:r w:rsidRPr="00BA5662">
        <w:rPr>
          <w:rFonts w:ascii="Arial" w:hAnsi="Arial" w:cs="Arial"/>
          <w:sz w:val="24"/>
          <w:szCs w:val="24"/>
        </w:rPr>
        <w:t>produzir novos sentidos</w:t>
      </w:r>
      <w:r w:rsidR="00BA5662" w:rsidRPr="00BA5662">
        <w:rPr>
          <w:rFonts w:ascii="Arial" w:hAnsi="Arial" w:cs="Arial"/>
          <w:sz w:val="24"/>
          <w:szCs w:val="24"/>
        </w:rPr>
        <w:t xml:space="preserve">, mas também podem ocultar certas intenções dos discursos neoliberais. </w:t>
      </w:r>
    </w:p>
    <w:p w14:paraId="26F7C3FD" w14:textId="5539E212" w:rsidR="00BA5662" w:rsidRPr="00BA5662" w:rsidRDefault="00BA5662" w:rsidP="00563289">
      <w:pPr>
        <w:spacing w:line="360" w:lineRule="auto"/>
        <w:rPr>
          <w:rFonts w:ascii="Arial" w:hAnsi="Arial" w:cs="Arial"/>
          <w:sz w:val="24"/>
          <w:szCs w:val="24"/>
        </w:rPr>
      </w:pPr>
      <w:r w:rsidRPr="005D0C40">
        <w:rPr>
          <w:rFonts w:ascii="Arial" w:hAnsi="Arial" w:cs="Arial"/>
          <w:sz w:val="24"/>
          <w:szCs w:val="24"/>
        </w:rPr>
        <w:t>Para Carvalho e Galvão (2022, p.11), o que</w:t>
      </w:r>
      <w:r w:rsidRPr="00BA5662">
        <w:rPr>
          <w:rFonts w:ascii="Arial" w:hAnsi="Arial" w:cs="Arial"/>
          <w:sz w:val="24"/>
          <w:szCs w:val="24"/>
        </w:rPr>
        <w:t xml:space="preserve"> </w:t>
      </w:r>
      <w:r w:rsidR="00563289" w:rsidRPr="00BA5662">
        <w:rPr>
          <w:rFonts w:ascii="Arial" w:hAnsi="Arial" w:cs="Arial"/>
          <w:sz w:val="24"/>
          <w:szCs w:val="24"/>
        </w:rPr>
        <w:t>analisamos</w:t>
      </w:r>
      <w:r w:rsidRPr="00BA5662">
        <w:rPr>
          <w:rFonts w:ascii="Arial" w:hAnsi="Arial" w:cs="Arial"/>
          <w:sz w:val="24"/>
          <w:szCs w:val="24"/>
        </w:rPr>
        <w:t xml:space="preserve"> “no atual contexto se refere </w:t>
      </w:r>
      <w:r w:rsidR="00563289">
        <w:rPr>
          <w:rFonts w:ascii="Arial" w:hAnsi="Arial" w:cs="Arial"/>
          <w:sz w:val="24"/>
          <w:szCs w:val="24"/>
        </w:rPr>
        <w:t>à</w:t>
      </w:r>
      <w:r w:rsidRPr="00BA5662">
        <w:rPr>
          <w:rFonts w:ascii="Arial" w:hAnsi="Arial" w:cs="Arial"/>
          <w:sz w:val="24"/>
          <w:szCs w:val="24"/>
        </w:rPr>
        <w:t xml:space="preserve"> transformação da liberdade em fetiche, [...] o que legitima a adaptação e a reprodução do sistema capitalista como fato natural e, ideológico, promovendo um vazio de possiblidade crítica”. </w:t>
      </w:r>
    </w:p>
    <w:p w14:paraId="76454373" w14:textId="765A0099" w:rsidR="00122CA6" w:rsidRPr="00BA5662" w:rsidRDefault="00BA5662" w:rsidP="00563289">
      <w:pPr>
        <w:spacing w:line="360" w:lineRule="auto"/>
        <w:rPr>
          <w:rFonts w:ascii="Arial" w:hAnsi="Arial" w:cs="Arial"/>
          <w:sz w:val="24"/>
          <w:szCs w:val="24"/>
        </w:rPr>
      </w:pPr>
      <w:r w:rsidRPr="00BA5662">
        <w:rPr>
          <w:rFonts w:ascii="Arial" w:hAnsi="Arial" w:cs="Arial"/>
          <w:sz w:val="24"/>
          <w:szCs w:val="24"/>
        </w:rPr>
        <w:t xml:space="preserve">Por fim, palavras como liberdade e autonomia produzem sentidos que transitam da criticidade e busca por direitos sociais para uma compreensão de que os sujeitos devem abdicar de direitos sociais em nome da </w:t>
      </w:r>
      <w:r w:rsidR="00563289">
        <w:rPr>
          <w:rFonts w:ascii="Arial" w:hAnsi="Arial" w:cs="Arial"/>
          <w:sz w:val="24"/>
          <w:szCs w:val="24"/>
        </w:rPr>
        <w:t>“</w:t>
      </w:r>
      <w:r w:rsidRPr="00BA5662">
        <w:rPr>
          <w:rFonts w:ascii="Arial" w:hAnsi="Arial" w:cs="Arial"/>
          <w:sz w:val="24"/>
          <w:szCs w:val="24"/>
        </w:rPr>
        <w:t>liberdade</w:t>
      </w:r>
      <w:r w:rsidR="00563289">
        <w:rPr>
          <w:rFonts w:ascii="Arial" w:hAnsi="Arial" w:cs="Arial"/>
          <w:sz w:val="24"/>
          <w:szCs w:val="24"/>
        </w:rPr>
        <w:t>”</w:t>
      </w:r>
      <w:r w:rsidRPr="00BA5662">
        <w:rPr>
          <w:rFonts w:ascii="Arial" w:hAnsi="Arial" w:cs="Arial"/>
          <w:sz w:val="24"/>
          <w:szCs w:val="24"/>
        </w:rPr>
        <w:t xml:space="preserve"> e da </w:t>
      </w:r>
      <w:r w:rsidR="00563289">
        <w:rPr>
          <w:rFonts w:ascii="Arial" w:hAnsi="Arial" w:cs="Arial"/>
          <w:sz w:val="24"/>
          <w:szCs w:val="24"/>
        </w:rPr>
        <w:t>“</w:t>
      </w:r>
      <w:r w:rsidRPr="00BA5662">
        <w:rPr>
          <w:rFonts w:ascii="Arial" w:hAnsi="Arial" w:cs="Arial"/>
          <w:sz w:val="24"/>
          <w:szCs w:val="24"/>
        </w:rPr>
        <w:t>autonomia</w:t>
      </w:r>
      <w:r w:rsidR="00563289">
        <w:rPr>
          <w:rFonts w:ascii="Arial" w:hAnsi="Arial" w:cs="Arial"/>
          <w:sz w:val="24"/>
          <w:szCs w:val="24"/>
        </w:rPr>
        <w:t>”</w:t>
      </w:r>
      <w:r w:rsidRPr="00BA5662">
        <w:rPr>
          <w:rFonts w:ascii="Arial" w:hAnsi="Arial" w:cs="Arial"/>
          <w:sz w:val="24"/>
          <w:szCs w:val="24"/>
        </w:rPr>
        <w:t>.</w:t>
      </w:r>
      <w:r w:rsidR="008E5F2C">
        <w:rPr>
          <w:rFonts w:ascii="Arial" w:hAnsi="Arial" w:cs="Arial"/>
          <w:sz w:val="24"/>
          <w:szCs w:val="24"/>
        </w:rPr>
        <w:t xml:space="preserve"> Palavras que constituem a identidade docente como um ser “autônomo”, mas que também nos leva a analisar que o professor é um propagador cultural. Assim, atuar na constituição identitária do professor é multiplicar ideias sobre como a sociedade e os sujeitos que a compõem se constituem. </w:t>
      </w:r>
    </w:p>
    <w:p w14:paraId="2EABA2E7" w14:textId="77777777" w:rsidR="00126DD2" w:rsidRPr="008E5F2C" w:rsidRDefault="00126DD2" w:rsidP="00563289">
      <w:pPr>
        <w:pStyle w:val="Texto"/>
      </w:pPr>
    </w:p>
    <w:p w14:paraId="7F32F155" w14:textId="58A9E401" w:rsidR="006306D9" w:rsidRDefault="00707214" w:rsidP="00017965">
      <w:pPr>
        <w:pStyle w:val="TtulosNoNumerados"/>
        <w:spacing w:line="240" w:lineRule="auto"/>
      </w:pPr>
      <w:r w:rsidRPr="00707214">
        <w:t>REFERÊNCIAS</w:t>
      </w:r>
    </w:p>
    <w:p w14:paraId="1CEA4D6E" w14:textId="77777777" w:rsidR="00597F8A" w:rsidRPr="004C446D" w:rsidRDefault="00597F8A" w:rsidP="00017965">
      <w:pPr>
        <w:pStyle w:val="Texto"/>
        <w:spacing w:line="240" w:lineRule="auto"/>
      </w:pPr>
    </w:p>
    <w:p w14:paraId="361B03A7" w14:textId="42EB78BB" w:rsidR="001E54C1" w:rsidRDefault="0014369B" w:rsidP="00017965">
      <w:pPr>
        <w:pStyle w:val="TtulosNoNumerados"/>
        <w:spacing w:line="240" w:lineRule="auto"/>
        <w:rPr>
          <w:b w:val="0"/>
          <w:bCs w:val="0"/>
        </w:rPr>
      </w:pPr>
      <w:r w:rsidRPr="0014369B">
        <w:rPr>
          <w:b w:val="0"/>
          <w:bCs w:val="0"/>
        </w:rPr>
        <w:t xml:space="preserve">AMORIM, Rebeca. A falsa neutralidade da política curricular para o ensino médio no Brasil. 2025. 200 </w:t>
      </w:r>
      <w:r>
        <w:rPr>
          <w:b w:val="0"/>
          <w:bCs w:val="0"/>
        </w:rPr>
        <w:t>p.</w:t>
      </w:r>
      <w:r w:rsidRPr="0014369B">
        <w:rPr>
          <w:b w:val="0"/>
          <w:bCs w:val="0"/>
        </w:rPr>
        <w:t>Tese (Doutorado em Educação) - Programa de Pós-Graduação em Educação, Centro de Ciências da Educação, Artes e Letras, Universidade Regional de Blumenau, Blumenau, 2025. Disponível em: http://bu.furb.br/docs/TE/2025/371384_1_1.pdf. Acesso em: 21 out. 2025.</w:t>
      </w:r>
    </w:p>
    <w:p w14:paraId="32CFEAF6" w14:textId="77777777" w:rsidR="00262993" w:rsidRDefault="00262993" w:rsidP="00017965">
      <w:pPr>
        <w:pStyle w:val="TtulosNoNumerados"/>
        <w:spacing w:line="240" w:lineRule="auto"/>
        <w:rPr>
          <w:b w:val="0"/>
          <w:bCs w:val="0"/>
        </w:rPr>
      </w:pPr>
    </w:p>
    <w:p w14:paraId="7C87EA21" w14:textId="77777777" w:rsidR="00262993" w:rsidRPr="00262993" w:rsidRDefault="00262993" w:rsidP="00017965">
      <w:pPr>
        <w:pStyle w:val="TtulosNoNumerados"/>
        <w:spacing w:line="240" w:lineRule="auto"/>
        <w:rPr>
          <w:b w:val="0"/>
          <w:bCs w:val="0"/>
        </w:rPr>
      </w:pPr>
      <w:r w:rsidRPr="00262993">
        <w:rPr>
          <w:b w:val="0"/>
          <w:bCs w:val="0"/>
        </w:rPr>
        <w:t>BRASIL. LEI N</w:t>
      </w:r>
      <w:r w:rsidRPr="00262993">
        <w:rPr>
          <w:b w:val="0"/>
          <w:bCs w:val="0"/>
          <w:vertAlign w:val="superscript"/>
        </w:rPr>
        <w:t>o</w:t>
      </w:r>
      <w:r w:rsidRPr="00262993">
        <w:rPr>
          <w:b w:val="0"/>
          <w:bCs w:val="0"/>
        </w:rPr>
        <w:t xml:space="preserve"> 14.945, DE 31 DE JULHO DE 2024. </w:t>
      </w:r>
      <w:r>
        <w:rPr>
          <w:b w:val="0"/>
          <w:bCs w:val="0"/>
        </w:rPr>
        <w:t xml:space="preserve">Disponível em: </w:t>
      </w:r>
      <w:r w:rsidRPr="00262993">
        <w:rPr>
          <w:b w:val="0"/>
          <w:bCs w:val="0"/>
        </w:rPr>
        <w:t xml:space="preserve">https://www2.camara.leg.br/legin/fed/lei/2024/lei-14945-31-julho-2024-796017-publicacaooriginal-172512-pl.html. </w:t>
      </w:r>
      <w:r>
        <w:rPr>
          <w:b w:val="0"/>
          <w:bCs w:val="0"/>
        </w:rPr>
        <w:t>Acesso em: 21 out. 2025.</w:t>
      </w:r>
    </w:p>
    <w:p w14:paraId="56830C9E" w14:textId="77777777" w:rsidR="00262993" w:rsidRDefault="00262993" w:rsidP="00017965">
      <w:pPr>
        <w:pStyle w:val="TtulosNoNumerados"/>
        <w:spacing w:line="240" w:lineRule="auto"/>
        <w:rPr>
          <w:b w:val="0"/>
          <w:bCs w:val="0"/>
        </w:rPr>
      </w:pPr>
    </w:p>
    <w:p w14:paraId="765C4987" w14:textId="7EFF59C2" w:rsidR="00AC5BD8" w:rsidRDefault="00AC5BD8" w:rsidP="00017965">
      <w:pPr>
        <w:pStyle w:val="TtulosNoNumerados"/>
        <w:spacing w:line="240" w:lineRule="auto"/>
        <w:rPr>
          <w:b w:val="0"/>
          <w:bCs w:val="0"/>
        </w:rPr>
      </w:pPr>
      <w:r w:rsidRPr="00AC5BD8">
        <w:rPr>
          <w:b w:val="0"/>
          <w:bCs w:val="0"/>
        </w:rPr>
        <w:t xml:space="preserve">CARVALHO, Celso Do Prado Ferraz De; GALVÃO, Nelson Luiz Gimenes. A educação integral na perspectiva da Pedagogia Histórico- Crítica: em defesa da educação escolar e do trabalho docente. </w:t>
      </w:r>
      <w:r w:rsidRPr="00AC5BD8">
        <w:t>Dialogia</w:t>
      </w:r>
      <w:r w:rsidRPr="00AC5BD8">
        <w:rPr>
          <w:b w:val="0"/>
          <w:bCs w:val="0"/>
        </w:rPr>
        <w:t>, n. 42, p. e22285, 26 set. 2022</w:t>
      </w:r>
      <w:r w:rsidRPr="00AC5BD8">
        <w:t xml:space="preserve">. </w:t>
      </w:r>
      <w:r w:rsidRPr="00AC5BD8">
        <w:rPr>
          <w:b w:val="0"/>
          <w:bCs w:val="0"/>
        </w:rPr>
        <w:t xml:space="preserve">Disponível em: </w:t>
      </w:r>
      <w:hyperlink r:id="rId8" w:history="1">
        <w:r w:rsidRPr="00AC5BD8">
          <w:rPr>
            <w:rStyle w:val="Hyperlink"/>
            <w:b w:val="0"/>
            <w:bCs w:val="0"/>
          </w:rPr>
          <w:t>https://periodicos.uninove.br/dialogia/article/view/22285</w:t>
        </w:r>
      </w:hyperlink>
      <w:r w:rsidRPr="00AC5BD8">
        <w:rPr>
          <w:b w:val="0"/>
          <w:bCs w:val="0"/>
        </w:rPr>
        <w:t>. Acesso em: 21 out. 2025.</w:t>
      </w:r>
    </w:p>
    <w:p w14:paraId="25B70B21" w14:textId="77777777" w:rsidR="005D0C40" w:rsidRDefault="005D0C40" w:rsidP="00017965">
      <w:pPr>
        <w:pStyle w:val="TtulosNoNumerados"/>
        <w:spacing w:line="240" w:lineRule="auto"/>
        <w:rPr>
          <w:b w:val="0"/>
          <w:bCs w:val="0"/>
        </w:rPr>
      </w:pPr>
    </w:p>
    <w:p w14:paraId="3BD2895A" w14:textId="77777777" w:rsidR="005D0C40" w:rsidRPr="005D0C40" w:rsidRDefault="005D0C40" w:rsidP="00017965">
      <w:pPr>
        <w:pStyle w:val="TtulosNoNumerados"/>
        <w:spacing w:line="240" w:lineRule="auto"/>
        <w:rPr>
          <w:b w:val="0"/>
          <w:bCs w:val="0"/>
        </w:rPr>
      </w:pPr>
      <w:r w:rsidRPr="005D0C40">
        <w:rPr>
          <w:b w:val="0"/>
          <w:bCs w:val="0"/>
        </w:rPr>
        <w:t>Freire</w:t>
      </w:r>
      <w:r>
        <w:rPr>
          <w:b w:val="0"/>
          <w:bCs w:val="0"/>
        </w:rPr>
        <w:t xml:space="preserve">, Paulo. </w:t>
      </w:r>
      <w:r w:rsidRPr="005D0C40">
        <w:t>Pedagogia da Autonomia</w:t>
      </w:r>
      <w:r w:rsidRPr="005D0C40">
        <w:rPr>
          <w:b w:val="0"/>
          <w:bCs w:val="0"/>
        </w:rPr>
        <w:t xml:space="preserve">: Saberes Necessários à Prática Educativa. 25. ed. São Paulo: Paz e Terra, 1996. </w:t>
      </w:r>
    </w:p>
    <w:p w14:paraId="16EC02E3" w14:textId="77777777" w:rsidR="005D0C40" w:rsidRPr="00AC5BD8" w:rsidRDefault="005D0C40" w:rsidP="00017965">
      <w:pPr>
        <w:pStyle w:val="TtulosNoNumerados"/>
        <w:spacing w:line="240" w:lineRule="auto"/>
        <w:rPr>
          <w:b w:val="0"/>
          <w:bCs w:val="0"/>
        </w:rPr>
      </w:pPr>
    </w:p>
    <w:p w14:paraId="23F1B4EC" w14:textId="4A1878D1" w:rsidR="005D0C40" w:rsidRDefault="005D0C40" w:rsidP="00017965">
      <w:pPr>
        <w:pStyle w:val="TtulosNoNumerados"/>
        <w:spacing w:line="240" w:lineRule="auto"/>
        <w:rPr>
          <w:b w:val="0"/>
          <w:bCs w:val="0"/>
        </w:rPr>
      </w:pPr>
      <w:r w:rsidRPr="005D0C40">
        <w:rPr>
          <w:b w:val="0"/>
          <w:bCs w:val="0"/>
        </w:rPr>
        <w:t xml:space="preserve">LACLAU, Ernesto; MOUFFE, Chantal. </w:t>
      </w:r>
      <w:r w:rsidRPr="005D0C40">
        <w:t>Hegemonia e Estratégia Socialista</w:t>
      </w:r>
      <w:r w:rsidRPr="005D0C40">
        <w:rPr>
          <w:b w:val="0"/>
          <w:bCs w:val="0"/>
        </w:rPr>
        <w:t xml:space="preserve">: por uma política democrática radical. São Paulo: CNPQ/Intermeios, 2015. </w:t>
      </w:r>
    </w:p>
    <w:p w14:paraId="38B12E3C" w14:textId="77777777" w:rsidR="00BE75A1" w:rsidRDefault="00BE75A1" w:rsidP="00017965">
      <w:pPr>
        <w:pStyle w:val="TtulosNoNumerados"/>
        <w:spacing w:line="240" w:lineRule="auto"/>
        <w:rPr>
          <w:b w:val="0"/>
          <w:bCs w:val="0"/>
        </w:rPr>
      </w:pPr>
    </w:p>
    <w:p w14:paraId="556A685E" w14:textId="3E95429B" w:rsidR="00BE75A1" w:rsidRDefault="00BE75A1" w:rsidP="00017965">
      <w:pPr>
        <w:pStyle w:val="TtulosNoNumerados"/>
        <w:spacing w:line="240" w:lineRule="auto"/>
        <w:rPr>
          <w:b w:val="0"/>
          <w:bCs w:val="0"/>
        </w:rPr>
      </w:pPr>
      <w:r>
        <w:rPr>
          <w:b w:val="0"/>
          <w:bCs w:val="0"/>
        </w:rPr>
        <w:t xml:space="preserve">Nosso Ensino Médio. Plataforma Nosso Ensino Médio. Disponível em: </w:t>
      </w:r>
      <w:r w:rsidRPr="000523EB">
        <w:rPr>
          <w:b w:val="0"/>
          <w:bCs w:val="0"/>
        </w:rPr>
        <w:t>https://nossoensinomedio.org.br/</w:t>
      </w:r>
      <w:r>
        <w:rPr>
          <w:b w:val="0"/>
          <w:bCs w:val="0"/>
        </w:rPr>
        <w:t>. Acesso em: 21 out. 2025.</w:t>
      </w:r>
    </w:p>
    <w:p w14:paraId="2F948D88" w14:textId="77777777" w:rsidR="00262993" w:rsidRDefault="00262993" w:rsidP="00017965">
      <w:pPr>
        <w:pStyle w:val="TtulosNoNumerados"/>
        <w:spacing w:line="240" w:lineRule="auto"/>
        <w:rPr>
          <w:b w:val="0"/>
          <w:bCs w:val="0"/>
        </w:rPr>
      </w:pPr>
    </w:p>
    <w:p w14:paraId="30582CB5" w14:textId="55AB35FC" w:rsidR="00262993" w:rsidRDefault="00262993" w:rsidP="00017965">
      <w:pPr>
        <w:pStyle w:val="TtulosNoNumerados"/>
        <w:spacing w:line="240" w:lineRule="auto"/>
        <w:rPr>
          <w:b w:val="0"/>
          <w:bCs w:val="0"/>
        </w:rPr>
      </w:pPr>
      <w:r w:rsidRPr="00262993">
        <w:rPr>
          <w:b w:val="0"/>
          <w:bCs w:val="0"/>
        </w:rPr>
        <w:t>Instituto Reúna. Consed aprova a Trilhares, a Recomposição no RS e o Relatório de Atividades 2023. E-mail, 28 set. 2024. Acesso em: 21 out. 2025</w:t>
      </w:r>
      <w:r w:rsidR="00BE75A1">
        <w:rPr>
          <w:b w:val="0"/>
          <w:bCs w:val="0"/>
        </w:rPr>
        <w:t>.</w:t>
      </w:r>
    </w:p>
    <w:p w14:paraId="656C9556" w14:textId="77777777" w:rsidR="000523EB" w:rsidRDefault="000523EB" w:rsidP="00017965">
      <w:pPr>
        <w:pStyle w:val="TtulosNoNumerados"/>
        <w:spacing w:line="240" w:lineRule="auto"/>
        <w:rPr>
          <w:b w:val="0"/>
          <w:bCs w:val="0"/>
        </w:rPr>
      </w:pPr>
    </w:p>
    <w:p w14:paraId="3FE9F893" w14:textId="52A90066" w:rsidR="000523EB" w:rsidRPr="00262993" w:rsidRDefault="000523EB" w:rsidP="00017965">
      <w:pPr>
        <w:pStyle w:val="TtulosNoNumerados"/>
        <w:spacing w:line="240" w:lineRule="auto"/>
        <w:rPr>
          <w:b w:val="0"/>
          <w:bCs w:val="0"/>
        </w:rPr>
      </w:pPr>
      <w:r>
        <w:rPr>
          <w:b w:val="0"/>
          <w:bCs w:val="0"/>
        </w:rPr>
        <w:t xml:space="preserve">Instituto Reúna. Conheça o Instituto Reúna. Disponível em: </w:t>
      </w:r>
      <w:r w:rsidRPr="000523EB">
        <w:rPr>
          <w:b w:val="0"/>
          <w:bCs w:val="0"/>
        </w:rPr>
        <w:t>https://www.institutoreuna.org.br/</w:t>
      </w:r>
      <w:r>
        <w:rPr>
          <w:b w:val="0"/>
          <w:bCs w:val="0"/>
        </w:rPr>
        <w:t>. Acesso em: 21 out. 2025.</w:t>
      </w:r>
    </w:p>
    <w:p w14:paraId="5F3A14C4" w14:textId="77777777" w:rsidR="005D0C40" w:rsidRDefault="005D0C40" w:rsidP="00017965">
      <w:pPr>
        <w:pStyle w:val="TtulosNoNumerados"/>
        <w:spacing w:line="240" w:lineRule="auto"/>
        <w:rPr>
          <w:b w:val="0"/>
          <w:bCs w:val="0"/>
        </w:rPr>
      </w:pPr>
    </w:p>
    <w:p w14:paraId="25B8976C" w14:textId="2FE476BF" w:rsidR="005D0C40" w:rsidRPr="005D0C40" w:rsidRDefault="005D0C40" w:rsidP="00017965">
      <w:pPr>
        <w:pStyle w:val="TtulosNoNumerados"/>
        <w:spacing w:line="240" w:lineRule="auto"/>
        <w:rPr>
          <w:b w:val="0"/>
          <w:bCs w:val="0"/>
        </w:rPr>
      </w:pPr>
      <w:r w:rsidRPr="005D0C40">
        <w:rPr>
          <w:b w:val="0"/>
          <w:bCs w:val="0"/>
        </w:rPr>
        <w:t>OLIVEIRA, Edina Castro. Prefácio. In: Freire</w:t>
      </w:r>
      <w:r>
        <w:rPr>
          <w:b w:val="0"/>
          <w:bCs w:val="0"/>
        </w:rPr>
        <w:t xml:space="preserve">, Paulo. </w:t>
      </w:r>
      <w:r w:rsidRPr="005D0C40">
        <w:t>Pedagogia da Autonomia</w:t>
      </w:r>
      <w:r w:rsidRPr="005D0C40">
        <w:rPr>
          <w:b w:val="0"/>
          <w:bCs w:val="0"/>
        </w:rPr>
        <w:t xml:space="preserve">: Saberes Necessários à Prática Educativa. 25. ed. São Paulo: Paz e Terra, 1996. </w:t>
      </w:r>
    </w:p>
    <w:p w14:paraId="1D1C096B" w14:textId="77777777" w:rsidR="001C5B54" w:rsidRPr="00AC5BD8" w:rsidRDefault="001C5B54" w:rsidP="00017965">
      <w:pPr>
        <w:pStyle w:val="TtulosNoNumerados"/>
        <w:spacing w:line="240" w:lineRule="auto"/>
        <w:rPr>
          <w:b w:val="0"/>
          <w:bCs w:val="0"/>
        </w:rPr>
      </w:pPr>
    </w:p>
    <w:p w14:paraId="3DA61425" w14:textId="77777777" w:rsidR="001C5B54" w:rsidRPr="00AC5BD8" w:rsidRDefault="001C5B54" w:rsidP="00017965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AC5BD8">
        <w:rPr>
          <w:rFonts w:ascii="Arial" w:hAnsi="Arial" w:cs="Arial"/>
          <w:sz w:val="24"/>
          <w:szCs w:val="24"/>
        </w:rPr>
        <w:t xml:space="preserve">ORLANDI, Eni. </w:t>
      </w:r>
      <w:r w:rsidRPr="00AC5BD8">
        <w:rPr>
          <w:rFonts w:ascii="Arial" w:hAnsi="Arial" w:cs="Arial"/>
          <w:b/>
          <w:bCs/>
          <w:sz w:val="24"/>
          <w:szCs w:val="24"/>
        </w:rPr>
        <w:t>Análise de Discurso</w:t>
      </w:r>
      <w:r w:rsidRPr="00AC5BD8">
        <w:rPr>
          <w:rFonts w:ascii="Arial" w:hAnsi="Arial" w:cs="Arial"/>
          <w:sz w:val="24"/>
          <w:szCs w:val="24"/>
        </w:rPr>
        <w:t>. 4.ed. Campinas: Pontes, 2002.</w:t>
      </w:r>
    </w:p>
    <w:p w14:paraId="01AF503E" w14:textId="77777777" w:rsidR="001C5B54" w:rsidRDefault="001C5B54" w:rsidP="00017965">
      <w:pPr>
        <w:pStyle w:val="TtulosNoNumerados"/>
        <w:spacing w:line="240" w:lineRule="auto"/>
        <w:rPr>
          <w:b w:val="0"/>
          <w:bCs w:val="0"/>
        </w:rPr>
      </w:pPr>
    </w:p>
    <w:p w14:paraId="0106456A" w14:textId="77777777" w:rsidR="00AC5BD8" w:rsidRPr="00AC5BD8" w:rsidRDefault="00AC5BD8" w:rsidP="00017965">
      <w:pPr>
        <w:pStyle w:val="TtulosNoNumerados"/>
        <w:spacing w:line="240" w:lineRule="auto"/>
        <w:rPr>
          <w:b w:val="0"/>
          <w:bCs w:val="0"/>
        </w:rPr>
      </w:pPr>
      <w:r w:rsidRPr="00AC5BD8">
        <w:rPr>
          <w:b w:val="0"/>
          <w:bCs w:val="0"/>
        </w:rPr>
        <w:t xml:space="preserve">PECHÊUX, Michel. </w:t>
      </w:r>
      <w:r w:rsidRPr="00AC5BD8">
        <w:t>Semântica e Discurso</w:t>
      </w:r>
      <w:r w:rsidRPr="00AC5BD8">
        <w:rPr>
          <w:b w:val="0"/>
          <w:bCs w:val="0"/>
        </w:rPr>
        <w:t xml:space="preserve">. 3. ed. Campinas: Editora Unicamp, 2010. </w:t>
      </w:r>
    </w:p>
    <w:p w14:paraId="2409AE3B" w14:textId="77777777" w:rsidR="001C5B54" w:rsidRPr="00AC5BD8" w:rsidRDefault="001C5B54" w:rsidP="00017965">
      <w:pPr>
        <w:pStyle w:val="TtulosNoNumerados"/>
        <w:spacing w:line="240" w:lineRule="auto"/>
        <w:rPr>
          <w:b w:val="0"/>
          <w:bCs w:val="0"/>
        </w:rPr>
      </w:pPr>
    </w:p>
    <w:p w14:paraId="193E9346" w14:textId="77777777" w:rsidR="001C5B54" w:rsidRPr="00AC5BD8" w:rsidRDefault="001C5B54" w:rsidP="00017965">
      <w:pPr>
        <w:spacing w:line="240" w:lineRule="auto"/>
        <w:ind w:firstLine="0"/>
        <w:jc w:val="left"/>
        <w:rPr>
          <w:rFonts w:ascii="Arial" w:eastAsia="Times New Roman" w:hAnsi="Arial" w:cs="Arial"/>
          <w:sz w:val="24"/>
          <w:szCs w:val="24"/>
        </w:rPr>
      </w:pPr>
      <w:bookmarkStart w:id="2" w:name="_Hlk183099342"/>
      <w:r w:rsidRPr="00AC5BD8">
        <w:rPr>
          <w:rFonts w:ascii="Arial" w:hAnsi="Arial" w:cs="Arial"/>
          <w:sz w:val="24"/>
          <w:szCs w:val="24"/>
        </w:rPr>
        <w:t>SHIROMA, Eneida Oto; CAMPOS, Roselane Fátima; GARCIA, Rosalba Maria Cardoso</w:t>
      </w:r>
      <w:r w:rsidRPr="00AC5BD8">
        <w:rPr>
          <w:rFonts w:ascii="Arial" w:eastAsia="Times New Roman" w:hAnsi="Arial" w:cs="Arial"/>
          <w:sz w:val="24"/>
          <w:szCs w:val="24"/>
        </w:rPr>
        <w:t>. Decifrar textos para compreender a política: subsídios teórico-metodológicos para análise de documentos. </w:t>
      </w:r>
      <w:r w:rsidRPr="00AC5BD8">
        <w:rPr>
          <w:rFonts w:ascii="Arial" w:eastAsia="Times New Roman" w:hAnsi="Arial" w:cs="Arial"/>
          <w:b/>
          <w:bCs/>
          <w:sz w:val="24"/>
          <w:szCs w:val="24"/>
        </w:rPr>
        <w:t>Perspectiva</w:t>
      </w:r>
      <w:r w:rsidRPr="00AC5BD8">
        <w:rPr>
          <w:rFonts w:ascii="Arial" w:eastAsia="Times New Roman" w:hAnsi="Arial" w:cs="Arial"/>
          <w:sz w:val="24"/>
          <w:szCs w:val="24"/>
        </w:rPr>
        <w:t xml:space="preserve">, Florianópolis, v. 23, n. 2, p. 427-446, 2005. Disponível em: https://periodicos.ufsc.br/index.php/perspectiva/article/view/9769. Acesso em: 01 jun. 2025. </w:t>
      </w:r>
    </w:p>
    <w:bookmarkEnd w:id="2"/>
    <w:p w14:paraId="370A7A68" w14:textId="77777777" w:rsidR="00262993" w:rsidRDefault="00262993" w:rsidP="00262993">
      <w:pPr>
        <w:pStyle w:val="TtulosNoNumerados"/>
      </w:pPr>
    </w:p>
    <w:p w14:paraId="22D7C99F" w14:textId="77777777" w:rsidR="00262993" w:rsidRPr="00262993" w:rsidRDefault="00262993" w:rsidP="00262993">
      <w:pPr>
        <w:pStyle w:val="TtulosNoNumerados"/>
      </w:pPr>
    </w:p>
    <w:p w14:paraId="11EB4AE4" w14:textId="7108602B" w:rsidR="00AC5BD8" w:rsidRPr="00CD581C" w:rsidRDefault="00AC5BD8">
      <w:pPr>
        <w:pStyle w:val="TtulosNoNumerados"/>
      </w:pPr>
    </w:p>
    <w:sectPr w:rsidR="00AC5BD8" w:rsidRPr="00CD581C" w:rsidSect="008955B6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980A6" w14:textId="77777777" w:rsidR="003944F9" w:rsidRDefault="003944F9" w:rsidP="00026BCD">
      <w:pPr>
        <w:spacing w:line="240" w:lineRule="auto"/>
      </w:pPr>
      <w:r>
        <w:separator/>
      </w:r>
    </w:p>
  </w:endnote>
  <w:endnote w:type="continuationSeparator" w:id="0">
    <w:p w14:paraId="4204967C" w14:textId="77777777" w:rsidR="003944F9" w:rsidRDefault="003944F9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B91BD" w14:textId="77777777" w:rsidR="003944F9" w:rsidRDefault="003944F9" w:rsidP="00026BCD">
      <w:pPr>
        <w:spacing w:line="240" w:lineRule="auto"/>
      </w:pPr>
      <w:r>
        <w:separator/>
      </w:r>
    </w:p>
  </w:footnote>
  <w:footnote w:type="continuationSeparator" w:id="0">
    <w:p w14:paraId="095FC7C8" w14:textId="77777777" w:rsidR="003944F9" w:rsidRDefault="003944F9" w:rsidP="00026BCD">
      <w:pPr>
        <w:spacing w:line="240" w:lineRule="auto"/>
      </w:pPr>
      <w:r>
        <w:continuationSeparator/>
      </w:r>
    </w:p>
  </w:footnote>
  <w:footnote w:id="1">
    <w:p w14:paraId="5BBEB1C0" w14:textId="66F3C0E2" w:rsidR="00B56F33" w:rsidRPr="00CC1CEC" w:rsidRDefault="00250E5E" w:rsidP="001D146E">
      <w:pPr>
        <w:pStyle w:val="TtulosNoNumerados"/>
        <w:spacing w:line="240" w:lineRule="auto"/>
        <w:jc w:val="both"/>
        <w:rPr>
          <w:b w:val="0"/>
          <w:bCs w:val="0"/>
          <w:sz w:val="22"/>
          <w:szCs w:val="22"/>
        </w:rPr>
      </w:pPr>
      <w:r w:rsidRPr="00CC1CEC">
        <w:rPr>
          <w:rStyle w:val="Refdenotaderodap"/>
          <w:b w:val="0"/>
          <w:bCs w:val="0"/>
          <w:sz w:val="22"/>
          <w:szCs w:val="22"/>
        </w:rPr>
        <w:footnoteRef/>
      </w:r>
      <w:r w:rsidRPr="00CC1CEC">
        <w:rPr>
          <w:b w:val="0"/>
          <w:bCs w:val="0"/>
          <w:sz w:val="22"/>
          <w:szCs w:val="22"/>
        </w:rPr>
        <w:t xml:space="preserve"> </w:t>
      </w:r>
      <w:r w:rsidR="00B56F33" w:rsidRPr="00CC1CEC">
        <w:rPr>
          <w:b w:val="0"/>
          <w:bCs w:val="0"/>
          <w:sz w:val="22"/>
          <w:szCs w:val="22"/>
        </w:rPr>
        <w:t xml:space="preserve">Doutoranda em Educação, Mestre em Educação, Graduação em Letras: Língua Portuguesa e Língua Espanhola. FURB (Universidade Regional de Blumenau), Blumenau, Santa Catariana, Brasil. E-mail: </w:t>
      </w:r>
      <w:hyperlink r:id="rId1" w:history="1">
        <w:r w:rsidR="00B56F33" w:rsidRPr="00CC1CEC">
          <w:rPr>
            <w:rStyle w:val="Hyperlink"/>
            <w:b w:val="0"/>
            <w:bCs w:val="0"/>
            <w:sz w:val="22"/>
            <w:szCs w:val="22"/>
          </w:rPr>
          <w:t>etenfen@furb.br</w:t>
        </w:r>
      </w:hyperlink>
    </w:p>
    <w:p w14:paraId="22FD869C" w14:textId="0A693264" w:rsidR="00250E5E" w:rsidRPr="00CC1CEC" w:rsidRDefault="00250E5E" w:rsidP="001D146E">
      <w:pPr>
        <w:pStyle w:val="Textodenotaderodap"/>
        <w:rPr>
          <w:sz w:val="22"/>
          <w:szCs w:val="22"/>
        </w:rPr>
      </w:pPr>
    </w:p>
  </w:footnote>
  <w:footnote w:id="2">
    <w:p w14:paraId="701CEF99" w14:textId="3CE6D786" w:rsidR="005B1D03" w:rsidRPr="00CC1CEC" w:rsidRDefault="00B56F33" w:rsidP="001D146E">
      <w:pPr>
        <w:pStyle w:val="Textodenotaderodap"/>
        <w:ind w:firstLine="0"/>
        <w:rPr>
          <w:rFonts w:ascii="Arial" w:hAnsi="Arial" w:cs="Arial"/>
          <w:sz w:val="22"/>
          <w:szCs w:val="22"/>
        </w:rPr>
      </w:pPr>
      <w:r w:rsidRPr="00CC1CEC">
        <w:rPr>
          <w:rStyle w:val="Refdenotaderodap"/>
          <w:rFonts w:ascii="Arial" w:hAnsi="Arial" w:cs="Arial"/>
          <w:sz w:val="22"/>
          <w:szCs w:val="22"/>
        </w:rPr>
        <w:footnoteRef/>
      </w:r>
      <w:r w:rsidRPr="00CC1CEC">
        <w:rPr>
          <w:rFonts w:ascii="Arial" w:hAnsi="Arial" w:cs="Arial"/>
          <w:sz w:val="22"/>
          <w:szCs w:val="22"/>
        </w:rPr>
        <w:t xml:space="preserve"> Doutoranda em Educação, Mestre em Educação, Graduação em Pedagogia. FURB (Universidade Regional de Blumenau), Blumenau, Santa Catarina, Brasil. E-mail: </w:t>
      </w:r>
      <w:r w:rsidR="005800D8">
        <w:rPr>
          <w:rFonts w:ascii="Arial" w:hAnsi="Arial" w:cs="Arial"/>
          <w:sz w:val="22"/>
          <w:szCs w:val="22"/>
        </w:rPr>
        <w:t>carin@furb.br</w:t>
      </w:r>
    </w:p>
    <w:p w14:paraId="440DEA38" w14:textId="77777777" w:rsidR="00B56F33" w:rsidRPr="00CC1CEC" w:rsidRDefault="00B56F33" w:rsidP="00CC1CEC">
      <w:pPr>
        <w:pStyle w:val="Textodenotaderodap"/>
        <w:spacing w:line="360" w:lineRule="auto"/>
        <w:ind w:firstLine="0"/>
        <w:rPr>
          <w:rFonts w:ascii="Arial" w:hAnsi="Arial" w:cs="Arial"/>
          <w:sz w:val="22"/>
          <w:szCs w:val="22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4D03"/>
    <w:rsid w:val="00017230"/>
    <w:rsid w:val="00017965"/>
    <w:rsid w:val="000251AB"/>
    <w:rsid w:val="00026BCD"/>
    <w:rsid w:val="0004284F"/>
    <w:rsid w:val="00042954"/>
    <w:rsid w:val="000523EB"/>
    <w:rsid w:val="00055BA2"/>
    <w:rsid w:val="00057443"/>
    <w:rsid w:val="00083ECD"/>
    <w:rsid w:val="0008414C"/>
    <w:rsid w:val="00091F4C"/>
    <w:rsid w:val="000A2154"/>
    <w:rsid w:val="000B3107"/>
    <w:rsid w:val="000B3767"/>
    <w:rsid w:val="000B6399"/>
    <w:rsid w:val="000D4380"/>
    <w:rsid w:val="00116C61"/>
    <w:rsid w:val="00122CA6"/>
    <w:rsid w:val="00126DD2"/>
    <w:rsid w:val="00133DE8"/>
    <w:rsid w:val="0014369B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C5B54"/>
    <w:rsid w:val="001D146E"/>
    <w:rsid w:val="001D23A0"/>
    <w:rsid w:val="001E1A94"/>
    <w:rsid w:val="001E54C1"/>
    <w:rsid w:val="001E75F3"/>
    <w:rsid w:val="001F6136"/>
    <w:rsid w:val="00217CF3"/>
    <w:rsid w:val="00227C2E"/>
    <w:rsid w:val="002506BE"/>
    <w:rsid w:val="00250E5E"/>
    <w:rsid w:val="00251815"/>
    <w:rsid w:val="00262993"/>
    <w:rsid w:val="00291957"/>
    <w:rsid w:val="0029403C"/>
    <w:rsid w:val="00297730"/>
    <w:rsid w:val="002A215E"/>
    <w:rsid w:val="002A6224"/>
    <w:rsid w:val="002D4387"/>
    <w:rsid w:val="002E552A"/>
    <w:rsid w:val="002E5744"/>
    <w:rsid w:val="0030144E"/>
    <w:rsid w:val="0030158D"/>
    <w:rsid w:val="0030373A"/>
    <w:rsid w:val="003063C9"/>
    <w:rsid w:val="00390C0D"/>
    <w:rsid w:val="00391E0A"/>
    <w:rsid w:val="00391F87"/>
    <w:rsid w:val="003944F9"/>
    <w:rsid w:val="003A16B9"/>
    <w:rsid w:val="003A53FB"/>
    <w:rsid w:val="003B2F5B"/>
    <w:rsid w:val="003B2FAA"/>
    <w:rsid w:val="003B5B9D"/>
    <w:rsid w:val="003B6045"/>
    <w:rsid w:val="003B688F"/>
    <w:rsid w:val="003C7633"/>
    <w:rsid w:val="003D08B6"/>
    <w:rsid w:val="003E279A"/>
    <w:rsid w:val="003E7FF2"/>
    <w:rsid w:val="003F656B"/>
    <w:rsid w:val="00403677"/>
    <w:rsid w:val="00435A4C"/>
    <w:rsid w:val="004371A8"/>
    <w:rsid w:val="00442C14"/>
    <w:rsid w:val="00454912"/>
    <w:rsid w:val="00481ECC"/>
    <w:rsid w:val="00483A93"/>
    <w:rsid w:val="00485239"/>
    <w:rsid w:val="00485697"/>
    <w:rsid w:val="004B0EE5"/>
    <w:rsid w:val="004C0FF1"/>
    <w:rsid w:val="004C10A5"/>
    <w:rsid w:val="004C446D"/>
    <w:rsid w:val="004D022B"/>
    <w:rsid w:val="004E7E88"/>
    <w:rsid w:val="00501902"/>
    <w:rsid w:val="00522804"/>
    <w:rsid w:val="00526D12"/>
    <w:rsid w:val="00531E8C"/>
    <w:rsid w:val="00563289"/>
    <w:rsid w:val="0057474E"/>
    <w:rsid w:val="00576DF9"/>
    <w:rsid w:val="005800D8"/>
    <w:rsid w:val="00597F8A"/>
    <w:rsid w:val="005A2B0A"/>
    <w:rsid w:val="005B1D03"/>
    <w:rsid w:val="005C5724"/>
    <w:rsid w:val="005C58D8"/>
    <w:rsid w:val="005D0C40"/>
    <w:rsid w:val="005D3A9E"/>
    <w:rsid w:val="005D3FFC"/>
    <w:rsid w:val="0060173B"/>
    <w:rsid w:val="006017C1"/>
    <w:rsid w:val="006031CF"/>
    <w:rsid w:val="006032B4"/>
    <w:rsid w:val="006118A5"/>
    <w:rsid w:val="006306D9"/>
    <w:rsid w:val="00646D7A"/>
    <w:rsid w:val="0068327B"/>
    <w:rsid w:val="00695D93"/>
    <w:rsid w:val="006C2E27"/>
    <w:rsid w:val="006D2F5D"/>
    <w:rsid w:val="006D3ABF"/>
    <w:rsid w:val="006E7866"/>
    <w:rsid w:val="007016EA"/>
    <w:rsid w:val="00704890"/>
    <w:rsid w:val="00707214"/>
    <w:rsid w:val="00717678"/>
    <w:rsid w:val="00760B15"/>
    <w:rsid w:val="0076389E"/>
    <w:rsid w:val="00777399"/>
    <w:rsid w:val="00777958"/>
    <w:rsid w:val="007A1F67"/>
    <w:rsid w:val="007B3083"/>
    <w:rsid w:val="007B7881"/>
    <w:rsid w:val="007C257B"/>
    <w:rsid w:val="007D0EAE"/>
    <w:rsid w:val="007D34CD"/>
    <w:rsid w:val="007E2E87"/>
    <w:rsid w:val="007E33B8"/>
    <w:rsid w:val="007F6515"/>
    <w:rsid w:val="00812F49"/>
    <w:rsid w:val="00816D36"/>
    <w:rsid w:val="00823FCA"/>
    <w:rsid w:val="00836A3A"/>
    <w:rsid w:val="008562B7"/>
    <w:rsid w:val="008572BE"/>
    <w:rsid w:val="00865FF8"/>
    <w:rsid w:val="0087040B"/>
    <w:rsid w:val="00892CA9"/>
    <w:rsid w:val="008955B6"/>
    <w:rsid w:val="008967EE"/>
    <w:rsid w:val="008A7539"/>
    <w:rsid w:val="008B711F"/>
    <w:rsid w:val="008C02E5"/>
    <w:rsid w:val="008C6DFB"/>
    <w:rsid w:val="008E5F2C"/>
    <w:rsid w:val="008F32E8"/>
    <w:rsid w:val="008F3891"/>
    <w:rsid w:val="0090786F"/>
    <w:rsid w:val="00915550"/>
    <w:rsid w:val="009173EC"/>
    <w:rsid w:val="0094309C"/>
    <w:rsid w:val="00965B62"/>
    <w:rsid w:val="009676AF"/>
    <w:rsid w:val="00971680"/>
    <w:rsid w:val="0098531D"/>
    <w:rsid w:val="00987F2C"/>
    <w:rsid w:val="009A0059"/>
    <w:rsid w:val="009A30B6"/>
    <w:rsid w:val="009A33DE"/>
    <w:rsid w:val="009B4393"/>
    <w:rsid w:val="009E3B90"/>
    <w:rsid w:val="009E6C0F"/>
    <w:rsid w:val="00A14BF3"/>
    <w:rsid w:val="00A153C9"/>
    <w:rsid w:val="00A161E5"/>
    <w:rsid w:val="00A223FB"/>
    <w:rsid w:val="00A27006"/>
    <w:rsid w:val="00A35ED3"/>
    <w:rsid w:val="00A47061"/>
    <w:rsid w:val="00AB2173"/>
    <w:rsid w:val="00AB47AE"/>
    <w:rsid w:val="00AC5BD8"/>
    <w:rsid w:val="00AD5392"/>
    <w:rsid w:val="00AD658C"/>
    <w:rsid w:val="00AF346D"/>
    <w:rsid w:val="00AF4418"/>
    <w:rsid w:val="00B25FC9"/>
    <w:rsid w:val="00B2706C"/>
    <w:rsid w:val="00B31EAA"/>
    <w:rsid w:val="00B3301D"/>
    <w:rsid w:val="00B35ECD"/>
    <w:rsid w:val="00B47A4E"/>
    <w:rsid w:val="00B56F33"/>
    <w:rsid w:val="00B61B60"/>
    <w:rsid w:val="00B6500C"/>
    <w:rsid w:val="00B663F7"/>
    <w:rsid w:val="00B7745C"/>
    <w:rsid w:val="00B801C6"/>
    <w:rsid w:val="00B8211D"/>
    <w:rsid w:val="00B85DF0"/>
    <w:rsid w:val="00BA460D"/>
    <w:rsid w:val="00BA5662"/>
    <w:rsid w:val="00BA68B0"/>
    <w:rsid w:val="00BA7120"/>
    <w:rsid w:val="00BB3206"/>
    <w:rsid w:val="00BB34FF"/>
    <w:rsid w:val="00BD004B"/>
    <w:rsid w:val="00BD042D"/>
    <w:rsid w:val="00BD0F6C"/>
    <w:rsid w:val="00BD278E"/>
    <w:rsid w:val="00BD722D"/>
    <w:rsid w:val="00BE75A1"/>
    <w:rsid w:val="00BE76DE"/>
    <w:rsid w:val="00BF09E3"/>
    <w:rsid w:val="00C73002"/>
    <w:rsid w:val="00C8769A"/>
    <w:rsid w:val="00CA612A"/>
    <w:rsid w:val="00CB5CAD"/>
    <w:rsid w:val="00CC1CEC"/>
    <w:rsid w:val="00CC3A42"/>
    <w:rsid w:val="00CD2AF8"/>
    <w:rsid w:val="00CD581C"/>
    <w:rsid w:val="00CD7E56"/>
    <w:rsid w:val="00CF427F"/>
    <w:rsid w:val="00CF79DF"/>
    <w:rsid w:val="00D07AAE"/>
    <w:rsid w:val="00D1069C"/>
    <w:rsid w:val="00D16DAA"/>
    <w:rsid w:val="00D17DEF"/>
    <w:rsid w:val="00D24B5B"/>
    <w:rsid w:val="00D421FC"/>
    <w:rsid w:val="00D4622B"/>
    <w:rsid w:val="00D67294"/>
    <w:rsid w:val="00D75607"/>
    <w:rsid w:val="00D77336"/>
    <w:rsid w:val="00D86381"/>
    <w:rsid w:val="00D97213"/>
    <w:rsid w:val="00DA1797"/>
    <w:rsid w:val="00DB3C23"/>
    <w:rsid w:val="00DC0714"/>
    <w:rsid w:val="00DE30BE"/>
    <w:rsid w:val="00DF040B"/>
    <w:rsid w:val="00E044EA"/>
    <w:rsid w:val="00E05F28"/>
    <w:rsid w:val="00E31A9B"/>
    <w:rsid w:val="00E406F6"/>
    <w:rsid w:val="00E57BDA"/>
    <w:rsid w:val="00E65BC9"/>
    <w:rsid w:val="00E73320"/>
    <w:rsid w:val="00E91D9C"/>
    <w:rsid w:val="00EC1F91"/>
    <w:rsid w:val="00ED4385"/>
    <w:rsid w:val="00ED7BE5"/>
    <w:rsid w:val="00EE2639"/>
    <w:rsid w:val="00F11652"/>
    <w:rsid w:val="00F27CE0"/>
    <w:rsid w:val="00F32F47"/>
    <w:rsid w:val="00F40A00"/>
    <w:rsid w:val="00F4528F"/>
    <w:rsid w:val="00F46CF2"/>
    <w:rsid w:val="00F647DC"/>
    <w:rsid w:val="00F72FD3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pgrafe2">
    <w:name w:val="Epígrafe 2"/>
    <w:basedOn w:val="Normal"/>
    <w:qFormat/>
    <w:rsid w:val="008955B6"/>
    <w:pPr>
      <w:tabs>
        <w:tab w:val="left" w:pos="851"/>
      </w:tabs>
      <w:spacing w:before="120" w:after="120" w:line="360" w:lineRule="auto"/>
      <w:ind w:left="850" w:hanging="425"/>
      <w:contextualSpacing/>
    </w:pPr>
    <w:rPr>
      <w:rFonts w:ascii="Times New Roman" w:eastAsia="Times New Roman" w:hAnsi="Times New Roman" w:cs="Times New Roman"/>
      <w:b/>
      <w:kern w:val="0"/>
      <w:sz w:val="24"/>
      <w:szCs w:val="21"/>
      <w:lang w:val="es-ES" w:eastAsia="es-ES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D24B5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24B5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24B5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24B5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24B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iodicos.uninove.br/dialogia/article/view/2228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etenfen@furb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7</Pages>
  <Words>2175</Words>
  <Characters>11751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Elaine Hoffmann</cp:lastModifiedBy>
  <cp:revision>12</cp:revision>
  <dcterms:created xsi:type="dcterms:W3CDTF">2025-10-14T22:00:00Z</dcterms:created>
  <dcterms:modified xsi:type="dcterms:W3CDTF">2025-10-26T08:55:00Z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  <property fmtid="{D5CDD505-2E9C-101B-9397-08002B2CF9AE}" pid="10" name="ZOTERO_PREF_1">
    <vt:lpwstr>&lt;data data-version="3" zotero-version="7.0.27"&gt;&lt;session id="wcTIiqjW"/&gt;&lt;style id="" hasBibliography="0" bibliographyStyleHasBeenSet="0"/&gt;&lt;prefs/&gt;&lt;/data&gt;</vt:lpwstr>
  </property>
</Properties>
</file>