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58B7E41" w14:textId="77777777" w:rsidR="000038BA" w:rsidRDefault="005B46CB">
      <w:pPr>
        <w:jc w:val="center"/>
        <w:rPr>
          <w:rFonts w:ascii="Times New Roman" w:eastAsia="Times New Roman" w:hAnsi="Times New Roman" w:cs="Times New Roman"/>
          <w:b/>
          <w:sz w:val="28"/>
          <w:szCs w:val="28"/>
        </w:rPr>
      </w:pPr>
      <w:r>
        <w:rPr>
          <w:noProof/>
          <w:lang w:val="pt-BR"/>
        </w:rPr>
        <w:drawing>
          <wp:anchor distT="114300" distB="114300" distL="114300" distR="114300" simplePos="0" relativeHeight="251658240" behindDoc="0" locked="0" layoutInCell="1" hidden="0" allowOverlap="1" wp14:anchorId="0E58DE83" wp14:editId="025D0376">
            <wp:simplePos x="0" y="0"/>
            <wp:positionH relativeFrom="column">
              <wp:posOffset>-47624</wp:posOffset>
            </wp:positionH>
            <wp:positionV relativeFrom="paragraph">
              <wp:posOffset>161925</wp:posOffset>
            </wp:positionV>
            <wp:extent cx="5762625" cy="1191713"/>
            <wp:effectExtent l="50800" t="50800" r="50800" b="5080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62625" cy="1191713"/>
                    </a:xfrm>
                    <a:prstGeom prst="rect">
                      <a:avLst/>
                    </a:prstGeom>
                    <a:ln w="50800">
                      <a:solidFill>
                        <a:srgbClr val="000000"/>
                      </a:solidFill>
                      <a:prstDash val="solid"/>
                    </a:ln>
                  </pic:spPr>
                </pic:pic>
              </a:graphicData>
            </a:graphic>
          </wp:anchor>
        </w:drawing>
      </w:r>
    </w:p>
    <w:p w14:paraId="037767A6" w14:textId="77777777" w:rsidR="000038BA" w:rsidRDefault="005B46CB">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CAMINHOS DA ALFABETIZAÇÃO: HETEROGENEIDADES, HIPÓTESES E AVANÇOS NAS PRÁTICAS DO PIBID </w:t>
      </w:r>
    </w:p>
    <w:p w14:paraId="16CFEB4D" w14:textId="77777777" w:rsidR="000038BA" w:rsidRDefault="000038BA">
      <w:pPr>
        <w:jc w:val="both"/>
        <w:rPr>
          <w:rFonts w:ascii="Times New Roman" w:eastAsia="Times New Roman" w:hAnsi="Times New Roman" w:cs="Times New Roman"/>
          <w:sz w:val="24"/>
          <w:szCs w:val="24"/>
        </w:rPr>
      </w:pPr>
    </w:p>
    <w:p w14:paraId="4182B1F4" w14:textId="77777777" w:rsidR="000038BA" w:rsidRDefault="005B46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Carlos André Salles de Melo¹</w:t>
      </w:r>
    </w:p>
    <w:p w14:paraId="4DF1B455" w14:textId="77777777" w:rsidR="000038BA" w:rsidRDefault="005B46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Maria Beatriz Da Silva Lourenço²</w:t>
      </w:r>
    </w:p>
    <w:p w14:paraId="4CA000C9" w14:textId="77777777" w:rsidR="000038BA" w:rsidRDefault="005B46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Sara de Vasconcelos Santos³</w:t>
      </w:r>
    </w:p>
    <w:p w14:paraId="314B0C0B" w14:textId="77777777" w:rsidR="000038BA" w:rsidRDefault="005B46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 Beatriz Pimentel da Silva⁴  </w:t>
      </w:r>
    </w:p>
    <w:p w14:paraId="2719C07D" w14:textId="77777777" w:rsidR="000038BA" w:rsidRDefault="005B46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Sandro Rogério Almeida de Santana⁵</w:t>
      </w:r>
    </w:p>
    <w:p w14:paraId="21FA419F" w14:textId="77777777" w:rsidR="000038BA" w:rsidRDefault="005B46CB">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Andréa Tereza Brito Ferreira⁶</w:t>
      </w:r>
    </w:p>
    <w:p w14:paraId="18B42BCF" w14:textId="77777777" w:rsidR="000038BA" w:rsidRDefault="000038BA">
      <w:pPr>
        <w:rPr>
          <w:rFonts w:ascii="Times New Roman" w:eastAsia="Times New Roman" w:hAnsi="Times New Roman" w:cs="Times New Roman"/>
          <w:sz w:val="24"/>
          <w:szCs w:val="24"/>
        </w:rPr>
      </w:pPr>
    </w:p>
    <w:p w14:paraId="53015CC5" w14:textId="2AC60CD2" w:rsidR="000038BA" w:rsidRDefault="005B46CB">
      <w:pPr>
        <w:spacing w:line="240" w:lineRule="auto"/>
        <w:jc w:val="both"/>
        <w:rPr>
          <w:rFonts w:ascii="Times New Roman" w:eastAsia="Times New Roman" w:hAnsi="Times New Roman" w:cs="Times New Roman"/>
        </w:rPr>
      </w:pPr>
      <w:r>
        <w:rPr>
          <w:rFonts w:ascii="Times New Roman" w:eastAsia="Times New Roman" w:hAnsi="Times New Roman" w:cs="Times New Roman"/>
          <w:b/>
        </w:rPr>
        <w:t>Resumo</w:t>
      </w:r>
      <w:r>
        <w:rPr>
          <w:rFonts w:ascii="Times New Roman" w:eastAsia="Times New Roman" w:hAnsi="Times New Roman" w:cs="Times New Roman"/>
        </w:rPr>
        <w:t xml:space="preserve">: O presente trabalho tem como objetivo relatar experiências pedagógicas desenvolvidas no âmbito do Programa Institucional de Bolsa de Iniciação à Docência (PIBID), do Núcleo de Alfabetização da Universidade Federal de Pernambuco - UFPE: Caminhos da Alfabetização: Heterogeneidades, Hipóteses e Avanços Nas Práticas Do PIBID, tendo como foco o processo de recomposição das aprendizagens de estudantes dos anos iniciais do Ensino Fundamental em turma de correção de fluxo da Escola Municipal Professora Almerinda </w:t>
      </w:r>
      <w:r>
        <w:rPr>
          <w:rFonts w:ascii="Times New Roman" w:eastAsia="Times New Roman" w:hAnsi="Times New Roman" w:cs="Times New Roman"/>
        </w:rPr>
        <w:t>Umbelino de Barros, localizada no bairro Vasco da Gama, em Recife. A pesquisa, de caráter qualitativo e descritivo, que ocorreu entre fevereiro e agosto de 2025, fundamenta-se em autores como Leal e Pessoa (2023), Ferreiro e Teberosky (1979), Oliveira (2019) e Mainardes (2008), destacando a heterogeneidade como característica inerente ao processo de alfabetização. A metodologia adotada alia elementos da pesquisa-ação, uma vez que os bolsistas não apenas observaram, mas também interviram no contexto escolar,</w:t>
      </w:r>
      <w:r>
        <w:rPr>
          <w:rFonts w:ascii="Times New Roman" w:eastAsia="Times New Roman" w:hAnsi="Times New Roman" w:cs="Times New Roman"/>
        </w:rPr>
        <w:t xml:space="preserve"> elaborando e aplicando atividades que buscavam contemplar as diferentes hipóteses de escrita presentes na turma. Para este trabalho foi selecionado o jogo de Einstein adaptado, elaborado a partir de modelos diferentes de fichas de atividade para cada grupo de hipótese de escrita, com o objeto de desenvolver de forma interdisciplinar conceitos matemáticos, como lateralidade, localização espacial e raciocínio lógico e língua portuguesa, como leitura e interpretação textual. Os resultados dessa e de outras at</w:t>
      </w:r>
      <w:r>
        <w:rPr>
          <w:rFonts w:ascii="Times New Roman" w:eastAsia="Times New Roman" w:hAnsi="Times New Roman" w:cs="Times New Roman"/>
        </w:rPr>
        <w:t>ividades feitas, evidenciaram avanços significativos na leitura e na escrita, especialmente no caso de estudantes que, inicialmente em hipóteses mais elementares, alcançaram maior fluência e autonomia. Por fim, a</w:t>
      </w:r>
      <w:r w:rsidR="0018102D">
        <w:rPr>
          <w:rFonts w:ascii="Times New Roman" w:eastAsia="Times New Roman" w:hAnsi="Times New Roman" w:cs="Times New Roman"/>
          <w:lang w:val="pt-BR"/>
        </w:rPr>
        <w:t xml:space="preserve"> ludicidade nas atividades s</w:t>
      </w:r>
      <w:r w:rsidR="00014FA8">
        <w:rPr>
          <w:rFonts w:ascii="Times New Roman" w:eastAsia="Times New Roman" w:hAnsi="Times New Roman" w:cs="Times New Roman"/>
          <w:lang w:val="pt-BR"/>
        </w:rPr>
        <w:t>e</w:t>
      </w:r>
      <w:r>
        <w:rPr>
          <w:rFonts w:ascii="Times New Roman" w:eastAsia="Times New Roman" w:hAnsi="Times New Roman" w:cs="Times New Roman"/>
        </w:rPr>
        <w:t xml:space="preserve"> mostr</w:t>
      </w:r>
      <w:r w:rsidR="0018102D">
        <w:rPr>
          <w:rFonts w:ascii="Times New Roman" w:eastAsia="Times New Roman" w:hAnsi="Times New Roman" w:cs="Times New Roman"/>
          <w:lang w:val="pt-BR"/>
        </w:rPr>
        <w:t>ou</w:t>
      </w:r>
      <w:r>
        <w:rPr>
          <w:rFonts w:ascii="Times New Roman" w:eastAsia="Times New Roman" w:hAnsi="Times New Roman" w:cs="Times New Roman"/>
        </w:rPr>
        <w:t xml:space="preserve"> eficaz</w:t>
      </w:r>
      <w:r>
        <w:rPr>
          <w:rFonts w:ascii="Times New Roman" w:eastAsia="Times New Roman" w:hAnsi="Times New Roman" w:cs="Times New Roman"/>
        </w:rPr>
        <w:t xml:space="preserve"> para promover engajamento, cooperação e interesse. Percebeu-se que a heterogeneidade, antes considerada um desafio complexo, se revelou igualmente como um recurso pedagógico valioso, ao estimular o desenvolvimento de práticas criativas por parte dos futuros docentes, fortalecendo o vínculo entre teoria e prática.</w:t>
      </w:r>
    </w:p>
    <w:p w14:paraId="7650D0B9" w14:textId="77777777" w:rsidR="000038BA" w:rsidRDefault="000038BA">
      <w:pPr>
        <w:spacing w:line="240" w:lineRule="auto"/>
        <w:jc w:val="both"/>
        <w:rPr>
          <w:rFonts w:ascii="Times New Roman" w:eastAsia="Times New Roman" w:hAnsi="Times New Roman" w:cs="Times New Roman"/>
          <w:b/>
        </w:rPr>
      </w:pPr>
    </w:p>
    <w:p w14:paraId="15643D46" w14:textId="1BF0C619" w:rsidR="000038BA" w:rsidRDefault="005B46CB">
      <w:pPr>
        <w:spacing w:line="240" w:lineRule="auto"/>
        <w:jc w:val="both"/>
        <w:rPr>
          <w:rFonts w:ascii="Times New Roman" w:eastAsia="Times New Roman" w:hAnsi="Times New Roman" w:cs="Times New Roman"/>
        </w:rPr>
      </w:pPr>
      <w:r>
        <w:rPr>
          <w:rFonts w:ascii="Times New Roman" w:eastAsia="Times New Roman" w:hAnsi="Times New Roman" w:cs="Times New Roman"/>
          <w:b/>
        </w:rPr>
        <w:t>Palavras-chave</w:t>
      </w:r>
      <w:r>
        <w:rPr>
          <w:rFonts w:ascii="Times New Roman" w:eastAsia="Times New Roman" w:hAnsi="Times New Roman" w:cs="Times New Roman"/>
        </w:rPr>
        <w:t>: alfabetização, heterogeneidade, recomposição das aprendizagens</w:t>
      </w:r>
      <w:r w:rsidR="0018102D">
        <w:rPr>
          <w:rFonts w:ascii="Times New Roman" w:eastAsia="Times New Roman" w:hAnsi="Times New Roman" w:cs="Times New Roman"/>
          <w:lang w:val="pt-BR"/>
        </w:rPr>
        <w:t>, ludicidade</w:t>
      </w:r>
      <w:r>
        <w:rPr>
          <w:rFonts w:ascii="Times New Roman" w:eastAsia="Times New Roman" w:hAnsi="Times New Roman" w:cs="Times New Roman"/>
        </w:rPr>
        <w:t>.</w:t>
      </w:r>
    </w:p>
    <w:p w14:paraId="418F67D8" w14:textId="77777777" w:rsidR="000038BA" w:rsidRDefault="005B46CB">
      <w:pPr>
        <w:spacing w:before="20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INTRODUÇÃO </w:t>
      </w:r>
    </w:p>
    <w:p w14:paraId="358F92E6"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a universalização da escolarização e a consolidação do ensino público, ao longo do século XX, o espaço escolar passou a configurar-se como um ambiente progressivamente diverso. Nesse processo, algumas crianças já ingressaram na escola com experiências prévias de letramento, enquanto outras tinham o primeiro contato com práticas sistematizadas de ensino apenas nesse espaço. Tal cenário gerou a coexistência de distintos níveis de aprendizagem e de trajetórias socioculturais, ampliando a complexidade do tr</w:t>
      </w:r>
      <w:r>
        <w:rPr>
          <w:rFonts w:ascii="Times New Roman" w:eastAsia="Times New Roman" w:hAnsi="Times New Roman" w:cs="Times New Roman"/>
          <w:sz w:val="24"/>
          <w:szCs w:val="24"/>
        </w:rPr>
        <w:t>abalho docente diante de uma realidade marcada pela heterogeneidade. Conforme discute Mainardes (2008), a heterogeneidade em sala de aula constitui um conceito abrangente, englobando a diversidade de habilidades cognitivas, estilos e ritmos de aprendizagem, condições socioeconômicas e familiares, além de variáveis culturais, étnicas e de gênero, associadas à valorização da aprendizagem pelo estudante e por seu núcleo familiar. Desse modo, a vivência no ambiente escolar evidencia um elevado grau de heterogen</w:t>
      </w:r>
      <w:r>
        <w:rPr>
          <w:rFonts w:ascii="Times New Roman" w:eastAsia="Times New Roman" w:hAnsi="Times New Roman" w:cs="Times New Roman"/>
          <w:sz w:val="24"/>
          <w:szCs w:val="24"/>
        </w:rPr>
        <w:t>eidade entre os estudantes, tornando indispensável a adoção de estratégias pedagógicas diferenciadas que possibilitem a equidade no processo de aprendizagem, favorecendo, assim, o desenvolvimento global da turma.</w:t>
      </w:r>
    </w:p>
    <w:p w14:paraId="60035BB1"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Nesse contexto, o presente estudo tem como objetivo relatar as experiências desenvolvidas no âmbito do Programa Institucional de Bolsa de Iniciação à Docência (PIBID), vinculado ao Núcleo de Alfabetização da Universidade Federal de Pernambuco (UFPE), no projeto de recomposição das aprendizagens. As práticas pedagógicas foram desenvolvidas com uma turma de correção de fluxo da Escola Municipal Professora Almerinda Umbelino de Barros, localizada no bairro Vasco da Gama, em Recife. O grupo, composto por 13 est</w:t>
      </w:r>
      <w:r>
        <w:rPr>
          <w:rFonts w:ascii="Times New Roman" w:eastAsia="Times New Roman" w:hAnsi="Times New Roman" w:cs="Times New Roman"/>
          <w:sz w:val="24"/>
          <w:szCs w:val="24"/>
        </w:rPr>
        <w:t>udantes em processo de apropriação da escrita, apresentava níveis de aprendizagem significativamente distintos, o que evidencia, na prática, a noção de heterogeneidade discutida por Mainardes (2008).</w:t>
      </w:r>
    </w:p>
    <w:p w14:paraId="7BE182D8"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Este artigo encontra-se organizado em resumo, introdução, referencial teórico, metodologia, resultados, considerações finais e referências. A proposta centra-se na análise de experiências vivenciadas em sala de aula, com ênfase no processo de alfabetização em um contexto heterogêneo. Busca-se, assim, discutir os desafios impostos à mediação pedagógica e às práticas docentes, ressaltando possibilidades de aprimoramento do fazer pedagógico de modo a contemplar a diversidade de sujeitos presentes no espaço esc</w:t>
      </w:r>
      <w:r>
        <w:rPr>
          <w:rFonts w:ascii="Times New Roman" w:eastAsia="Times New Roman" w:hAnsi="Times New Roman" w:cs="Times New Roman"/>
          <w:sz w:val="24"/>
          <w:szCs w:val="24"/>
        </w:rPr>
        <w:t>olar.</w:t>
      </w:r>
    </w:p>
    <w:p w14:paraId="156587BD" w14:textId="77777777" w:rsidR="000038BA" w:rsidRDefault="000038BA">
      <w:pPr>
        <w:spacing w:line="360" w:lineRule="auto"/>
        <w:rPr>
          <w:rFonts w:ascii="Times New Roman" w:eastAsia="Times New Roman" w:hAnsi="Times New Roman" w:cs="Times New Roman"/>
          <w:sz w:val="24"/>
          <w:szCs w:val="24"/>
        </w:rPr>
      </w:pPr>
    </w:p>
    <w:p w14:paraId="73152D75" w14:textId="77777777" w:rsidR="000038BA" w:rsidRDefault="005B46C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REFERENCIAL TEÓRICO</w:t>
      </w:r>
    </w:p>
    <w:p w14:paraId="0E7DCC81" w14:textId="17CA84CD"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base para a construção deste relato de experiência foi o livro </w:t>
      </w:r>
      <w:r>
        <w:rPr>
          <w:rFonts w:ascii="Times New Roman" w:eastAsia="Times New Roman" w:hAnsi="Times New Roman" w:cs="Times New Roman"/>
          <w:i/>
          <w:sz w:val="24"/>
          <w:szCs w:val="24"/>
        </w:rPr>
        <w:t>Concepções e práticas: alfabetização na perspectiva da heterogeneidade</w:t>
      </w:r>
      <w:r>
        <w:rPr>
          <w:rFonts w:ascii="Times New Roman" w:eastAsia="Times New Roman" w:hAnsi="Times New Roman" w:cs="Times New Roman"/>
          <w:sz w:val="24"/>
          <w:szCs w:val="24"/>
        </w:rPr>
        <w:t xml:space="preserve"> de Leal e Pessoa (2023), </w:t>
      </w:r>
      <w:r>
        <w:rPr>
          <w:rFonts w:ascii="Times New Roman" w:eastAsia="Times New Roman" w:hAnsi="Times New Roman" w:cs="Times New Roman"/>
          <w:sz w:val="24"/>
          <w:szCs w:val="24"/>
        </w:rPr>
        <w:t>que aborda</w:t>
      </w:r>
      <w:r>
        <w:rPr>
          <w:rFonts w:ascii="Times New Roman" w:eastAsia="Times New Roman" w:hAnsi="Times New Roman" w:cs="Times New Roman"/>
          <w:sz w:val="24"/>
          <w:szCs w:val="24"/>
        </w:rPr>
        <w:t xml:space="preserve"> o tema </w:t>
      </w:r>
      <w:r>
        <w:rPr>
          <w:rFonts w:ascii="Times New Roman" w:eastAsia="Times New Roman" w:hAnsi="Times New Roman" w:cs="Times New Roman"/>
          <w:sz w:val="24"/>
          <w:szCs w:val="24"/>
        </w:rPr>
        <w:lastRenderedPageBreak/>
        <w:t xml:space="preserve">da heterogeneidade nas práticas de alfabetização. A partir dos estudos, observamos a importância de aprimorar algumas práticas para garantir a compreensão de cada indivíduo presente na sala de aula. </w:t>
      </w:r>
    </w:p>
    <w:p w14:paraId="0B1B3307" w14:textId="77777777" w:rsidR="000038BA" w:rsidRDefault="000038BA">
      <w:pPr>
        <w:spacing w:line="360" w:lineRule="auto"/>
        <w:ind w:firstLine="708"/>
        <w:jc w:val="both"/>
        <w:rPr>
          <w:rFonts w:ascii="Times New Roman" w:eastAsia="Times New Roman" w:hAnsi="Times New Roman" w:cs="Times New Roman"/>
          <w:sz w:val="24"/>
          <w:szCs w:val="24"/>
        </w:rPr>
      </w:pPr>
    </w:p>
    <w:p w14:paraId="2D8155EE" w14:textId="77777777" w:rsidR="000038BA" w:rsidRDefault="005B46CB">
      <w:pPr>
        <w:spacing w:line="360" w:lineRule="auto"/>
        <w:ind w:left="22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Como sabemos, dentro do ciclo de alfabetização, os estudantes apropriam-se da leitura e da escrita em ritmos diferenciados. Quando apresentamos atividades de ensino uniformes para todos, dificultamos a aprendizagem daqueles que se encontram em fases mais iniciais, assim como daqueles que já estão em níveis mais avançados. Dessa forma, o ideal é combinar atividades coletivas, que envolvem toda a turma, com propostas diferenciadas, capazes de atender ao nível e às necessidades específicas de cada estudante (M</w:t>
      </w:r>
      <w:r>
        <w:rPr>
          <w:rFonts w:ascii="Times New Roman" w:eastAsia="Times New Roman" w:hAnsi="Times New Roman" w:cs="Times New Roman"/>
          <w:sz w:val="20"/>
          <w:szCs w:val="20"/>
        </w:rPr>
        <w:t>ainardes, 2016, p. 112 apud Leal e Pessoa, 2023).</w:t>
      </w:r>
    </w:p>
    <w:p w14:paraId="55CA62C0" w14:textId="77777777" w:rsidR="000038BA" w:rsidRDefault="000038BA">
      <w:pPr>
        <w:spacing w:line="360" w:lineRule="auto"/>
        <w:ind w:left="2267"/>
        <w:jc w:val="both"/>
        <w:rPr>
          <w:rFonts w:ascii="Times New Roman" w:eastAsia="Times New Roman" w:hAnsi="Times New Roman" w:cs="Times New Roman"/>
          <w:sz w:val="20"/>
          <w:szCs w:val="20"/>
        </w:rPr>
      </w:pPr>
    </w:p>
    <w:p w14:paraId="503B510A"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Na citação mencionada, o autor enfatiza que o docente deve elaborar estratégias capazes de atender a uma turma composta por estudantes em diferentes níveis de aprendizagem, ressaltando a relevância do trabalho coletivo. Ao adotar tal postura, o professor promove a participação de todos os alunos, reconhecendo e valorizando suas potencialidades, além de evidenciar que todos possuem a capacidade de aprender. com base nessas adaptações, todos os estudantes serão incluídos em uma atividade comum, o que os moti</w:t>
      </w:r>
      <w:r>
        <w:rPr>
          <w:rFonts w:ascii="Times New Roman" w:eastAsia="Times New Roman" w:hAnsi="Times New Roman" w:cs="Times New Roman"/>
          <w:sz w:val="24"/>
          <w:szCs w:val="24"/>
        </w:rPr>
        <w:t xml:space="preserve">vará a se empenhar no próprio desenvolvimento. </w:t>
      </w:r>
    </w:p>
    <w:p w14:paraId="0EA0DF0D"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Segundo Oliveira (2019), é necessário diversificar as intervenções pedagógicas e as formas de agrupamento, a fim de contemplar a heterogeneidade presente no contexto escolar. Essa foi uma das estratégias adotadas pelas pibidianas para favorecer a evolução das crianças e ampliar sua interação em sala de aula. Observou-se que, por meio dessas práticas, tornou-se evidente o avanço dos estudantes tanto no engajamento durante as atividades quanto no desenvolvimento de seus níveis de escrita (hipóteses de escrita</w:t>
      </w:r>
      <w:r>
        <w:rPr>
          <w:rFonts w:ascii="Times New Roman" w:eastAsia="Times New Roman" w:hAnsi="Times New Roman" w:cs="Times New Roman"/>
          <w:sz w:val="24"/>
          <w:szCs w:val="24"/>
        </w:rPr>
        <w:t xml:space="preserve">). </w:t>
      </w:r>
    </w:p>
    <w:p w14:paraId="4C99B736"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 isso, também nos baseamos na teoria da Psicogênese da Língua Escrita de Ferreiro e Teberosky 9(1999)  onde elas afirmam que as crianças constroem a compreensão sobre a escrita, passando por fases distintas. A turma estudada pelos alunos de Pedagogia da Universidade Federal de Pernambuco se encontravam com hipóteses heterogêneas, tendo alunos pré-silábicos, silábicos, silábicos-alfabéticos e alfabéticos, de acordo com a teoria da psicogênese desenvolvida pelas autoras citadas acima.</w:t>
      </w:r>
    </w:p>
    <w:p w14:paraId="40166304" w14:textId="77777777" w:rsidR="000038BA" w:rsidRDefault="000038BA">
      <w:pPr>
        <w:spacing w:line="360" w:lineRule="auto"/>
        <w:rPr>
          <w:rFonts w:ascii="Times New Roman" w:eastAsia="Times New Roman" w:hAnsi="Times New Roman" w:cs="Times New Roman"/>
          <w:sz w:val="24"/>
          <w:szCs w:val="24"/>
        </w:rPr>
      </w:pPr>
    </w:p>
    <w:p w14:paraId="35E16679" w14:textId="77777777" w:rsidR="000038BA" w:rsidRDefault="005B46C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METODOLOGIA</w:t>
      </w:r>
    </w:p>
    <w:p w14:paraId="2324F784"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Metodologicamente a pesquisa se desenvolveu com base nas visitas e experiências vivenciadas na Escola Municipal Professora Almerinda Umbelino de Barros, durante as práticas do PIBID. Assim se tratando de uma pesquisa qualitativa, de caráter descritivo. A pesquisa </w:t>
      </w:r>
      <w:r>
        <w:rPr>
          <w:rFonts w:ascii="Times New Roman" w:eastAsia="Times New Roman" w:hAnsi="Times New Roman" w:cs="Times New Roman"/>
          <w:sz w:val="24"/>
          <w:szCs w:val="24"/>
        </w:rPr>
        <w:lastRenderedPageBreak/>
        <w:t>qualitativa se justifica pelo fato de que os dados observados não se reduzem a números, mas se expressam em processos de registros e interpretações do desenvolvimento da aprendizagem, evidenciando a heterogeneidade no cotidiano dos estudantes. Lüdke e André dizem que a pesquisa qualitativa caracteriza-se pela busca de uma compreensão mais aprofundada dos fenômenos educacionais, privilegiando o ambiente natural como fonte direta de dados e o pesquisador como instrumento fundamental para a coleta e interpreta</w:t>
      </w:r>
      <w:r>
        <w:rPr>
          <w:rFonts w:ascii="Times New Roman" w:eastAsia="Times New Roman" w:hAnsi="Times New Roman" w:cs="Times New Roman"/>
          <w:sz w:val="24"/>
          <w:szCs w:val="24"/>
        </w:rPr>
        <w:t>ção das informações. Nesse tipo de abordagem, a ênfase recai sobre o processo, mais do que sobre os resultados, valorizando a descrição detalhada e a análise do contexto em que os fatos ocorrem.</w:t>
      </w:r>
    </w:p>
    <w:p w14:paraId="5C384856"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Além disso, a investigação possui elementos de pesquisa-ação, pois se constrói a partir da inserção do bolsista no contexto escolar, em que a prática pedagógica não apenas observa, mas também intervém, media e propicia situações de aprendizagem que possibilitam avanços nas hipóteses de escrita das crianças.</w:t>
      </w:r>
    </w:p>
    <w:p w14:paraId="763BECB9"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Dessa forma, a escolha metodológica se sustenta na articulação entre teoria e prática, permitindo que as observações realizadas no contexto do PIBID sejam interpretadas à luz dos referenciais teóricos, na obra Psicogênese da língua escrita, que contribui para a compreensão das diferentes hipóteses elaboradas pelas crianças em seu percurso de aquisição da escrita, e em Leal (2004), em Heterogeneidades nas práticas de alfabetização, que discute as diferenças de ritmos, estratégias e formas de aprender que se </w:t>
      </w:r>
      <w:r>
        <w:rPr>
          <w:rFonts w:ascii="Times New Roman" w:eastAsia="Times New Roman" w:hAnsi="Times New Roman" w:cs="Times New Roman"/>
          <w:sz w:val="24"/>
          <w:szCs w:val="24"/>
        </w:rPr>
        <w:t>manifestam na sala de aula. Essa base permitiu interpretar as práticas vivenciadas e evidenciar que a alfabetização não se reduz a um processo homogêneo, mas se constitui como uma construção dinâmica, marcada por singularidades e reelaborações constantes, contribuindo para a compreensão da alfabetização como um processo complexo, dinâmico e heterogêneo.</w:t>
      </w:r>
    </w:p>
    <w:p w14:paraId="73F55B1B" w14:textId="77777777" w:rsidR="000038BA" w:rsidRDefault="000038BA">
      <w:pPr>
        <w:spacing w:line="360" w:lineRule="auto"/>
        <w:jc w:val="both"/>
        <w:rPr>
          <w:rFonts w:ascii="Times New Roman" w:eastAsia="Times New Roman" w:hAnsi="Times New Roman" w:cs="Times New Roman"/>
          <w:sz w:val="24"/>
          <w:szCs w:val="24"/>
        </w:rPr>
      </w:pPr>
    </w:p>
    <w:p w14:paraId="26B51C36" w14:textId="77777777" w:rsidR="000038BA" w:rsidRDefault="005B46CB">
      <w:pPr>
        <w:spacing w:line="360" w:lineRule="auto"/>
        <w:jc w:val="both"/>
        <w:rPr>
          <w:sz w:val="24"/>
          <w:szCs w:val="24"/>
        </w:rPr>
      </w:pPr>
      <w:r>
        <w:rPr>
          <w:rFonts w:ascii="Times New Roman" w:eastAsia="Times New Roman" w:hAnsi="Times New Roman" w:cs="Times New Roman"/>
          <w:sz w:val="24"/>
          <w:szCs w:val="24"/>
        </w:rPr>
        <w:t xml:space="preserve">RESULTADOS E DISCUSSÕES </w:t>
      </w:r>
    </w:p>
    <w:p w14:paraId="0D0811C5"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heterogeneidade sempre se colocou como um desafio central nessa turma de correção de fluxo. Na mesma sala, há alunos com diferentes ritmos de aprendizagem, níveis de domínio da leitura e da escrita, além de diferentes formas de concentração e de envolvimento. Isso exigiu um olhar atento para adaptar materiais e estratégias de ensino, garantindo que todos tivessem a chance de participar e aprender. Entendemos, na prática, que não basta preparar uma atividade: é preciso moldá-la ao grupo real que temos em s</w:t>
      </w:r>
      <w:r>
        <w:rPr>
          <w:rFonts w:ascii="Times New Roman" w:eastAsia="Times New Roman" w:hAnsi="Times New Roman" w:cs="Times New Roman"/>
          <w:sz w:val="24"/>
          <w:szCs w:val="24"/>
        </w:rPr>
        <w:t>ala, considerando suas particularidades e dificuldades. E esse é o ponto chave.</w:t>
      </w:r>
    </w:p>
    <w:p w14:paraId="099E775B"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Quando as atividades foram adaptadas para atender às diferentes hipóteses de escrita, os estudantes demonstraram maior engajamento e progresso, corroborando a ideia de que propostas coletivas devem ser acompanhadas de intervenções diferenciadas. Esse movimento </w:t>
      </w:r>
      <w:r>
        <w:rPr>
          <w:rFonts w:ascii="Times New Roman" w:eastAsia="Times New Roman" w:hAnsi="Times New Roman" w:cs="Times New Roman"/>
          <w:sz w:val="24"/>
          <w:szCs w:val="24"/>
        </w:rPr>
        <w:lastRenderedPageBreak/>
        <w:t>dialoga ainda com Oliveira (2019), ao ressaltar a importância da diversificação das intervenções pedagógicas e das formas de organização da sala, aspecto que se mostrou determinante para o avanço de alunos que inicialmente apresentavam hipóteses mais elementares.</w:t>
      </w:r>
    </w:p>
    <w:p w14:paraId="1F5587CC" w14:textId="77777777"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 exemplo claro disso foi o jogo adaptado de Einstein, aplicado em junho. É a atividade que produzimos que melhor representa ludicidade e adaptação frente a heterogeneidade dos estudantes. Três modelos diferentes do mesmo jogo foram criados, para que atendessem às três únicas hipóteses presentes em sala, todos com o objetivo de trabalhar de forma interdisciplinar matemática e português, a partir dos conteúdos de lateralidade, raciocínio lógico, localização espacial, leitura e interpretação de texto.  O jog</w:t>
      </w:r>
      <w:r>
        <w:rPr>
          <w:rFonts w:ascii="Times New Roman" w:eastAsia="Times New Roman" w:hAnsi="Times New Roman" w:cs="Times New Roman"/>
          <w:sz w:val="24"/>
          <w:szCs w:val="24"/>
        </w:rPr>
        <w:t>o consistia em descobrir a posição de um objeto ou pessoa em relação aos demais. O jogo de Einstein adaptado para o grupo da hipótese silábica que representava três alunos, devia-se descobrir com quem estava a bola, no segundo grupo representado por seis alunos da hipótese silábico-alfabético, devia-se descobrir onde estava sentada uma aluna e no terceiro grupo representado por 4 alunos da hipótese alfabética, devia-se descobrir onde cada aluna estava sentada. Todos os jogos eram orientados com frases conte</w:t>
      </w:r>
      <w:r>
        <w:rPr>
          <w:rFonts w:ascii="Times New Roman" w:eastAsia="Times New Roman" w:hAnsi="Times New Roman" w:cs="Times New Roman"/>
          <w:sz w:val="24"/>
          <w:szCs w:val="24"/>
        </w:rPr>
        <w:t>ndo pistas que levariam os alunos a descobrir a devida posição do objeto ou pessoa. Os alunos tiveram seu máximo entendimento abarcado, pois estavam diante de uma tarefa que os desafiava. Alguns alunos conseguiram resolver com um pouco mais de autonomia, outros precisaram de mais apoio e tiveram várias dúvidas ao longo do processo. Houve quem se frustrasse, quem risse das próprias dificuldades, e também quem se empolgasse a ponto de pedir para jogar novamente. Essa experiência mostrou, na prática, como um m</w:t>
      </w:r>
      <w:r>
        <w:rPr>
          <w:rFonts w:ascii="Times New Roman" w:eastAsia="Times New Roman" w:hAnsi="Times New Roman" w:cs="Times New Roman"/>
          <w:sz w:val="24"/>
          <w:szCs w:val="24"/>
        </w:rPr>
        <w:t>esmo material pode ter diferentes níveis de desafio e exigir adaptações para que todos consigam avançar. Essa forma de se trabalhar a heterogeneidade em sala de aula é trabalhosa, porém capaz de abranger todas as capacidades e aprendizagens presentes em uma sala, possibilitando maiores chances de avanço da turma por completo.</w:t>
      </w:r>
    </w:p>
    <w:p w14:paraId="2F475741" w14:textId="77777777" w:rsidR="000038BA" w:rsidRPr="008024BC" w:rsidRDefault="000038BA" w:rsidP="008024BC">
      <w:pPr>
        <w:spacing w:line="360" w:lineRule="auto"/>
        <w:jc w:val="both"/>
        <w:rPr>
          <w:rFonts w:ascii="Times New Roman" w:eastAsia="Times New Roman" w:hAnsi="Times New Roman" w:cs="Times New Roman"/>
          <w:sz w:val="24"/>
          <w:szCs w:val="24"/>
          <w:lang w:val="pt-BR"/>
        </w:rPr>
      </w:pPr>
    </w:p>
    <w:p w14:paraId="5EEB30A7" w14:textId="53936CED" w:rsidR="000038BA" w:rsidRDefault="005B46CB">
      <w:pPr>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Ficha de Atividade para o grup</w:t>
      </w:r>
      <w:r>
        <w:rPr>
          <w:rFonts w:ascii="Times New Roman" w:eastAsia="Times New Roman" w:hAnsi="Times New Roman" w:cs="Times New Roman"/>
          <w:sz w:val="24"/>
          <w:szCs w:val="24"/>
        </w:rPr>
        <w:t xml:space="preserve">o da Hipótese Silábica, 2025. </w:t>
      </w:r>
    </w:p>
    <w:p w14:paraId="7FB660EA" w14:textId="77777777" w:rsidR="000038BA" w:rsidRDefault="005B46CB">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5A7E5D" wp14:editId="1A8AD51B">
            <wp:extent cx="1555531" cy="1828800"/>
            <wp:effectExtent l="0" t="0" r="6985"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1555531" cy="1828800"/>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328998A5" wp14:editId="1AB461ED">
            <wp:extent cx="1701779" cy="1823903"/>
            <wp:effectExtent l="0" t="0" r="0" b="508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1702641" cy="1824827"/>
                    </a:xfrm>
                    <a:prstGeom prst="rect">
                      <a:avLst/>
                    </a:prstGeom>
                    <a:ln/>
                  </pic:spPr>
                </pic:pic>
              </a:graphicData>
            </a:graphic>
          </wp:inline>
        </w:drawing>
      </w:r>
    </w:p>
    <w:p w14:paraId="12B0E094" w14:textId="77777777" w:rsidR="000038BA" w:rsidRDefault="005B46CB">
      <w:pPr>
        <w:spacing w:line="240" w:lineRule="auto"/>
        <w:ind w:firstLine="708"/>
        <w:rPr>
          <w:rFonts w:ascii="Times New Roman" w:eastAsia="Times New Roman" w:hAnsi="Times New Roman" w:cs="Times New Roman"/>
          <w:sz w:val="20"/>
          <w:szCs w:val="20"/>
        </w:rPr>
      </w:pPr>
      <w:r>
        <w:rPr>
          <w:rFonts w:ascii="Times New Roman" w:eastAsia="Times New Roman" w:hAnsi="Times New Roman" w:cs="Times New Roman"/>
          <w:sz w:val="20"/>
          <w:szCs w:val="20"/>
        </w:rPr>
        <w:t>Fonte: Própria (2025)</w:t>
      </w:r>
    </w:p>
    <w:p w14:paraId="0913DA6B" w14:textId="77777777" w:rsidR="000038BA" w:rsidRDefault="005B46CB" w:rsidP="009F4F4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Ficha de Atividade para o grupo da Hipótese Silábico-alfabético, 2025.</w:t>
      </w:r>
    </w:p>
    <w:p w14:paraId="59AEFE88" w14:textId="77777777" w:rsidR="000038BA" w:rsidRDefault="005B46CB">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78D21B3" wp14:editId="4C50323A">
            <wp:extent cx="2296861" cy="2959976"/>
            <wp:effectExtent l="0" t="0" r="8255"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297788" cy="2961170"/>
                    </a:xfrm>
                    <a:prstGeom prst="rect">
                      <a:avLst/>
                    </a:prstGeom>
                    <a:ln/>
                  </pic:spPr>
                </pic:pic>
              </a:graphicData>
            </a:graphic>
          </wp:inline>
        </w:drawing>
      </w:r>
    </w:p>
    <w:p w14:paraId="29678212" w14:textId="77777777" w:rsidR="000038BA" w:rsidRDefault="005B46CB">
      <w:pPr>
        <w:spacing w:line="360" w:lineRule="auto"/>
        <w:ind w:left="2834" w:firstLine="283"/>
        <w:rPr>
          <w:rFonts w:ascii="Times New Roman" w:eastAsia="Times New Roman" w:hAnsi="Times New Roman" w:cs="Times New Roman"/>
          <w:sz w:val="20"/>
          <w:szCs w:val="20"/>
        </w:rPr>
      </w:pPr>
      <w:r>
        <w:rPr>
          <w:rFonts w:ascii="Times New Roman" w:eastAsia="Times New Roman" w:hAnsi="Times New Roman" w:cs="Times New Roman"/>
          <w:sz w:val="20"/>
          <w:szCs w:val="20"/>
        </w:rPr>
        <w:t>Fonte: Própria (2025)</w:t>
      </w:r>
    </w:p>
    <w:p w14:paraId="02F5BE24" w14:textId="77777777" w:rsidR="000038BA" w:rsidRDefault="000038BA">
      <w:pPr>
        <w:spacing w:line="360" w:lineRule="auto"/>
        <w:rPr>
          <w:rFonts w:ascii="Times New Roman" w:eastAsia="Times New Roman" w:hAnsi="Times New Roman" w:cs="Times New Roman"/>
          <w:sz w:val="24"/>
          <w:szCs w:val="24"/>
        </w:rPr>
      </w:pPr>
    </w:p>
    <w:p w14:paraId="288C1723" w14:textId="77777777" w:rsidR="000038BA" w:rsidRDefault="005B46CB">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Ficha de Atividade para o grupo da Hipótese Alfabética, 2025.</w:t>
      </w:r>
    </w:p>
    <w:p w14:paraId="21606C11" w14:textId="77777777" w:rsidR="000038BA" w:rsidRDefault="005B46CB">
      <w:pPr>
        <w:spacing w:line="360" w:lineRule="auto"/>
        <w:ind w:firstLine="708"/>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848F278" wp14:editId="3CF3F05F">
            <wp:extent cx="2459268" cy="3803008"/>
            <wp:effectExtent l="0" t="0" r="0" b="762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459416" cy="3803237"/>
                    </a:xfrm>
                    <a:prstGeom prst="rect">
                      <a:avLst/>
                    </a:prstGeom>
                    <a:ln/>
                  </pic:spPr>
                </pic:pic>
              </a:graphicData>
            </a:graphic>
          </wp:inline>
        </w:drawing>
      </w:r>
    </w:p>
    <w:p w14:paraId="0B1E8432" w14:textId="77777777" w:rsidR="000038BA" w:rsidRDefault="005B46CB">
      <w:pPr>
        <w:spacing w:line="360" w:lineRule="auto"/>
        <w:ind w:firstLine="2692"/>
        <w:rPr>
          <w:rFonts w:ascii="Times New Roman" w:eastAsia="Times New Roman" w:hAnsi="Times New Roman" w:cs="Times New Roman"/>
          <w:sz w:val="20"/>
          <w:szCs w:val="20"/>
        </w:rPr>
      </w:pPr>
      <w:r>
        <w:rPr>
          <w:rFonts w:ascii="Times New Roman" w:eastAsia="Times New Roman" w:hAnsi="Times New Roman" w:cs="Times New Roman"/>
          <w:sz w:val="20"/>
          <w:szCs w:val="20"/>
        </w:rPr>
        <w:t>Fonte: Própria (2025)</w:t>
      </w:r>
    </w:p>
    <w:p w14:paraId="2CC23899" w14:textId="77777777" w:rsidR="000038BA" w:rsidRDefault="000038BA">
      <w:pPr>
        <w:spacing w:line="360" w:lineRule="auto"/>
        <w:ind w:firstLine="708"/>
        <w:jc w:val="both"/>
        <w:rPr>
          <w:rFonts w:ascii="Times New Roman" w:eastAsia="Times New Roman" w:hAnsi="Times New Roman" w:cs="Times New Roman"/>
          <w:sz w:val="24"/>
          <w:szCs w:val="24"/>
        </w:rPr>
      </w:pPr>
    </w:p>
    <w:p w14:paraId="32021588"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Além disso, quando as atividades se transformavam em algo mais dinâmico, os alunos se engajavam ainda mais. Após a aplicação do jogo de Einstein, por exemplo, a turma acabou criando espontaneamente outra versão, dessa vez com os próprios corpos no espaço, representando posições e deslocamentos. Esse momento foi riquíssimo, porque uniu aprendizado, diversão e cooperação, mostrando que a ludicidade também é uma ferramenta poderosa de aprendizado e não deve ser desconsiderada.</w:t>
      </w:r>
    </w:p>
    <w:p w14:paraId="1500D4FB" w14:textId="77777777" w:rsidR="000038BA" w:rsidRDefault="005B46CB">
      <w:pPr>
        <w:spacing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Outro ponto importante foram os avanços na leitura e na escrita. No início do programa, alunas como Júlia e Adriana ainda se encontravam na hipótese silábica. Hoje, estão escrevendo e lendo com muito mais fluência, construindo frases completas, compreendendo melhor os textos e se arriscando com mais segurança nas atividades. Esse progresso é a maior prova de que o nosso trabalho está fazendo diferença na vida deles. Não se trata apenas de aplicar atividades, mas de investir tempo, cuidado e criatividade par</w:t>
      </w:r>
      <w:r>
        <w:rPr>
          <w:rFonts w:ascii="Times New Roman" w:eastAsia="Times New Roman" w:hAnsi="Times New Roman" w:cs="Times New Roman"/>
          <w:sz w:val="24"/>
          <w:szCs w:val="24"/>
        </w:rPr>
        <w:t xml:space="preserve">a que cada aluno consiga, aos poucos, avançar no seu próprio processo. </w:t>
      </w:r>
    </w:p>
    <w:p w14:paraId="5BF75B1A" w14:textId="77777777" w:rsidR="000038BA" w:rsidRDefault="000038BA">
      <w:pPr>
        <w:spacing w:line="360" w:lineRule="auto"/>
        <w:jc w:val="both"/>
        <w:rPr>
          <w:rFonts w:ascii="Times New Roman" w:eastAsia="Times New Roman" w:hAnsi="Times New Roman" w:cs="Times New Roman"/>
          <w:sz w:val="24"/>
          <w:szCs w:val="24"/>
        </w:rPr>
      </w:pPr>
    </w:p>
    <w:p w14:paraId="3B6EDDF2"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Foto Escaneada - Sondagem Inicial  (Março de 2025)</w:t>
      </w:r>
    </w:p>
    <w:p w14:paraId="27455D2A" w14:textId="77777777" w:rsidR="000038BA" w:rsidRDefault="005B46C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inline distT="114300" distB="114300" distL="114300" distR="114300" wp14:anchorId="341DE8A4" wp14:editId="7A72B7E3">
            <wp:extent cx="3213062" cy="4294687"/>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3213062" cy="4294687"/>
                    </a:xfrm>
                    <a:prstGeom prst="rect">
                      <a:avLst/>
                    </a:prstGeom>
                    <a:ln/>
                  </pic:spPr>
                </pic:pic>
              </a:graphicData>
            </a:graphic>
          </wp:inline>
        </w:drawing>
      </w:r>
    </w:p>
    <w:p w14:paraId="2B13DC57" w14:textId="77777777" w:rsidR="000038BA" w:rsidRDefault="005B46CB">
      <w:pPr>
        <w:spacing w:line="360" w:lineRule="auto"/>
        <w:ind w:left="19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Fonte: Própria. (2025)</w:t>
      </w:r>
    </w:p>
    <w:p w14:paraId="33F8C568" w14:textId="77777777" w:rsidR="000038BA" w:rsidRDefault="000038BA">
      <w:pPr>
        <w:spacing w:line="360" w:lineRule="auto"/>
        <w:jc w:val="both"/>
        <w:rPr>
          <w:rFonts w:ascii="Times New Roman" w:eastAsia="Times New Roman" w:hAnsi="Times New Roman" w:cs="Times New Roman"/>
          <w:b/>
          <w:sz w:val="24"/>
          <w:szCs w:val="24"/>
        </w:rPr>
      </w:pPr>
    </w:p>
    <w:p w14:paraId="69B9EB6A"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Tabela - Sondagem mais recente (Junho de 2025)</w:t>
      </w:r>
    </w:p>
    <w:tbl>
      <w:tblPr>
        <w:tblStyle w:val="a"/>
        <w:tblW w:w="907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7"/>
      </w:tblGrid>
      <w:tr w:rsidR="000038BA" w14:paraId="08FBCD54" w14:textId="77777777">
        <w:tc>
          <w:tcPr>
            <w:tcW w:w="4536" w:type="dxa"/>
            <w:tcMar>
              <w:top w:w="100" w:type="dxa"/>
              <w:left w:w="100" w:type="dxa"/>
              <w:bottom w:w="100" w:type="dxa"/>
              <w:right w:w="100" w:type="dxa"/>
            </w:tcMar>
          </w:tcPr>
          <w:p w14:paraId="1C892A09"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Adriana</w:t>
            </w:r>
          </w:p>
        </w:tc>
        <w:tc>
          <w:tcPr>
            <w:tcW w:w="4536" w:type="dxa"/>
            <w:tcMar>
              <w:top w:w="100" w:type="dxa"/>
              <w:left w:w="100" w:type="dxa"/>
              <w:bottom w:w="100" w:type="dxa"/>
              <w:right w:w="100" w:type="dxa"/>
            </w:tcMar>
          </w:tcPr>
          <w:p w14:paraId="551E5DA8"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Silábica</w:t>
            </w:r>
          </w:p>
        </w:tc>
      </w:tr>
      <w:tr w:rsidR="000038BA" w14:paraId="1628DC10" w14:textId="77777777">
        <w:tc>
          <w:tcPr>
            <w:tcW w:w="4536" w:type="dxa"/>
            <w:tcMar>
              <w:top w:w="100" w:type="dxa"/>
              <w:left w:w="100" w:type="dxa"/>
              <w:bottom w:w="100" w:type="dxa"/>
              <w:right w:w="100" w:type="dxa"/>
            </w:tcMar>
          </w:tcPr>
          <w:p w14:paraId="3F00B415"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Ana Clara</w:t>
            </w:r>
          </w:p>
        </w:tc>
        <w:tc>
          <w:tcPr>
            <w:tcW w:w="4536" w:type="dxa"/>
            <w:tcMar>
              <w:top w:w="100" w:type="dxa"/>
              <w:left w:w="100" w:type="dxa"/>
              <w:bottom w:w="100" w:type="dxa"/>
              <w:right w:w="100" w:type="dxa"/>
            </w:tcMar>
          </w:tcPr>
          <w:p w14:paraId="190955AF"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Alfabética (não domina ortografia)</w:t>
            </w:r>
          </w:p>
        </w:tc>
      </w:tr>
      <w:tr w:rsidR="000038BA" w14:paraId="7F68FFC5" w14:textId="77777777">
        <w:tc>
          <w:tcPr>
            <w:tcW w:w="4536" w:type="dxa"/>
            <w:tcMar>
              <w:top w:w="100" w:type="dxa"/>
              <w:left w:w="100" w:type="dxa"/>
              <w:bottom w:w="100" w:type="dxa"/>
              <w:right w:w="100" w:type="dxa"/>
            </w:tcMar>
          </w:tcPr>
          <w:p w14:paraId="388F2236"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Joanna</w:t>
            </w:r>
          </w:p>
        </w:tc>
        <w:tc>
          <w:tcPr>
            <w:tcW w:w="4536" w:type="dxa"/>
            <w:tcMar>
              <w:top w:w="100" w:type="dxa"/>
              <w:left w:w="100" w:type="dxa"/>
              <w:bottom w:w="100" w:type="dxa"/>
              <w:right w:w="100" w:type="dxa"/>
            </w:tcMar>
          </w:tcPr>
          <w:p w14:paraId="662047A2"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Alfabética (não domina ortografia)</w:t>
            </w:r>
          </w:p>
        </w:tc>
      </w:tr>
      <w:tr w:rsidR="000038BA" w14:paraId="4E231479" w14:textId="77777777">
        <w:tc>
          <w:tcPr>
            <w:tcW w:w="4536" w:type="dxa"/>
            <w:tcMar>
              <w:top w:w="100" w:type="dxa"/>
              <w:left w:w="100" w:type="dxa"/>
              <w:bottom w:w="100" w:type="dxa"/>
              <w:right w:w="100" w:type="dxa"/>
            </w:tcMar>
          </w:tcPr>
          <w:p w14:paraId="7A29144F"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José </w:t>
            </w:r>
          </w:p>
        </w:tc>
        <w:tc>
          <w:tcPr>
            <w:tcW w:w="4536" w:type="dxa"/>
            <w:tcMar>
              <w:top w:w="100" w:type="dxa"/>
              <w:left w:w="100" w:type="dxa"/>
              <w:bottom w:w="100" w:type="dxa"/>
              <w:right w:w="100" w:type="dxa"/>
            </w:tcMar>
          </w:tcPr>
          <w:p w14:paraId="14FD228C"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Alfabético ortográfico</w:t>
            </w:r>
          </w:p>
        </w:tc>
      </w:tr>
      <w:tr w:rsidR="000038BA" w14:paraId="388C5621" w14:textId="77777777">
        <w:tc>
          <w:tcPr>
            <w:tcW w:w="4536" w:type="dxa"/>
            <w:tcMar>
              <w:top w:w="100" w:type="dxa"/>
              <w:left w:w="100" w:type="dxa"/>
              <w:bottom w:w="100" w:type="dxa"/>
              <w:right w:w="100" w:type="dxa"/>
            </w:tcMar>
          </w:tcPr>
          <w:p w14:paraId="32D547F7"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Juan</w:t>
            </w:r>
          </w:p>
        </w:tc>
        <w:tc>
          <w:tcPr>
            <w:tcW w:w="4536" w:type="dxa"/>
            <w:tcMar>
              <w:top w:w="100" w:type="dxa"/>
              <w:left w:w="100" w:type="dxa"/>
              <w:bottom w:w="100" w:type="dxa"/>
              <w:right w:w="100" w:type="dxa"/>
            </w:tcMar>
          </w:tcPr>
          <w:p w14:paraId="3B3698AF"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Transição silábico-alfabético para alfabético</w:t>
            </w:r>
          </w:p>
        </w:tc>
      </w:tr>
      <w:tr w:rsidR="000038BA" w14:paraId="03D451AC" w14:textId="77777777">
        <w:tc>
          <w:tcPr>
            <w:tcW w:w="4536" w:type="dxa"/>
            <w:tcMar>
              <w:top w:w="100" w:type="dxa"/>
              <w:left w:w="100" w:type="dxa"/>
              <w:bottom w:w="100" w:type="dxa"/>
              <w:right w:w="100" w:type="dxa"/>
            </w:tcMar>
          </w:tcPr>
          <w:p w14:paraId="7AD100AF"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Júlia</w:t>
            </w:r>
          </w:p>
        </w:tc>
        <w:tc>
          <w:tcPr>
            <w:tcW w:w="4536" w:type="dxa"/>
            <w:tcMar>
              <w:top w:w="100" w:type="dxa"/>
              <w:left w:w="100" w:type="dxa"/>
              <w:bottom w:w="100" w:type="dxa"/>
              <w:right w:w="100" w:type="dxa"/>
            </w:tcMar>
          </w:tcPr>
          <w:p w14:paraId="3F142B77"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Transição silábico-alfabético para alfabético</w:t>
            </w:r>
          </w:p>
        </w:tc>
      </w:tr>
      <w:tr w:rsidR="000038BA" w14:paraId="1575DBB1" w14:textId="77777777">
        <w:tc>
          <w:tcPr>
            <w:tcW w:w="4536" w:type="dxa"/>
            <w:tcMar>
              <w:top w:w="100" w:type="dxa"/>
              <w:left w:w="100" w:type="dxa"/>
              <w:bottom w:w="100" w:type="dxa"/>
              <w:right w:w="100" w:type="dxa"/>
            </w:tcMar>
          </w:tcPr>
          <w:p w14:paraId="034DD402"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Juliana</w:t>
            </w:r>
          </w:p>
        </w:tc>
        <w:tc>
          <w:tcPr>
            <w:tcW w:w="4536" w:type="dxa"/>
            <w:tcMar>
              <w:top w:w="100" w:type="dxa"/>
              <w:left w:w="100" w:type="dxa"/>
              <w:bottom w:w="100" w:type="dxa"/>
              <w:right w:w="100" w:type="dxa"/>
            </w:tcMar>
          </w:tcPr>
          <w:p w14:paraId="5BCAFDC2"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Alfabética ortográfica</w:t>
            </w:r>
          </w:p>
        </w:tc>
      </w:tr>
      <w:tr w:rsidR="000038BA" w14:paraId="44AC4BDA" w14:textId="77777777">
        <w:tc>
          <w:tcPr>
            <w:tcW w:w="4536" w:type="dxa"/>
            <w:tcMar>
              <w:top w:w="100" w:type="dxa"/>
              <w:left w:w="100" w:type="dxa"/>
              <w:bottom w:w="100" w:type="dxa"/>
              <w:right w:w="100" w:type="dxa"/>
            </w:tcMar>
          </w:tcPr>
          <w:p w14:paraId="6579C21B"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Luan</w:t>
            </w:r>
          </w:p>
        </w:tc>
        <w:tc>
          <w:tcPr>
            <w:tcW w:w="4536" w:type="dxa"/>
            <w:tcMar>
              <w:top w:w="100" w:type="dxa"/>
              <w:left w:w="100" w:type="dxa"/>
              <w:bottom w:w="100" w:type="dxa"/>
              <w:right w:w="100" w:type="dxa"/>
            </w:tcMar>
          </w:tcPr>
          <w:p w14:paraId="0B18777A"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Alfabético (não domina ortografia)</w:t>
            </w:r>
          </w:p>
        </w:tc>
      </w:tr>
      <w:tr w:rsidR="000038BA" w14:paraId="1141B691" w14:textId="77777777">
        <w:tc>
          <w:tcPr>
            <w:tcW w:w="4536" w:type="dxa"/>
            <w:tcMar>
              <w:top w:w="100" w:type="dxa"/>
              <w:left w:w="100" w:type="dxa"/>
              <w:bottom w:w="100" w:type="dxa"/>
              <w:right w:w="100" w:type="dxa"/>
            </w:tcMar>
          </w:tcPr>
          <w:p w14:paraId="20E6BD71"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Lucas</w:t>
            </w:r>
          </w:p>
        </w:tc>
        <w:tc>
          <w:tcPr>
            <w:tcW w:w="4536" w:type="dxa"/>
            <w:tcMar>
              <w:top w:w="100" w:type="dxa"/>
              <w:left w:w="100" w:type="dxa"/>
              <w:bottom w:w="100" w:type="dxa"/>
              <w:right w:w="100" w:type="dxa"/>
            </w:tcMar>
          </w:tcPr>
          <w:p w14:paraId="4EFE6A52"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Silábico</w:t>
            </w:r>
          </w:p>
        </w:tc>
      </w:tr>
      <w:tr w:rsidR="000038BA" w14:paraId="6EED0D91" w14:textId="77777777">
        <w:tc>
          <w:tcPr>
            <w:tcW w:w="4536" w:type="dxa"/>
            <w:tcMar>
              <w:top w:w="100" w:type="dxa"/>
              <w:left w:w="100" w:type="dxa"/>
              <w:bottom w:w="100" w:type="dxa"/>
              <w:right w:w="100" w:type="dxa"/>
            </w:tcMar>
          </w:tcPr>
          <w:p w14:paraId="210585EF"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Maria Júlia</w:t>
            </w:r>
          </w:p>
        </w:tc>
        <w:tc>
          <w:tcPr>
            <w:tcW w:w="4536" w:type="dxa"/>
            <w:tcMar>
              <w:top w:w="100" w:type="dxa"/>
              <w:left w:w="100" w:type="dxa"/>
              <w:bottom w:w="100" w:type="dxa"/>
              <w:right w:w="100" w:type="dxa"/>
            </w:tcMar>
          </w:tcPr>
          <w:p w14:paraId="6BEFF092"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Alfabética (não domina ortografia)</w:t>
            </w:r>
          </w:p>
        </w:tc>
      </w:tr>
      <w:tr w:rsidR="000038BA" w14:paraId="32C887BF" w14:textId="77777777">
        <w:tc>
          <w:tcPr>
            <w:tcW w:w="4536" w:type="dxa"/>
            <w:tcMar>
              <w:top w:w="100" w:type="dxa"/>
              <w:left w:w="100" w:type="dxa"/>
              <w:bottom w:w="100" w:type="dxa"/>
              <w:right w:w="100" w:type="dxa"/>
            </w:tcMar>
          </w:tcPr>
          <w:p w14:paraId="172E6F89"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Samuel</w:t>
            </w:r>
          </w:p>
        </w:tc>
        <w:tc>
          <w:tcPr>
            <w:tcW w:w="4536" w:type="dxa"/>
            <w:tcMar>
              <w:top w:w="100" w:type="dxa"/>
              <w:left w:w="100" w:type="dxa"/>
              <w:bottom w:w="100" w:type="dxa"/>
              <w:right w:w="100" w:type="dxa"/>
            </w:tcMar>
          </w:tcPr>
          <w:p w14:paraId="6B7997FC"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Alfabético (não domina ortografia)</w:t>
            </w:r>
          </w:p>
        </w:tc>
      </w:tr>
      <w:tr w:rsidR="000038BA" w14:paraId="73DA2719" w14:textId="77777777">
        <w:tc>
          <w:tcPr>
            <w:tcW w:w="4536" w:type="dxa"/>
            <w:tcMar>
              <w:top w:w="100" w:type="dxa"/>
              <w:left w:w="100" w:type="dxa"/>
              <w:bottom w:w="100" w:type="dxa"/>
              <w:right w:w="100" w:type="dxa"/>
            </w:tcMar>
          </w:tcPr>
          <w:p w14:paraId="520C8520"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Tawanny</w:t>
            </w:r>
          </w:p>
        </w:tc>
        <w:tc>
          <w:tcPr>
            <w:tcW w:w="4536" w:type="dxa"/>
            <w:tcMar>
              <w:top w:w="100" w:type="dxa"/>
              <w:left w:w="100" w:type="dxa"/>
              <w:bottom w:w="100" w:type="dxa"/>
              <w:right w:w="100" w:type="dxa"/>
            </w:tcMar>
          </w:tcPr>
          <w:p w14:paraId="455BF531"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Alfabética ortográfica</w:t>
            </w:r>
          </w:p>
        </w:tc>
      </w:tr>
      <w:tr w:rsidR="000038BA" w14:paraId="02441995" w14:textId="77777777">
        <w:tc>
          <w:tcPr>
            <w:tcW w:w="4536" w:type="dxa"/>
            <w:tcMar>
              <w:top w:w="100" w:type="dxa"/>
              <w:left w:w="100" w:type="dxa"/>
              <w:bottom w:w="100" w:type="dxa"/>
              <w:right w:w="100" w:type="dxa"/>
            </w:tcMar>
          </w:tcPr>
          <w:p w14:paraId="131AE32B"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Willams</w:t>
            </w:r>
          </w:p>
        </w:tc>
        <w:tc>
          <w:tcPr>
            <w:tcW w:w="4536" w:type="dxa"/>
            <w:tcMar>
              <w:top w:w="100" w:type="dxa"/>
              <w:left w:w="100" w:type="dxa"/>
              <w:bottom w:w="100" w:type="dxa"/>
              <w:right w:w="100" w:type="dxa"/>
            </w:tcMar>
          </w:tcPr>
          <w:p w14:paraId="0989B07B" w14:textId="77777777" w:rsidR="000038BA" w:rsidRDefault="005B46CB">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Alfabético (não domina ortografia)</w:t>
            </w:r>
          </w:p>
        </w:tc>
      </w:tr>
    </w:tbl>
    <w:p w14:paraId="099613C4" w14:textId="77777777" w:rsidR="000038BA" w:rsidRDefault="005B46CB">
      <w:pPr>
        <w:spacing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Fonte: Própria. (2025)</w:t>
      </w:r>
    </w:p>
    <w:p w14:paraId="5D81073E" w14:textId="77777777" w:rsidR="000038BA" w:rsidRDefault="000038BA">
      <w:pPr>
        <w:spacing w:line="360" w:lineRule="auto"/>
        <w:ind w:firstLine="720"/>
        <w:jc w:val="both"/>
        <w:rPr>
          <w:rFonts w:ascii="Times New Roman" w:eastAsia="Times New Roman" w:hAnsi="Times New Roman" w:cs="Times New Roman"/>
          <w:sz w:val="24"/>
          <w:szCs w:val="24"/>
        </w:rPr>
      </w:pPr>
    </w:p>
    <w:p w14:paraId="39FFB978"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acordo com a foto escaneada e a tabela, alunos que estavam nos níveis mais iniciais como garatuja e pré-silábico conseguiram evoluir para hipóteses mais avançadas, chegando ao nível alfabético, ainda que sem domínio da ortografia. Foi o caso de Joana, Maria Júlia, Samuel e Luan, que tiveram um progresso bem significativo. Outros como José Augusto, Juliana e Thawanny, já alcançaram o nível alfabético ortográfico, mostrando que conseguiram consolidar bem suas aprendizagens. E alguns outros alunos permanece</w:t>
      </w:r>
      <w:r>
        <w:rPr>
          <w:rFonts w:ascii="Times New Roman" w:eastAsia="Times New Roman" w:hAnsi="Times New Roman" w:cs="Times New Roman"/>
          <w:sz w:val="24"/>
          <w:szCs w:val="24"/>
        </w:rPr>
        <w:t>m em estágios silábicos, como Adriana e Lucas. Houve avanço de Adriana que saiu da garatuja para a fase silábica. Em contrapartida, com Lucas, que na sondagem inicial estava na fase silábica alfabética, mais recentemente, tem tido desconhecimento de algumas letras do alfabeto que ele outrora conhecia muito bem, tanto para escrever a letra quanto para dizer o seu som. Por conta da sua ausência constante na escola, seu desempenho tem sido prejudicado e poderia ter tido um avanço de fase. Atualmente, se não fo</w:t>
      </w:r>
      <w:r>
        <w:rPr>
          <w:rFonts w:ascii="Times New Roman" w:eastAsia="Times New Roman" w:hAnsi="Times New Roman" w:cs="Times New Roman"/>
          <w:sz w:val="24"/>
          <w:szCs w:val="24"/>
        </w:rPr>
        <w:t>sse suas faltas à escola, Lucas poderia estar na fase alfabética.</w:t>
      </w:r>
    </w:p>
    <w:p w14:paraId="227B06FD"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Ainda de acordo com os avanços percebidos nas sondagens, há ainda aqueles em fase de transição, como Júlia e Juan, que caminham para o nível alfabético. </w:t>
      </w:r>
    </w:p>
    <w:p w14:paraId="64C7DBF1"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Nas observações feitas recentemente em comparação com a última sondagem feita em junho, as mudanças foram apenas com relação a Lucas, mantendo-se na fase, Juan para a fase alfabética e estabelecimento de Júlia na fase silábico-alfabética com potencial à transição para a fase alfabética. Entretanto, para comprovar formalmente será necessário uma nova sondagem.</w:t>
      </w:r>
    </w:p>
    <w:p w14:paraId="624DAA0E"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modo geral, é possível perceber que a maioria dos alunos avançou e hoje já se encontra no nível alfabético, mesmo que alguns precisem complementar a questão da ortografia. Esses avanços nos fazem refletir sobre a importância do PIBID: somos parte de uma transformação concreta. Alunos que antes quase não liam ou escreviam hoje já se expressam com mais autonomia e desenvoltura. Esse crescimento reforça a certeza de que as atividades planejadas e aplicadas têm produzido resultados significativos graças a um</w:t>
      </w:r>
      <w:r>
        <w:rPr>
          <w:rFonts w:ascii="Times New Roman" w:eastAsia="Times New Roman" w:hAnsi="Times New Roman" w:cs="Times New Roman"/>
          <w:sz w:val="24"/>
          <w:szCs w:val="24"/>
        </w:rPr>
        <w:t xml:space="preserve"> olhar atento às individualidades da turma e às constantes adaptações devido à heterogeneidade de escrita e leitura presente na turma.</w:t>
      </w:r>
    </w:p>
    <w:p w14:paraId="5881BE71"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Ao final, compreendemos que os avanços dos alunos não se medem apenas pelos acertos nas atividades, mas também pelo envolvimento e superação das suas próprias dificuldades. Avaliar cada avanço é compará-lo consigo mesmo anteriormente. Ficou claro que a heterogeneidade, embora seja um desafio, também abre espaço para a criatividade e empatia do professor por observar o resultado individualmente de cada aluno da turma. E assim, adaptar, recriar e reinventar a didática aplicada se mostrou essencial.</w:t>
      </w:r>
    </w:p>
    <w:p w14:paraId="0473C959" w14:textId="77777777" w:rsidR="000038BA" w:rsidRDefault="000038BA">
      <w:pPr>
        <w:spacing w:line="360" w:lineRule="auto"/>
        <w:jc w:val="both"/>
        <w:rPr>
          <w:rFonts w:ascii="Times New Roman" w:eastAsia="Times New Roman" w:hAnsi="Times New Roman" w:cs="Times New Roman"/>
          <w:sz w:val="24"/>
          <w:szCs w:val="24"/>
        </w:rPr>
      </w:pPr>
    </w:p>
    <w:p w14:paraId="69001C11" w14:textId="77777777" w:rsidR="000038BA" w:rsidRDefault="005B46CB">
      <w:pPr>
        <w:spacing w:line="360" w:lineRule="auto"/>
        <w:jc w:val="both"/>
        <w:rPr>
          <w:sz w:val="24"/>
          <w:szCs w:val="24"/>
        </w:rPr>
      </w:pPr>
      <w:r>
        <w:rPr>
          <w:rFonts w:ascii="Times New Roman" w:eastAsia="Times New Roman" w:hAnsi="Times New Roman" w:cs="Times New Roman"/>
          <w:sz w:val="24"/>
          <w:szCs w:val="24"/>
        </w:rPr>
        <w:t>CONSIDERAÇÕES FINAIS</w:t>
      </w:r>
    </w:p>
    <w:p w14:paraId="4441B5FB"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Conclui-se que a experiência vivenciada no âmbito do PIBID possibilitou não apenas avanços significativos nos processos de leitura e escrita dos estudantes, mas também o desenvolvimento das práticas pedagógicas dos bolsistas, que puderam articular teoria e prática de maneira concreta e transformadora. A heterogeneidade, inicialmente compreendida como um desafio, revelou-se igualmente como potência, ao demandar do professor um olhar criativo e sensível para cada sujeito, respeitando os ritmos de aprendizagen</w:t>
      </w:r>
      <w:r>
        <w:rPr>
          <w:rFonts w:ascii="Times New Roman" w:eastAsia="Times New Roman" w:hAnsi="Times New Roman" w:cs="Times New Roman"/>
          <w:sz w:val="24"/>
          <w:szCs w:val="24"/>
        </w:rPr>
        <w:t>s e as singularidades.</w:t>
      </w:r>
    </w:p>
    <w:p w14:paraId="27EF370D"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Os resultados apontam para a necessidade de estratégias pedagógicas diferenciadas, capazes de conjugar momentos coletivos e propostas individuais, assegurando que todos os alunos tenham oportunidades diferenciadas do aprender e se desenvolver. Nesse sentido, corroboramos Mainardes (2008), ao destacar que a heterogeneidade em sala de aula abrange diferentes ritmos, estilos de aprendizagem e contextos socioculturais, exigindo práticas pedagógicas flexíveis e diversificadas. Do mesmo modo, concordamos com Oliv</w:t>
      </w:r>
      <w:r>
        <w:rPr>
          <w:rFonts w:ascii="Times New Roman" w:eastAsia="Times New Roman" w:hAnsi="Times New Roman" w:cs="Times New Roman"/>
          <w:sz w:val="24"/>
          <w:szCs w:val="24"/>
        </w:rPr>
        <w:t>eira (2019), ao enfatizar que a diversificação das intervenções pedagógicas e dos modos de organização da sala de aula constitui caminho essencial para contemplar a diversidade presente no contexto escolar.</w:t>
      </w:r>
    </w:p>
    <w:p w14:paraId="1F1FB189" w14:textId="77777777" w:rsidR="000038BA" w:rsidRDefault="005B46CB">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Ademais, o estudo evidencia a relevância do PIBID, que fortalece a aproximação entre universidade e escola e contribui para a construção de práticas pedagógicas mais inclusivas, democráticas e alinhadas às necessidades da educação pública brasileira. Ao proporcionar vivências que unem reflexão teórica e intervenção prática, o programa reafirma sua importância na formação inicial de professores comprometidos com a equidade e a qualidade social da educação.</w:t>
      </w:r>
    </w:p>
    <w:p w14:paraId="1DEA9702" w14:textId="77777777" w:rsidR="000038BA" w:rsidRDefault="000038BA">
      <w:pPr>
        <w:spacing w:line="360" w:lineRule="auto"/>
        <w:jc w:val="both"/>
        <w:rPr>
          <w:rFonts w:ascii="Times New Roman" w:eastAsia="Times New Roman" w:hAnsi="Times New Roman" w:cs="Times New Roman"/>
          <w:sz w:val="24"/>
          <w:szCs w:val="24"/>
        </w:rPr>
      </w:pPr>
    </w:p>
    <w:p w14:paraId="4BAFF115"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REFERÊNCIAS </w:t>
      </w:r>
    </w:p>
    <w:p w14:paraId="37C085CD"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LÜDKE, Menga; ANDRÉ, Marli Eliza Dalmazo Afonso de. </w:t>
      </w:r>
      <w:r>
        <w:rPr>
          <w:rFonts w:ascii="Times New Roman" w:eastAsia="Times New Roman" w:hAnsi="Times New Roman" w:cs="Times New Roman"/>
          <w:b/>
          <w:sz w:val="24"/>
          <w:szCs w:val="24"/>
        </w:rPr>
        <w:t>Pesquisa em educação: abordagens qualitativas.</w:t>
      </w:r>
      <w:r>
        <w:rPr>
          <w:rFonts w:ascii="Times New Roman" w:eastAsia="Times New Roman" w:hAnsi="Times New Roman" w:cs="Times New Roman"/>
          <w:sz w:val="24"/>
          <w:szCs w:val="24"/>
        </w:rPr>
        <w:t xml:space="preserve"> São Paulo: EPU, 1986.</w:t>
      </w:r>
    </w:p>
    <w:p w14:paraId="6FD9D4C6" w14:textId="77777777" w:rsidR="000038BA" w:rsidRDefault="000038BA">
      <w:pPr>
        <w:spacing w:line="360" w:lineRule="auto"/>
        <w:jc w:val="both"/>
        <w:rPr>
          <w:rFonts w:ascii="Times New Roman" w:eastAsia="Times New Roman" w:hAnsi="Times New Roman" w:cs="Times New Roman"/>
          <w:sz w:val="24"/>
          <w:szCs w:val="24"/>
        </w:rPr>
      </w:pPr>
    </w:p>
    <w:p w14:paraId="12C49ED4"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LEAL, Telma; PESSOA, Ana. </w:t>
      </w:r>
      <w:r>
        <w:rPr>
          <w:rFonts w:ascii="Times New Roman" w:eastAsia="Times New Roman" w:hAnsi="Times New Roman" w:cs="Times New Roman"/>
          <w:b/>
          <w:sz w:val="24"/>
          <w:szCs w:val="24"/>
        </w:rPr>
        <w:t>Concepções e Práticas: Alfabetização na Perspectiva da Heterogeneidade.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Ponta Grossa. Atena, 2023.</w:t>
      </w:r>
    </w:p>
    <w:p w14:paraId="1C0DD7E6" w14:textId="77777777" w:rsidR="000038BA" w:rsidRDefault="000038BA">
      <w:pPr>
        <w:spacing w:line="360" w:lineRule="auto"/>
        <w:jc w:val="both"/>
        <w:rPr>
          <w:rFonts w:ascii="Times New Roman" w:eastAsia="Times New Roman" w:hAnsi="Times New Roman" w:cs="Times New Roman"/>
          <w:sz w:val="24"/>
          <w:szCs w:val="24"/>
        </w:rPr>
      </w:pPr>
    </w:p>
    <w:p w14:paraId="5A2064D3"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FERREIRO, Emilia; TEBEROSKY, Ana. </w:t>
      </w:r>
      <w:r>
        <w:rPr>
          <w:rFonts w:ascii="Times New Roman" w:eastAsia="Times New Roman" w:hAnsi="Times New Roman" w:cs="Times New Roman"/>
          <w:b/>
          <w:sz w:val="24"/>
          <w:szCs w:val="24"/>
        </w:rPr>
        <w:t>Psicogênese da Língua Escrita.</w:t>
      </w:r>
      <w:r>
        <w:rPr>
          <w:rFonts w:ascii="Times New Roman" w:eastAsia="Times New Roman" w:hAnsi="Times New Roman" w:cs="Times New Roman"/>
          <w:sz w:val="24"/>
          <w:szCs w:val="24"/>
        </w:rPr>
        <w:t xml:space="preserve"> Porto Alegre. Artmed, 1999.</w:t>
      </w:r>
    </w:p>
    <w:p w14:paraId="27C8DD6D" w14:textId="77777777" w:rsidR="000038BA" w:rsidRDefault="000038BA">
      <w:pPr>
        <w:spacing w:line="360" w:lineRule="auto"/>
        <w:jc w:val="both"/>
        <w:rPr>
          <w:rFonts w:ascii="Times New Roman" w:eastAsia="Times New Roman" w:hAnsi="Times New Roman" w:cs="Times New Roman"/>
          <w:sz w:val="24"/>
          <w:szCs w:val="24"/>
        </w:rPr>
      </w:pPr>
    </w:p>
    <w:p w14:paraId="5FE37237"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MAINARDES, Jefferson. </w:t>
      </w:r>
      <w:r>
        <w:rPr>
          <w:rFonts w:ascii="Times New Roman" w:eastAsia="Times New Roman" w:hAnsi="Times New Roman" w:cs="Times New Roman"/>
          <w:b/>
          <w:sz w:val="24"/>
          <w:szCs w:val="24"/>
        </w:rPr>
        <w:t>A pesquisa no campo da política educacional: perspectivas teórico-metodológicas.</w:t>
      </w:r>
      <w:r>
        <w:rPr>
          <w:rFonts w:ascii="Times New Roman" w:eastAsia="Times New Roman" w:hAnsi="Times New Roman" w:cs="Times New Roman"/>
          <w:sz w:val="24"/>
          <w:szCs w:val="24"/>
        </w:rPr>
        <w:t xml:space="preserve"> Curitiba. Educar em Revista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2008.</w:t>
      </w:r>
    </w:p>
    <w:p w14:paraId="33A19D18" w14:textId="77777777" w:rsidR="000038BA" w:rsidRDefault="000038BA">
      <w:pPr>
        <w:spacing w:line="360" w:lineRule="auto"/>
        <w:jc w:val="both"/>
        <w:rPr>
          <w:rFonts w:ascii="Times New Roman" w:eastAsia="Times New Roman" w:hAnsi="Times New Roman" w:cs="Times New Roman"/>
          <w:sz w:val="24"/>
          <w:szCs w:val="24"/>
        </w:rPr>
      </w:pPr>
    </w:p>
    <w:p w14:paraId="5A1477E3" w14:textId="77777777" w:rsidR="000038BA" w:rsidRDefault="005B46C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OLIVEIRA, Dalila Andrade.</w:t>
      </w:r>
      <w:r>
        <w:rPr>
          <w:rFonts w:ascii="Times New Roman" w:eastAsia="Times New Roman" w:hAnsi="Times New Roman" w:cs="Times New Roman"/>
          <w:b/>
          <w:sz w:val="24"/>
          <w:szCs w:val="24"/>
        </w:rPr>
        <w:t xml:space="preserve"> Políticas educacionais e trabalho docente: uma análise crítica.</w:t>
      </w:r>
      <w:r>
        <w:rPr>
          <w:rFonts w:ascii="Times New Roman" w:eastAsia="Times New Roman" w:hAnsi="Times New Roman" w:cs="Times New Roman"/>
          <w:sz w:val="24"/>
          <w:szCs w:val="24"/>
        </w:rPr>
        <w:t xml:space="preserve"> Belo Horizonte: Autêntica, 2019.</w:t>
      </w:r>
    </w:p>
    <w:p w14:paraId="5E4814F5" w14:textId="77777777" w:rsidR="000038BA" w:rsidRDefault="000038BA">
      <w:pPr>
        <w:spacing w:line="360" w:lineRule="auto"/>
        <w:jc w:val="both"/>
        <w:rPr>
          <w:rFonts w:ascii="Times New Roman" w:eastAsia="Times New Roman" w:hAnsi="Times New Roman" w:cs="Times New Roman"/>
          <w:sz w:val="24"/>
          <w:szCs w:val="24"/>
        </w:rPr>
      </w:pPr>
    </w:p>
    <w:sectPr w:rsidR="000038BA">
      <w:headerReference w:type="even" r:id="rId12"/>
      <w:headerReference w:type="default" r:id="rId13"/>
      <w:footerReference w:type="even" r:id="rId14"/>
      <w:footerReference w:type="default" r:id="rId15"/>
      <w:headerReference w:type="first" r:id="rId16"/>
      <w:footerReference w:type="first" r:id="rId17"/>
      <w:pgSz w:w="11906" w:h="16838"/>
      <w:pgMar w:top="1700" w:right="1133" w:bottom="1133" w:left="1700" w:header="720" w:footer="113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0A18E" w14:textId="77777777" w:rsidR="005B46CB" w:rsidRDefault="005B46CB">
      <w:pPr>
        <w:spacing w:line="240" w:lineRule="auto"/>
      </w:pPr>
      <w:r>
        <w:separator/>
      </w:r>
    </w:p>
  </w:endnote>
  <w:endnote w:type="continuationSeparator" w:id="0">
    <w:p w14:paraId="2D167A89" w14:textId="77777777" w:rsidR="005B46CB" w:rsidRDefault="005B46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2CE26" w14:textId="77777777" w:rsidR="00AA3733" w:rsidRDefault="00AA373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B0E0" w14:textId="77777777" w:rsidR="000038BA" w:rsidRDefault="000038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B2B6F" w14:textId="77777777" w:rsidR="000038BA" w:rsidRDefault="005B46CB">
    <w:pPr>
      <w:spacing w:line="240" w:lineRule="auto"/>
      <w:ind w:left="141" w:hanging="141"/>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¹</w:t>
    </w:r>
    <w:r>
      <w:rPr>
        <w:rFonts w:ascii="Times New Roman" w:eastAsia="Times New Roman" w:hAnsi="Times New Roman" w:cs="Times New Roman"/>
        <w:sz w:val="20"/>
        <w:szCs w:val="20"/>
        <w:highlight w:val="white"/>
      </w:rPr>
      <w:t xml:space="preserve"> Graduando do Curso de Licenciatura em Pedagogia na Universidade Federal de Pernambuco – UFPE, carlos.salles@ufpe.br;</w:t>
    </w:r>
  </w:p>
  <w:p w14:paraId="0AEE23EF" w14:textId="77777777" w:rsidR="000038BA" w:rsidRDefault="005B46CB">
    <w:pPr>
      <w:spacing w:line="240" w:lineRule="auto"/>
      <w:ind w:left="141" w:hanging="141"/>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² Graduanda do Curso de Licenciatura em Pedagogia na Universidade Federal de Pernambuco – UFPE, maria.lourenco@ufpe.br;</w:t>
    </w:r>
  </w:p>
  <w:p w14:paraId="6CE53CCC" w14:textId="77777777" w:rsidR="000038BA" w:rsidRDefault="005B46CB">
    <w:pPr>
      <w:spacing w:line="240" w:lineRule="auto"/>
      <w:ind w:left="141" w:hanging="141"/>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³ Graduanda do Curso de Licenciatura em Pedagogia na Universidade Federal de Pernambuco – UFPE, sara.svs@ufpe.br</w:t>
    </w:r>
  </w:p>
  <w:p w14:paraId="315A480F" w14:textId="77777777" w:rsidR="000038BA" w:rsidRDefault="005B46CB">
    <w:pPr>
      <w:spacing w:line="240" w:lineRule="auto"/>
      <w:ind w:left="141" w:hanging="141"/>
      <w:jc w:val="both"/>
      <w:rPr>
        <w:rFonts w:ascii="Times New Roman" w:eastAsia="Times New Roman" w:hAnsi="Times New Roman" w:cs="Times New Roman"/>
        <w:highlight w:val="white"/>
      </w:rPr>
    </w:pPr>
    <w:r>
      <w:rPr>
        <w:rFonts w:ascii="Times New Roman" w:eastAsia="Times New Roman" w:hAnsi="Times New Roman" w:cs="Times New Roman"/>
        <w:sz w:val="20"/>
        <w:szCs w:val="20"/>
      </w:rPr>
      <w:t xml:space="preserve">⁴ </w:t>
    </w:r>
    <w:r>
      <w:rPr>
        <w:rFonts w:ascii="Times New Roman" w:eastAsia="Times New Roman" w:hAnsi="Times New Roman" w:cs="Times New Roman"/>
        <w:sz w:val="20"/>
        <w:szCs w:val="20"/>
        <w:highlight w:val="white"/>
      </w:rPr>
      <w:t>Graduanda do Curso de Licenciatura em Pedagogia na Universidade Federal de Pernambuco – UFPE, ana.pimentels@ufpe.br;</w:t>
    </w:r>
  </w:p>
  <w:p w14:paraId="6F8B3B24" w14:textId="77777777" w:rsidR="000038BA" w:rsidRDefault="005B46CB">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⁵ Professor da Secretaria de Educação do Recife, rogeriosandro72@gmail.com;</w:t>
    </w:r>
  </w:p>
  <w:p w14:paraId="4B68D029" w14:textId="77777777" w:rsidR="000038BA" w:rsidRDefault="005B46CB">
    <w:pPr>
      <w:spacing w:line="240" w:lineRule="auto"/>
      <w:jc w:val="both"/>
      <w:rPr>
        <w:sz w:val="20"/>
        <w:szCs w:val="20"/>
        <w:highlight w:val="white"/>
      </w:rPr>
    </w:pPr>
    <w:r>
      <w:rPr>
        <w:rFonts w:ascii="Times New Roman" w:eastAsia="Times New Roman" w:hAnsi="Times New Roman" w:cs="Times New Roman"/>
        <w:sz w:val="20"/>
        <w:szCs w:val="20"/>
      </w:rPr>
      <w:t>⁶ Professora do Centro de Educação da Universidade Federal de Pernambuco - UFPE, andreabritopibid@ufpe.br.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09540" w14:textId="77777777" w:rsidR="005B46CB" w:rsidRDefault="005B46CB">
      <w:pPr>
        <w:spacing w:line="240" w:lineRule="auto"/>
      </w:pPr>
      <w:r>
        <w:separator/>
      </w:r>
    </w:p>
  </w:footnote>
  <w:footnote w:type="continuationSeparator" w:id="0">
    <w:p w14:paraId="48FD6D2E" w14:textId="77777777" w:rsidR="005B46CB" w:rsidRDefault="005B46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0D4C2" w14:textId="77777777" w:rsidR="00AA3733" w:rsidRDefault="00AA373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732BD" w14:textId="77777777" w:rsidR="000038BA" w:rsidRDefault="00AA3733">
    <w:r>
      <w:rPr>
        <w:noProof/>
      </w:rPr>
    </w:r>
    <w:r w:rsidR="00AA37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0;margin-top:0;width:453.55pt;height:628.3pt;z-index:-251655168;mso-position-horizontal:center;mso-position-horizontal-relative:margin;mso-position-vertical:center;mso-position-vertical-relative:margin">
          <v:imagedata r:id="rId1" o:title="image3"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91336" w14:textId="77777777" w:rsidR="000038BA" w:rsidRDefault="00AA3733">
    <w:r>
      <w:rPr>
        <w:noProof/>
      </w:rPr>
    </w:r>
    <w:r w:rsidR="00AA3733">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53.55pt;height:628.3pt;z-index:-251654144;mso-position-horizontal:center;mso-position-horizontal-relative:margin;mso-position-vertical:center;mso-position-vertical-relative:margin">
          <v:imagedata r:id="rId1" o:title="imag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displayBackgroundShape/>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38BA"/>
    <w:rsid w:val="000038BA"/>
    <w:rsid w:val="00014FA8"/>
    <w:rsid w:val="0018102D"/>
    <w:rsid w:val="001D30ED"/>
    <w:rsid w:val="00506719"/>
    <w:rsid w:val="00512C8E"/>
    <w:rsid w:val="005B46CB"/>
    <w:rsid w:val="008024BC"/>
    <w:rsid w:val="00877010"/>
    <w:rsid w:val="009F4F40"/>
    <w:rsid w:val="00AA3733"/>
    <w:rsid w:val="00B25674"/>
    <w:rsid w:val="00D0790D"/>
    <w:rsid w:val="00D75740"/>
    <w:rsid w:val="00EB58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E11C314"/>
  <w15:docId w15:val="{BD7E50A3-2DBA-7447-8BB6-1832AC197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Cabealho">
    <w:name w:val="header"/>
    <w:basedOn w:val="Normal"/>
    <w:link w:val="CabealhoChar"/>
    <w:uiPriority w:val="99"/>
    <w:unhideWhenUsed/>
    <w:rsid w:val="00AA3733"/>
    <w:pPr>
      <w:tabs>
        <w:tab w:val="center" w:pos="4252"/>
        <w:tab w:val="right" w:pos="8504"/>
      </w:tabs>
      <w:spacing w:line="240" w:lineRule="auto"/>
    </w:pPr>
  </w:style>
  <w:style w:type="character" w:customStyle="1" w:styleId="CabealhoChar">
    <w:name w:val="Cabeçalho Char"/>
    <w:basedOn w:val="Fontepargpadro"/>
    <w:link w:val="Cabealho"/>
    <w:uiPriority w:val="99"/>
    <w:rsid w:val="00AA3733"/>
  </w:style>
  <w:style w:type="paragraph" w:styleId="Rodap">
    <w:name w:val="footer"/>
    <w:basedOn w:val="Normal"/>
    <w:link w:val="RodapChar"/>
    <w:uiPriority w:val="99"/>
    <w:unhideWhenUsed/>
    <w:rsid w:val="00AA3733"/>
    <w:pPr>
      <w:tabs>
        <w:tab w:val="center" w:pos="4252"/>
        <w:tab w:val="right" w:pos="8504"/>
      </w:tabs>
      <w:spacing w:line="240" w:lineRule="auto"/>
    </w:pPr>
  </w:style>
  <w:style w:type="character" w:customStyle="1" w:styleId="RodapChar">
    <w:name w:val="Rodapé Char"/>
    <w:basedOn w:val="Fontepargpadro"/>
    <w:link w:val="Rodap"/>
    <w:uiPriority w:val="99"/>
    <w:rsid w:val="00AA3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header" Target="header2.xml"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header" Target="header1.xml" /><Relationship Id="rId17" Type="http://schemas.openxmlformats.org/officeDocument/2006/relationships/footer" Target="footer3.xml" /><Relationship Id="rId2" Type="http://schemas.openxmlformats.org/officeDocument/2006/relationships/settings" Target="settings.xml" /><Relationship Id="rId16" Type="http://schemas.openxmlformats.org/officeDocument/2006/relationships/header" Target="header3.xml" /><Relationship Id="rId1" Type="http://schemas.openxmlformats.org/officeDocument/2006/relationships/styles" Target="styles.xml" /><Relationship Id="rId6" Type="http://schemas.openxmlformats.org/officeDocument/2006/relationships/image" Target="media/image1.png" /><Relationship Id="rId11" Type="http://schemas.openxmlformats.org/officeDocument/2006/relationships/image" Target="media/image6.jpg" /><Relationship Id="rId5" Type="http://schemas.openxmlformats.org/officeDocument/2006/relationships/endnotes" Target="endnotes.xml" /><Relationship Id="rId15" Type="http://schemas.openxmlformats.org/officeDocument/2006/relationships/footer" Target="footer2.xml" /><Relationship Id="rId10" Type="http://schemas.openxmlformats.org/officeDocument/2006/relationships/image" Target="media/image5.png" /><Relationship Id="rId19"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png" /><Relationship Id="rId14" Type="http://schemas.openxmlformats.org/officeDocument/2006/relationships/footer" Target="footer1.xml" /></Relationships>
</file>

<file path=word/_rels/header2.xml.rels><?xml version="1.0" encoding="UTF-8" standalone="yes"?>
<Relationships xmlns="http://schemas.openxmlformats.org/package/2006/relationships"><Relationship Id="rId1" Type="http://schemas.openxmlformats.org/officeDocument/2006/relationships/image" Target="media/image7.jpeg" /></Relationships>
</file>

<file path=word/_rels/header3.xml.rels><?xml version="1.0" encoding="UTF-8" standalone="yes"?>
<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3086</Words>
  <Characters>16670</Characters>
  <Application>Microsoft Office Word</Application>
  <DocSecurity>0</DocSecurity>
  <Lines>138</Lines>
  <Paragraphs>39</Paragraphs>
  <ScaleCrop>false</ScaleCrop>
  <Company/>
  <LinksUpToDate>false</LinksUpToDate>
  <CharactersWithSpaces>19717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mb308019@gmail.com</cp:lastModifiedBy>
  <cp:revision>2</cp:revision>
  <dcterms:created xsi:type="dcterms:W3CDTF">2025-09-23T19:01:00Z</dcterms:created>
  <dcterms:modified xsi:type="dcterms:W3CDTF">2025-09-23T19:01:00Z</dcterms:modified>
</cp:coreProperties>
</file>