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color w:val="002f3c"/>
        </w:rPr>
      </w:pPr>
      <w:r w:rsidDel="00000000" w:rsidR="00000000" w:rsidRPr="00000000">
        <w:rPr>
          <w:rFonts w:ascii="Arial" w:cs="Arial" w:eastAsia="Arial" w:hAnsi="Arial"/>
          <w:b w:val="1"/>
          <w:color w:val="002f3c"/>
          <w:rtl w:val="0"/>
        </w:rPr>
        <w:t xml:space="preserve">A PROPOSTA EDUCACIONAL DE LOCKE PARA OS POBRES: A EDUCAÇÃO COMO UMA FERRAMENTA PARA AS ELITES, SÉC. VXII</w:t>
      </w:r>
    </w:p>
    <w:p w:rsidR="00000000" w:rsidDel="00000000" w:rsidP="00000000" w:rsidRDefault="00000000" w:rsidRPr="00000000" w14:paraId="00000002">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Kevin Kloyver Queiroz da Cunha. Graduando em pedagogia – UFAM. Email: kevin.queiroz@ufam.edu.br </w:t>
      </w:r>
    </w:p>
    <w:p w:rsidR="00000000" w:rsidDel="00000000" w:rsidP="00000000" w:rsidRDefault="00000000" w:rsidRPr="00000000" w14:paraId="00000003">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Fabio Souza Correa Lima. Professor do curso de Pedagogia – UFAM – Email: fabiosouzaclima@ufam.edu.br</w:t>
      </w:r>
    </w:p>
    <w:p w:rsidR="00000000" w:rsidDel="00000000" w:rsidP="00000000" w:rsidRDefault="00000000" w:rsidRPr="00000000" w14:paraId="00000004">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Cristina da Silva Araújo Mestranda em Educação – UFAM – Email:</w:t>
      </w:r>
    </w:p>
    <w:p w:rsidR="00000000" w:rsidDel="00000000" w:rsidP="00000000" w:rsidRDefault="00000000" w:rsidRPr="00000000" w14:paraId="00000005">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 tinadearaujoo@gmail.com</w:t>
      </w:r>
    </w:p>
    <w:p w:rsidR="00000000" w:rsidDel="00000000" w:rsidP="00000000" w:rsidRDefault="00000000" w:rsidRPr="00000000" w14:paraId="00000006">
      <w:pPr>
        <w:spacing w:after="0" w:line="24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Eixo 03: Escola, Cidadania e Cultura.</w:t>
      </w:r>
    </w:p>
    <w:p w:rsidR="00000000" w:rsidDel="00000000" w:rsidP="00000000" w:rsidRDefault="00000000" w:rsidRPr="00000000" w14:paraId="00000008">
      <w:pPr>
        <w:spacing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Resumo Expandido</w:t>
      </w:r>
    </w:p>
    <w:p w:rsidR="00000000" w:rsidDel="00000000" w:rsidP="00000000" w:rsidRDefault="00000000" w:rsidRPr="00000000" w14:paraId="0000000A">
      <w:pPr>
        <w:spacing w:line="360" w:lineRule="auto"/>
        <w:ind w:firstLine="708"/>
        <w:jc w:val="both"/>
        <w:rPr>
          <w:rFonts w:ascii="Arial" w:cs="Arial" w:eastAsia="Arial" w:hAnsi="Arial"/>
          <w:color w:val="002f3c"/>
        </w:rPr>
      </w:pPr>
      <w:bookmarkStart w:colFirst="0" w:colLast="0" w:name="_heading=h.brlq504e4at4" w:id="0"/>
      <w:bookmarkEnd w:id="0"/>
      <w:r w:rsidDel="00000000" w:rsidR="00000000" w:rsidRPr="00000000">
        <w:rPr>
          <w:rFonts w:ascii="Arial" w:cs="Arial" w:eastAsia="Arial" w:hAnsi="Arial"/>
          <w:color w:val="002f3c"/>
          <w:rtl w:val="0"/>
        </w:rPr>
        <w:t xml:space="preserve">Esta pesquisa, no campo da história da educação, busca analisar a proposta educacional de John Locke para os pobres na Inglaterra do século XVII, em meio às transformações políticas da Revolução Gloriosa e à atuação do partido Whig no parlamento, que defendia leis contrárias a ideia de sucessão divina e à Igreja. Fundado em princípios protestantes, o partido Whig apoiou a ascensão de Guilherme de Orange e defendia os interesses da burguesia emergente, alinhando-se ao liberalismo de John Locke e à valorização da propriedade, da razão e do contrato social. Locke tratou sobre diversos setores da sociedade, dentre esses, o da educação, que, embora seja mais reconhecido por sua proposta educacional para o </w:t>
      </w:r>
      <w:r w:rsidDel="00000000" w:rsidR="00000000" w:rsidRPr="00000000">
        <w:rPr>
          <w:rFonts w:ascii="Arial" w:cs="Arial" w:eastAsia="Arial" w:hAnsi="Arial"/>
          <w:i w:val="1"/>
          <w:color w:val="002f3c"/>
          <w:rtl w:val="0"/>
        </w:rPr>
        <w:t xml:space="preserve">gentleman</w:t>
      </w:r>
      <w:r w:rsidDel="00000000" w:rsidR="00000000" w:rsidRPr="00000000">
        <w:rPr>
          <w:rFonts w:ascii="Arial" w:cs="Arial" w:eastAsia="Arial" w:hAnsi="Arial"/>
          <w:color w:val="002f3c"/>
          <w:rtl w:val="0"/>
        </w:rPr>
        <w:t xml:space="preserve">, no contexto do realismo pedagógico, ele também elaborou um modelo específico para as camadas socialmente dependentes do estado, à época, tidas por ele como “vagabundos ociosos”. Esta proposta encontra-se em sua obra denominada “Alguns Problemas Referentes à Educação do Pobre”, escrita em 1693 e traduzida em 2010 pelos Drs. Elomar Antonio Callegaro Tambara e Eduardo Arriada, ambos da Universidade Federal de Pelotas. É sobre esta obra que faremos a análise da visão educacional de Locke para os pobres. Desta forma, definimos como objetivos específicos: a) conhecer como eram retratados os pobres na Inglaterra no referido período; b) entender quais saberes os “vagabundos” deveriam adquirir no processo educacional. Para Alcançar tais objetivos, optou-se pela fundamentação na teoria das representações sociais, de Roger Chartier, a qual compreende que toda prática cultural (inclusive educação) é também um campo de disputa simbólica. Esta pesquisa adota a metodologia de investigação bibliográfica, conforme proposta por Deslandes (2010), onde a metodologia da pesquisa busca articular teoria, objetivos e evidências, superando a mera descrição de técnicas. Nesse sentido, afirmamos que o primeiro procedimento metodológico da pesquisa consiste na consulta à literatura especializada, a fim de nos oferecer uma familiaridade em relação ao tema investigado. Nesta pesquisa é fundamental estabelecermos um contato mais estreito com o conhecimento que já foi produzido na área e legitimado pela comunidade científica. Ou seja, é preciso estar atento ao lugar social de onde falam os autores selecionados, perscrutando a eles seus sistemas de crenças, “pensando o saber já construído não como o real ou como o retrato fiel do passado, mas como um conhecimento construído a partir de pressupostos e de interesses” (Vieira et al, 1998, p. 69).  A pesquisa também adota a abordagem documental, visando analisar a proposta educacional de John Locke para os pobres, revelando, por meio dos registros históricos, as representações sociais e os interesses das elites inglesas em relação às classes desfavorecidas. Ainda em desenvolvimento, a pesquisa tem evidenciado que a educação realizada nas </w:t>
      </w:r>
      <w:r w:rsidDel="00000000" w:rsidR="00000000" w:rsidRPr="00000000">
        <w:rPr>
          <w:rFonts w:ascii="Arial" w:cs="Arial" w:eastAsia="Arial" w:hAnsi="Arial"/>
          <w:i w:val="1"/>
          <w:color w:val="002f3c"/>
          <w:rtl w:val="0"/>
        </w:rPr>
        <w:t xml:space="preserve">workhouses</w:t>
      </w:r>
      <w:r w:rsidDel="00000000" w:rsidR="00000000" w:rsidRPr="00000000">
        <w:rPr>
          <w:rFonts w:ascii="Arial" w:cs="Arial" w:eastAsia="Arial" w:hAnsi="Arial"/>
          <w:color w:val="002f3c"/>
          <w:rtl w:val="0"/>
        </w:rPr>
        <w:t xml:space="preserve"> (ou </w:t>
      </w:r>
      <w:r w:rsidDel="00000000" w:rsidR="00000000" w:rsidRPr="00000000">
        <w:rPr>
          <w:rFonts w:ascii="Arial" w:cs="Arial" w:eastAsia="Arial" w:hAnsi="Arial"/>
          <w:i w:val="1"/>
          <w:color w:val="002f3c"/>
          <w:rtl w:val="0"/>
        </w:rPr>
        <w:t xml:space="preserve">working-schools</w:t>
      </w:r>
      <w:r w:rsidDel="00000000" w:rsidR="00000000" w:rsidRPr="00000000">
        <w:rPr>
          <w:rFonts w:ascii="Arial" w:cs="Arial" w:eastAsia="Arial" w:hAnsi="Arial"/>
          <w:color w:val="002f3c"/>
          <w:rtl w:val="0"/>
        </w:rPr>
        <w:t xml:space="preserve">) era utilizada não apenas como forma de disciplinar e punir os que eram vistos mendigando nas ruas, mas também como um mecanismo de controle social. Essas instituições visavam empregar os pobres sob uma lógica utilitarista, onde através da construção do poder simbólico e das representações sociais, naturalizavam a inferiorização das classes populares.</w:t>
      </w:r>
    </w:p>
    <w:p w:rsidR="00000000" w:rsidDel="00000000" w:rsidP="00000000" w:rsidRDefault="00000000" w:rsidRPr="00000000" w14:paraId="0000000B">
      <w:pP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Palavras-chave: </w:t>
      </w:r>
      <w:r w:rsidDel="00000000" w:rsidR="00000000" w:rsidRPr="00000000">
        <w:rPr>
          <w:rFonts w:ascii="Arial" w:cs="Arial" w:eastAsia="Arial" w:hAnsi="Arial"/>
          <w:color w:val="002f3c"/>
          <w:rtl w:val="0"/>
        </w:rPr>
        <w:t xml:space="preserve">História da Educação; Realismo Pedagógico; Liberalismo; Workhouses; Educação dos Pobres.</w:t>
      </w: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Referências</w:t>
      </w:r>
    </w:p>
    <w:p w:rsidR="00000000" w:rsidDel="00000000" w:rsidP="00000000" w:rsidRDefault="00000000" w:rsidRPr="00000000" w14:paraId="0000000E">
      <w:pP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CHARTIER, Roger. </w:t>
      </w:r>
      <w:r w:rsidDel="00000000" w:rsidR="00000000" w:rsidRPr="00000000">
        <w:rPr>
          <w:rFonts w:ascii="Arial" w:cs="Arial" w:eastAsia="Arial" w:hAnsi="Arial"/>
          <w:b w:val="1"/>
          <w:color w:val="002f3c"/>
          <w:rtl w:val="0"/>
        </w:rPr>
        <w:t xml:space="preserve">O mundo Como Representação</w:t>
      </w:r>
      <w:r w:rsidDel="00000000" w:rsidR="00000000" w:rsidRPr="00000000">
        <w:rPr>
          <w:rFonts w:ascii="Arial" w:cs="Arial" w:eastAsia="Arial" w:hAnsi="Arial"/>
          <w:color w:val="002f3c"/>
          <w:rtl w:val="0"/>
        </w:rPr>
        <w:t xml:space="preserve">. In: A história cultural entre práticas e representações. Tradução de Maria Manuela Galhardo. 2.ed. Rio de Janeiro Bertrand Brasil, 1990 p.17-46;</w:t>
      </w:r>
    </w:p>
    <w:p w:rsidR="00000000" w:rsidDel="00000000" w:rsidP="00000000" w:rsidRDefault="00000000" w:rsidRPr="00000000" w14:paraId="0000000F">
      <w:pP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DESLANDES, Suely Ferreira. O projeto de pesquisa como exercício científico e artesanato intelectual. In: MINAYO, Maria Cecília de Souza (Org). </w:t>
      </w:r>
      <w:r w:rsidDel="00000000" w:rsidR="00000000" w:rsidRPr="00000000">
        <w:rPr>
          <w:rFonts w:ascii="Arial" w:cs="Arial" w:eastAsia="Arial" w:hAnsi="Arial"/>
          <w:b w:val="1"/>
          <w:color w:val="002f3c"/>
          <w:rtl w:val="0"/>
        </w:rPr>
        <w:t xml:space="preserve">Pesquisa Social: Teoria, Método e Criatividade</w:t>
      </w:r>
      <w:r w:rsidDel="00000000" w:rsidR="00000000" w:rsidRPr="00000000">
        <w:rPr>
          <w:rFonts w:ascii="Arial" w:cs="Arial" w:eastAsia="Arial" w:hAnsi="Arial"/>
          <w:color w:val="002f3c"/>
          <w:rtl w:val="0"/>
        </w:rPr>
        <w:t xml:space="preserve">. 29. ed. Petrópolis: Editora Vozes, 2010;</w:t>
      </w:r>
    </w:p>
    <w:p w:rsidR="00000000" w:rsidDel="00000000" w:rsidP="00000000" w:rsidRDefault="00000000" w:rsidRPr="00000000" w14:paraId="00000010">
      <w:pP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TAMBARA, Elomar Antonio Calegaro; ARRIADA, Eduardo. </w:t>
      </w:r>
      <w:r w:rsidDel="00000000" w:rsidR="00000000" w:rsidRPr="00000000">
        <w:rPr>
          <w:rFonts w:ascii="Arial" w:cs="Arial" w:eastAsia="Arial" w:hAnsi="Arial"/>
          <w:b w:val="1"/>
          <w:color w:val="002f3c"/>
          <w:rtl w:val="0"/>
        </w:rPr>
        <w:t xml:space="preserve">John Locke: Alguns problemas referentes a educação do pobre</w:t>
      </w:r>
      <w:r w:rsidDel="00000000" w:rsidR="00000000" w:rsidRPr="00000000">
        <w:rPr>
          <w:rFonts w:ascii="Arial" w:cs="Arial" w:eastAsia="Arial" w:hAnsi="Arial"/>
          <w:color w:val="002f3c"/>
          <w:rtl w:val="0"/>
        </w:rPr>
        <w:t xml:space="preserve">. Porto Alegre: Revista História da Educação Online, 2017.</w:t>
      </w:r>
    </w:p>
    <w:p w:rsidR="00000000" w:rsidDel="00000000" w:rsidP="00000000" w:rsidRDefault="00000000" w:rsidRPr="00000000" w14:paraId="00000011">
      <w:pPr>
        <w:spacing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VIEIRA, M. P. A; PEIXOTO, M. R. C; KHOURY, M. A. </w:t>
      </w:r>
      <w:r w:rsidDel="00000000" w:rsidR="00000000" w:rsidRPr="00000000">
        <w:rPr>
          <w:rFonts w:ascii="Arial" w:cs="Arial" w:eastAsia="Arial" w:hAnsi="Arial"/>
          <w:b w:val="1"/>
          <w:color w:val="002f3c"/>
          <w:rtl w:val="0"/>
        </w:rPr>
        <w:t xml:space="preserve">A pesquisa em História. </w:t>
      </w:r>
      <w:r w:rsidDel="00000000" w:rsidR="00000000" w:rsidRPr="00000000">
        <w:rPr>
          <w:rFonts w:ascii="Arial" w:cs="Arial" w:eastAsia="Arial" w:hAnsi="Arial"/>
          <w:color w:val="002f3c"/>
          <w:rtl w:val="0"/>
        </w:rPr>
        <w:t xml:space="preserve">4ª edição. Ática. São Paulo, 1998.</w:t>
      </w:r>
    </w:p>
    <w:p w:rsidR="00000000" w:rsidDel="00000000" w:rsidP="00000000" w:rsidRDefault="00000000" w:rsidRPr="00000000" w14:paraId="00000012">
      <w:pPr>
        <w:spacing w:line="360" w:lineRule="auto"/>
        <w:jc w:val="both"/>
        <w:rPr>
          <w:rFonts w:ascii="Arial" w:cs="Arial" w:eastAsia="Arial" w:hAnsi="Arial"/>
          <w:b w:val="1"/>
          <w:color w:val="002f3c"/>
        </w:rPr>
      </w:pPr>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b w:val="1"/>
          <w:color w:val="002f3c"/>
        </w:rPr>
      </w:pPr>
      <w:r w:rsidDel="00000000" w:rsidR="00000000" w:rsidRPr="00000000">
        <w:rPr>
          <w:rtl w:val="0"/>
        </w:rPr>
      </w:r>
    </w:p>
    <w:sectPr>
      <w:headerReference r:id="rId7" w:type="default"/>
      <w:footerReference r:id="rId8"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-1082674</wp:posOffset>
          </wp:positionH>
          <wp:positionV relativeFrom="paragraph">
            <wp:posOffset>-3945685</wp:posOffset>
          </wp:positionV>
          <wp:extent cx="7557831" cy="5150331"/>
          <wp:effectExtent b="0" l="0" r="0" t="0"/>
          <wp:wrapNone/>
          <wp:docPr id="196170493" name="image2.png"/>
          <a:graphic>
            <a:graphicData uri="http://schemas.openxmlformats.org/drawingml/2006/picture">
              <pic:pic>
                <pic:nvPicPr>
                  <pic:cNvPr id="0" name="image2.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-1105331</wp:posOffset>
          </wp:positionH>
          <wp:positionV relativeFrom="paragraph">
            <wp:posOffset>-440054</wp:posOffset>
          </wp:positionV>
          <wp:extent cx="7626753" cy="5603132"/>
          <wp:effectExtent b="0" l="0" r="0" t="0"/>
          <wp:wrapNone/>
          <wp:docPr id="196170494" name="image1.png"/>
          <a:graphic>
            <a:graphicData uri="http://schemas.openxmlformats.org/drawingml/2006/picture">
              <pic:pic>
                <pic:nvPicPr>
                  <pic:cNvPr id="0" name="image1.png"/>
                  <pic:cNvPicPr preferRelativeResize="0"/>
                </pic:nvPicPr>
                <pic:blipFill>
                  <a:blip r:embed="rId1"/>
                  <a:srcRect b="48054"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D61F1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D61F1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D61F18"/>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D61F18"/>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D61F18"/>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D61F18"/>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D61F18"/>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D61F18"/>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D61F1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D61F1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D61F1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D61F18"/>
    <w:rPr>
      <w:rFonts w:cstheme="majorBidi" w:eastAsiaTheme="majorEastAsia"/>
      <w:color w:val="272727" w:themeColor="text1" w:themeTint="0000D8"/>
    </w:rPr>
  </w:style>
  <w:style w:type="character" w:styleId="TtuloChar" w:customStyle="1">
    <w:name w:val="Título Char"/>
    <w:basedOn w:val="Fontepargpadro"/>
    <w:link w:val="Ttulo"/>
    <w:uiPriority w:val="10"/>
    <w:rsid w:val="00D61F1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D61F1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D61F18"/>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D61F18"/>
    <w:rPr>
      <w:i w:val="1"/>
      <w:iCs w:val="1"/>
      <w:color w:val="404040" w:themeColor="text1" w:themeTint="0000BF"/>
    </w:rPr>
  </w:style>
  <w:style w:type="paragraph" w:styleId="PargrafodaLista">
    <w:name w:val="List Paragraph"/>
    <w:basedOn w:val="Normal"/>
    <w:uiPriority w:val="34"/>
    <w:qFormat w:val="1"/>
    <w:rsid w:val="00D61F18"/>
    <w:pPr>
      <w:ind w:left="720"/>
      <w:contextualSpacing w:val="1"/>
    </w:pPr>
  </w:style>
  <w:style w:type="character" w:styleId="nfaseIntensa">
    <w:name w:val="Intense Emphasis"/>
    <w:basedOn w:val="Fontepargpadro"/>
    <w:uiPriority w:val="21"/>
    <w:qFormat w:val="1"/>
    <w:rsid w:val="00D61F18"/>
    <w:rPr>
      <w:i w:val="1"/>
      <w:iCs w:val="1"/>
      <w:color w:val="2f5496" w:themeColor="accent1" w:themeShade="0000BF"/>
    </w:rPr>
  </w:style>
  <w:style w:type="paragraph" w:styleId="CitaoIntensa">
    <w:name w:val="Intense Quote"/>
    <w:basedOn w:val="Normal"/>
    <w:next w:val="Normal"/>
    <w:link w:val="CitaoIntensaChar"/>
    <w:uiPriority w:val="30"/>
    <w:qFormat w:val="1"/>
    <w:rsid w:val="00D61F1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D61F18"/>
    <w:rPr>
      <w:i w:val="1"/>
      <w:iCs w:val="1"/>
      <w:color w:val="2f5496" w:themeColor="accent1" w:themeShade="0000BF"/>
    </w:rPr>
  </w:style>
  <w:style w:type="character" w:styleId="RefernciaIntensa">
    <w:name w:val="Intense Reference"/>
    <w:basedOn w:val="Fontepargpadro"/>
    <w:uiPriority w:val="32"/>
    <w:qFormat w:val="1"/>
    <w:rsid w:val="00D61F18"/>
    <w:rPr>
      <w:b w:val="1"/>
      <w:bCs w:val="1"/>
      <w:smallCaps w:val="1"/>
      <w:color w:val="2f5496" w:themeColor="accent1" w:themeShade="0000BF"/>
      <w:spacing w:val="5"/>
    </w:rPr>
  </w:style>
  <w:style w:type="paragraph" w:styleId="Cabealho">
    <w:name w:val="header"/>
    <w:basedOn w:val="Normal"/>
    <w:link w:val="CabealhoChar"/>
    <w:uiPriority w:val="99"/>
    <w:unhideWhenUsed w:val="1"/>
    <w:rsid w:val="00D61F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61F18"/>
  </w:style>
  <w:style w:type="paragraph" w:styleId="Rodap">
    <w:name w:val="footer"/>
    <w:basedOn w:val="Normal"/>
    <w:link w:val="RodapChar"/>
    <w:uiPriority w:val="99"/>
    <w:unhideWhenUsed w:val="1"/>
    <w:rsid w:val="00D61F18"/>
    <w:pPr>
      <w:tabs>
        <w:tab w:val="center" w:pos="4252"/>
        <w:tab w:val="right" w:pos="8504"/>
      </w:tabs>
      <w:spacing w:after="0" w:line="240" w:lineRule="auto"/>
    </w:pPr>
  </w:style>
  <w:style w:type="character" w:styleId="RodapChar" w:customStyle="1">
    <w:name w:val="Rodapé Char"/>
    <w:basedOn w:val="Fontepargpadro"/>
    <w:link w:val="Rodap"/>
    <w:uiPriority w:val="99"/>
    <w:rsid w:val="00D61F18"/>
  </w:style>
  <w:style w:type="paragraph" w:styleId="Textodenotaderodap">
    <w:name w:val="footnote text"/>
    <w:basedOn w:val="Normal"/>
    <w:link w:val="TextodenotaderodapChar"/>
    <w:uiPriority w:val="99"/>
    <w:semiHidden w:val="1"/>
    <w:unhideWhenUsed w:val="1"/>
    <w:rsid w:val="00727E77"/>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727E77"/>
    <w:rPr>
      <w:sz w:val="20"/>
      <w:szCs w:val="20"/>
    </w:rPr>
  </w:style>
  <w:style w:type="character" w:styleId="Refdenotaderodap">
    <w:name w:val="footnote reference"/>
    <w:basedOn w:val="Fontepargpadro"/>
    <w:uiPriority w:val="99"/>
    <w:semiHidden w:val="1"/>
    <w:unhideWhenUsed w:val="1"/>
    <w:rsid w:val="00727E77"/>
    <w:rPr>
      <w:vertAlign w:val="superscrip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1Dv9woN+BnYQ7AR9ckBzVOYA==">CgMxLjAyDmguYnJscTUwNGU0YXQ0OAByITFEYXBsZDQ5UnhmbTZrNThadktFSWdqMGxHMlM5VzZiRQ==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2025-07-31T15:34:00Z</dcterms:created>
  <dc:creator>Thaíssa Gabrielle Ferreira Henrique</dc:creator>
</cp:coreProperties>
</file>