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C05558" w:rsidP="00C05558" w:rsidRDefault="00C05558" w14:paraId="672A6659" wp14:textId="77777777">
      <w:pPr>
        <w:spacing w:line="240" w:lineRule="auto"/>
        <w:rPr>
          <w:rFonts w:ascii="Times New Roman" w:hAnsi="Times New Roman" w:cs="Times New Roman"/>
          <w:sz w:val="24"/>
          <w:szCs w:val="24"/>
        </w:rPr>
      </w:pPr>
    </w:p>
    <w:p xmlns:wp14="http://schemas.microsoft.com/office/word/2010/wordml" w:rsidR="00C05558" w:rsidP="03589149" w:rsidRDefault="00C05558" w14:paraId="7B2964BE" wp14:textId="08473CCC">
      <w:pPr>
        <w:spacing w:line="240" w:lineRule="auto"/>
        <w:jc w:val="center"/>
        <w:rPr>
          <w:rFonts w:ascii="Times New Roman" w:hAnsi="Times New Roman" w:cs="Times New Roman"/>
          <w:b w:val="1"/>
          <w:bCs w:val="1"/>
          <w:sz w:val="24"/>
          <w:szCs w:val="24"/>
        </w:rPr>
      </w:pPr>
      <w:r w:rsidRPr="03589149" w:rsidR="03589149">
        <w:rPr>
          <w:rFonts w:ascii="Times New Roman" w:hAnsi="Times New Roman" w:cs="Times New Roman"/>
          <w:b w:val="1"/>
          <w:bCs w:val="1"/>
          <w:sz w:val="24"/>
          <w:szCs w:val="24"/>
        </w:rPr>
        <w:t>O USO DE ÁCIDO ACETILSALICÍLICO (AAS) EM PACIENTES DIABÉTICOS: REVISÃO LITERÁRIA</w:t>
      </w:r>
    </w:p>
    <w:p xmlns:wp14="http://schemas.microsoft.com/office/word/2010/wordml" w:rsidR="00C05558" w:rsidP="00C05558" w:rsidRDefault="00C05558" w14:paraId="0A37501D" wp14:textId="77777777">
      <w:pPr>
        <w:spacing w:line="240" w:lineRule="auto"/>
        <w:jc w:val="center"/>
        <w:rPr>
          <w:rFonts w:ascii="Times New Roman" w:hAnsi="Times New Roman" w:cs="Times New Roman"/>
          <w:b/>
          <w:sz w:val="24"/>
          <w:szCs w:val="24"/>
        </w:rPr>
      </w:pPr>
    </w:p>
    <w:p xmlns:wp14="http://schemas.microsoft.com/office/word/2010/wordml" w:rsidR="00C05558" w:rsidP="03589149" w:rsidRDefault="00C05558" w14:paraId="22667054" wp14:textId="2A3C0A51">
      <w:pPr>
        <w:pStyle w:val="Normal"/>
        <w:spacing w:after="0" w:line="240" w:lineRule="auto"/>
        <w:jc w:val="center"/>
        <w:rPr>
          <w:rFonts w:ascii="Times New Roman" w:hAnsi="Times New Roman" w:cs="Times New Roman"/>
          <w:sz w:val="24"/>
          <w:szCs w:val="24"/>
        </w:rPr>
      </w:pPr>
      <w:r w:rsidRPr="03589149" w:rsidR="03589149">
        <w:rPr>
          <w:rFonts w:ascii="Times New Roman" w:hAnsi="Times New Roman" w:cs="Times New Roman"/>
          <w:sz w:val="24"/>
          <w:szCs w:val="24"/>
        </w:rPr>
        <w:t>Helder Marques Lima Júnior</w:t>
      </w:r>
      <w:r w:rsidRPr="03589149" w:rsidR="03589149">
        <w:rPr>
          <w:rFonts w:ascii="Times New Roman" w:hAnsi="Times New Roman" w:cs="Times New Roman"/>
          <w:sz w:val="24"/>
          <w:szCs w:val="24"/>
          <w:vertAlign w:val="superscript"/>
        </w:rPr>
        <w:t>1</w:t>
      </w:r>
      <w:r w:rsidRPr="03589149" w:rsidR="03589149">
        <w:rPr>
          <w:rFonts w:ascii="Times New Roman" w:hAnsi="Times New Roman" w:cs="Times New Roman"/>
          <w:sz w:val="24"/>
          <w:szCs w:val="24"/>
        </w:rPr>
        <w:t>; Gabriel Barreto Nogueira Santos</w:t>
      </w:r>
      <w:r w:rsidRPr="03589149" w:rsidR="03589149">
        <w:rPr>
          <w:rFonts w:ascii="Times New Roman" w:hAnsi="Times New Roman" w:cs="Times New Roman"/>
          <w:sz w:val="24"/>
          <w:szCs w:val="24"/>
          <w:vertAlign w:val="superscript"/>
        </w:rPr>
        <w:t>1</w:t>
      </w:r>
      <w:r w:rsidRPr="03589149" w:rsidR="03589149">
        <w:rPr>
          <w:rFonts w:ascii="Times New Roman" w:hAnsi="Times New Roman" w:cs="Times New Roman"/>
          <w:sz w:val="24"/>
          <w:szCs w:val="24"/>
        </w:rPr>
        <w:t>; Gabriel Lucena Cangussú</w:t>
      </w:r>
      <w:r w:rsidRPr="03589149" w:rsidR="03589149">
        <w:rPr>
          <w:rFonts w:ascii="Times New Roman" w:hAnsi="Times New Roman" w:cs="Times New Roman"/>
          <w:sz w:val="24"/>
          <w:szCs w:val="24"/>
          <w:vertAlign w:val="superscript"/>
        </w:rPr>
        <w:t>1</w:t>
      </w:r>
      <w:r w:rsidRPr="03589149" w:rsidR="03589149">
        <w:rPr>
          <w:rFonts w:ascii="Times New Roman" w:hAnsi="Times New Roman" w:cs="Times New Roman"/>
          <w:sz w:val="24"/>
          <w:szCs w:val="24"/>
        </w:rPr>
        <w:t xml:space="preserve">;  Guilherme Araújo da Silva </w:t>
      </w:r>
      <w:r w:rsidRPr="03589149" w:rsidR="03589149">
        <w:rPr>
          <w:rFonts w:ascii="Times New Roman" w:hAnsi="Times New Roman" w:cs="Times New Roman"/>
          <w:sz w:val="24"/>
          <w:szCs w:val="24"/>
          <w:vertAlign w:val="superscript"/>
        </w:rPr>
        <w:t>1</w:t>
      </w:r>
      <w:r w:rsidRPr="03589149" w:rsidR="03589149">
        <w:rPr>
          <w:rFonts w:ascii="Times New Roman" w:hAnsi="Times New Roman" w:cs="Times New Roman"/>
          <w:sz w:val="24"/>
          <w:szCs w:val="24"/>
        </w:rPr>
        <w:t>; Lara Ferreira Baptista</w:t>
      </w:r>
      <w:r w:rsidRPr="03589149" w:rsidR="03589149">
        <w:rPr>
          <w:rFonts w:ascii="Times New Roman" w:hAnsi="Times New Roman" w:cs="Times New Roman"/>
          <w:sz w:val="24"/>
          <w:szCs w:val="24"/>
          <w:vertAlign w:val="superscript"/>
        </w:rPr>
        <w:t>1</w:t>
      </w:r>
      <w:r w:rsidRPr="03589149" w:rsidR="03589149">
        <w:rPr>
          <w:rFonts w:ascii="Times New Roman" w:hAnsi="Times New Roman" w:cs="Times New Roman"/>
          <w:sz w:val="24"/>
          <w:szCs w:val="24"/>
        </w:rPr>
        <w:t xml:space="preserve">; Larissa Aguiar Luz Albuquerque </w:t>
      </w:r>
      <w:r w:rsidRPr="03589149" w:rsidR="03589149">
        <w:rPr>
          <w:rFonts w:ascii="Times New Roman" w:hAnsi="Times New Roman" w:cs="Times New Roman"/>
          <w:sz w:val="24"/>
          <w:szCs w:val="24"/>
          <w:vertAlign w:val="superscript"/>
        </w:rPr>
        <w:t>2</w:t>
      </w:r>
    </w:p>
    <w:p xmlns:wp14="http://schemas.microsoft.com/office/word/2010/wordml" w:rsidR="00C05558" w:rsidP="00C05558" w:rsidRDefault="00C05558" w14:paraId="5DAB6C7B" wp14:textId="77777777">
      <w:pPr>
        <w:spacing w:after="0" w:line="240" w:lineRule="auto"/>
        <w:jc w:val="center"/>
        <w:rPr>
          <w:rFonts w:ascii="Times New Roman" w:hAnsi="Times New Roman" w:cs="Times New Roman"/>
          <w:sz w:val="24"/>
          <w:szCs w:val="24"/>
        </w:rPr>
      </w:pPr>
    </w:p>
    <w:p xmlns:wp14="http://schemas.microsoft.com/office/word/2010/wordml" w:rsidR="00C05558" w:rsidP="00C05558" w:rsidRDefault="00C05558" w14:paraId="12B7FB8C" wp14:textId="294BE9E0">
      <w:pPr>
        <w:spacing w:after="0" w:line="240" w:lineRule="auto"/>
        <w:jc w:val="center"/>
        <w:rPr>
          <w:rFonts w:ascii="Times New Roman" w:hAnsi="Times New Roman" w:cs="Times New Roman"/>
          <w:sz w:val="24"/>
          <w:szCs w:val="24"/>
        </w:rPr>
      </w:pPr>
      <w:r w:rsidRPr="03589149" w:rsidR="03589149">
        <w:rPr>
          <w:rFonts w:ascii="Times New Roman" w:hAnsi="Times New Roman" w:cs="Times New Roman"/>
          <w:sz w:val="24"/>
          <w:szCs w:val="24"/>
          <w:vertAlign w:val="superscript"/>
        </w:rPr>
        <w:t>1</w:t>
      </w:r>
      <w:r w:rsidRPr="03589149" w:rsidR="03589149">
        <w:rPr>
          <w:rFonts w:ascii="Times New Roman" w:hAnsi="Times New Roman" w:cs="Times New Roman"/>
          <w:sz w:val="24"/>
          <w:szCs w:val="24"/>
        </w:rPr>
        <w:t xml:space="preserve"> Discente do Curso de Medicina da FAHESP/IESVAP </w:t>
      </w:r>
    </w:p>
    <w:p xmlns:wp14="http://schemas.microsoft.com/office/word/2010/wordml" w:rsidR="00C05558" w:rsidP="00C05558" w:rsidRDefault="00C05558" w14:paraId="5C9A4DA7" wp14:textId="31B8F62F">
      <w:pPr>
        <w:spacing w:after="0" w:line="240" w:lineRule="auto"/>
        <w:jc w:val="center"/>
        <w:rPr>
          <w:rFonts w:ascii="Times New Roman" w:hAnsi="Times New Roman" w:cs="Times New Roman"/>
          <w:sz w:val="24"/>
          <w:szCs w:val="24"/>
        </w:rPr>
      </w:pPr>
      <w:r w:rsidRPr="03589149" w:rsidR="03589149">
        <w:rPr>
          <w:rFonts w:ascii="Times New Roman" w:hAnsi="Times New Roman" w:cs="Times New Roman"/>
          <w:sz w:val="24"/>
          <w:szCs w:val="24"/>
          <w:vertAlign w:val="superscript"/>
        </w:rPr>
        <w:t xml:space="preserve">2 </w:t>
      </w:r>
      <w:r w:rsidRPr="03589149" w:rsidR="03589149">
        <w:rPr>
          <w:rFonts w:ascii="Times New Roman" w:hAnsi="Times New Roman" w:cs="Times New Roman"/>
          <w:sz w:val="24"/>
          <w:szCs w:val="24"/>
        </w:rPr>
        <w:t>Docente do Curso de Medicina da FAHESP/IESVAP</w:t>
      </w:r>
    </w:p>
    <w:p xmlns:wp14="http://schemas.microsoft.com/office/word/2010/wordml" w:rsidR="00C05558" w:rsidP="00C05558" w:rsidRDefault="00C05558" w14:paraId="6A05A809" wp14:textId="77777777">
      <w:pPr>
        <w:spacing w:line="240" w:lineRule="auto"/>
        <w:jc w:val="center"/>
        <w:rPr>
          <w:rFonts w:ascii="Times New Roman" w:hAnsi="Times New Roman" w:cs="Times New Roman"/>
          <w:sz w:val="24"/>
          <w:szCs w:val="24"/>
        </w:rPr>
      </w:pPr>
    </w:p>
    <w:p w:rsidR="03589149" w:rsidP="03589149" w:rsidRDefault="03589149" w14:paraId="46669761" w14:textId="1552015C">
      <w:pPr>
        <w:pStyle w:val="Normal"/>
        <w:jc w:val="both"/>
        <w:rPr>
          <w:rFonts w:ascii="Times New Roman" w:hAnsi="Times New Roman" w:cs="Times New Roman"/>
          <w:sz w:val="24"/>
          <w:szCs w:val="24"/>
        </w:rPr>
      </w:pPr>
      <w:r w:rsidRPr="03589149" w:rsidR="03589149">
        <w:rPr>
          <w:rFonts w:ascii="Times New Roman" w:hAnsi="Times New Roman" w:cs="Times New Roman"/>
          <w:b w:val="1"/>
          <w:bCs w:val="1"/>
          <w:sz w:val="24"/>
          <w:szCs w:val="24"/>
        </w:rPr>
        <w:t xml:space="preserve">Introdução: </w:t>
      </w:r>
      <w:r w:rsidRPr="03589149" w:rsidR="03589149">
        <w:rPr>
          <w:rFonts w:ascii="Times New Roman" w:hAnsi="Times New Roman" w:eastAsia="Times New Roman" w:cs="Times New Roman"/>
          <w:noProof w:val="0"/>
          <w:sz w:val="24"/>
          <w:szCs w:val="24"/>
          <w:lang w:val="pt-BR"/>
        </w:rPr>
        <w:t xml:space="preserve">Diabetes mellitus tem um caráter de epidemia devido ao grande aumento do número de indivíduos acometidos nas últimas décadas, uma doença crônica relacionada com alta taxa de doença cardiovascular (DCV).  Pacientes com diabetes são, frequentemente, hipersensíveis a formação de plaquetas. O uso de ácido acetilsalicílico (AAS) mostra-se eficiente na redução da mortalidade nos casos de DCV. </w:t>
      </w:r>
      <w:r w:rsidRPr="03589149" w:rsidR="03589149">
        <w:rPr>
          <w:rFonts w:ascii="Times New Roman" w:hAnsi="Times New Roman" w:cs="Times New Roman"/>
          <w:b w:val="1"/>
          <w:bCs w:val="1"/>
          <w:sz w:val="24"/>
          <w:szCs w:val="24"/>
        </w:rPr>
        <w:t xml:space="preserve">Objetivo: </w:t>
      </w:r>
      <w:r w:rsidRPr="03589149" w:rsidR="03589149">
        <w:rPr>
          <w:rFonts w:ascii="Times New Roman" w:hAnsi="Times New Roman" w:eastAsia="Times New Roman" w:cs="Times New Roman"/>
          <w:noProof w:val="0"/>
          <w:sz w:val="24"/>
          <w:szCs w:val="24"/>
          <w:lang w:val="pt-BR"/>
        </w:rPr>
        <w:t xml:space="preserve">Analisar o uso do AAS no paciente diabético como forma de prevenção primária de eventos cardiovasculares. </w:t>
      </w:r>
      <w:r w:rsidRPr="03589149" w:rsidR="03589149">
        <w:rPr>
          <w:rFonts w:ascii="Times New Roman" w:hAnsi="Times New Roman" w:cs="Times New Roman"/>
          <w:b w:val="1"/>
          <w:bCs w:val="1"/>
          <w:sz w:val="24"/>
          <w:szCs w:val="24"/>
        </w:rPr>
        <w:t xml:space="preserve">Métodos: </w:t>
      </w:r>
      <w:r w:rsidRPr="03589149" w:rsidR="03589149">
        <w:rPr>
          <w:rFonts w:ascii="Times New Roman" w:hAnsi="Times New Roman" w:eastAsia="Times New Roman" w:cs="Times New Roman"/>
          <w:noProof w:val="0"/>
          <w:sz w:val="24"/>
          <w:szCs w:val="24"/>
          <w:lang w:val="pt-BR"/>
        </w:rPr>
        <w:t xml:space="preserve">Trata-se de uma revisão literária de caráter exploratório com base em dados retirados de fontes como </w:t>
      </w:r>
      <w:proofErr w:type="spellStart"/>
      <w:r w:rsidRPr="03589149" w:rsidR="03589149">
        <w:rPr>
          <w:rFonts w:ascii="Times New Roman" w:hAnsi="Times New Roman" w:eastAsia="Times New Roman" w:cs="Times New Roman"/>
          <w:noProof w:val="0"/>
          <w:sz w:val="24"/>
          <w:szCs w:val="24"/>
          <w:lang w:val="pt-BR"/>
        </w:rPr>
        <w:t>Pubmed</w:t>
      </w:r>
      <w:proofErr w:type="spellEnd"/>
      <w:r w:rsidRPr="03589149" w:rsidR="03589149">
        <w:rPr>
          <w:rFonts w:ascii="Times New Roman" w:hAnsi="Times New Roman" w:eastAsia="Times New Roman" w:cs="Times New Roman"/>
          <w:noProof w:val="0"/>
          <w:sz w:val="24"/>
          <w:szCs w:val="24"/>
          <w:lang w:val="pt-BR"/>
        </w:rPr>
        <w:t xml:space="preserve">, </w:t>
      </w:r>
      <w:proofErr w:type="spellStart"/>
      <w:r w:rsidRPr="03589149" w:rsidR="03589149">
        <w:rPr>
          <w:rFonts w:ascii="Times New Roman" w:hAnsi="Times New Roman" w:eastAsia="Times New Roman" w:cs="Times New Roman"/>
          <w:noProof w:val="0"/>
          <w:sz w:val="24"/>
          <w:szCs w:val="24"/>
          <w:lang w:val="pt-BR"/>
        </w:rPr>
        <w:t>Scielo</w:t>
      </w:r>
      <w:proofErr w:type="spellEnd"/>
      <w:r w:rsidRPr="03589149" w:rsidR="03589149">
        <w:rPr>
          <w:rFonts w:ascii="Times New Roman" w:hAnsi="Times New Roman" w:eastAsia="Times New Roman" w:cs="Times New Roman"/>
          <w:noProof w:val="0"/>
          <w:sz w:val="24"/>
          <w:szCs w:val="24"/>
          <w:lang w:val="pt-BR"/>
        </w:rPr>
        <w:t xml:space="preserve"> e orientações emitidas pelas diversas instâncias com reconhecida autoridade [</w:t>
      </w:r>
      <w:r w:rsidRPr="03589149" w:rsidR="03589149">
        <w:rPr>
          <w:rFonts w:ascii="Times New Roman" w:hAnsi="Times New Roman" w:eastAsia="Times New Roman" w:cs="Times New Roman"/>
          <w:i w:val="1"/>
          <w:iCs w:val="1"/>
          <w:noProof w:val="0"/>
          <w:sz w:val="24"/>
          <w:szCs w:val="24"/>
          <w:lang w:val="pt-BR"/>
        </w:rPr>
        <w:t xml:space="preserve">American Diabetes </w:t>
      </w:r>
      <w:proofErr w:type="spellStart"/>
      <w:r w:rsidRPr="03589149" w:rsidR="03589149">
        <w:rPr>
          <w:rFonts w:ascii="Times New Roman" w:hAnsi="Times New Roman" w:eastAsia="Times New Roman" w:cs="Times New Roman"/>
          <w:i w:val="1"/>
          <w:iCs w:val="1"/>
          <w:noProof w:val="0"/>
          <w:sz w:val="24"/>
          <w:szCs w:val="24"/>
          <w:lang w:val="pt-BR"/>
        </w:rPr>
        <w:t>Association</w:t>
      </w:r>
      <w:proofErr w:type="spellEnd"/>
      <w:r w:rsidRPr="03589149" w:rsidR="03589149">
        <w:rPr>
          <w:rFonts w:ascii="Times New Roman" w:hAnsi="Times New Roman" w:eastAsia="Times New Roman" w:cs="Times New Roman"/>
          <w:i w:val="1"/>
          <w:iCs w:val="1"/>
          <w:noProof w:val="0"/>
          <w:sz w:val="24"/>
          <w:szCs w:val="24"/>
          <w:lang w:val="pt-BR"/>
        </w:rPr>
        <w:t xml:space="preserve"> (ADA), American Heart </w:t>
      </w:r>
      <w:proofErr w:type="spellStart"/>
      <w:r w:rsidRPr="03589149" w:rsidR="03589149">
        <w:rPr>
          <w:rFonts w:ascii="Times New Roman" w:hAnsi="Times New Roman" w:eastAsia="Times New Roman" w:cs="Times New Roman"/>
          <w:i w:val="1"/>
          <w:iCs w:val="1"/>
          <w:noProof w:val="0"/>
          <w:sz w:val="24"/>
          <w:szCs w:val="24"/>
          <w:lang w:val="pt-BR"/>
        </w:rPr>
        <w:t>Association</w:t>
      </w:r>
      <w:proofErr w:type="spellEnd"/>
      <w:r w:rsidRPr="03589149" w:rsidR="03589149">
        <w:rPr>
          <w:rFonts w:ascii="Times New Roman" w:hAnsi="Times New Roman" w:eastAsia="Times New Roman" w:cs="Times New Roman"/>
          <w:i w:val="1"/>
          <w:iCs w:val="1"/>
          <w:noProof w:val="0"/>
          <w:sz w:val="24"/>
          <w:szCs w:val="24"/>
          <w:lang w:val="pt-BR"/>
        </w:rPr>
        <w:t xml:space="preserve"> (AHA), Organização Mundial da Saúde (OMS)</w:t>
      </w:r>
      <w:r w:rsidRPr="03589149" w:rsidR="03589149">
        <w:rPr>
          <w:rFonts w:ascii="Times New Roman" w:hAnsi="Times New Roman" w:eastAsia="Times New Roman" w:cs="Times New Roman"/>
          <w:noProof w:val="0"/>
          <w:sz w:val="24"/>
          <w:szCs w:val="24"/>
          <w:lang w:val="pt-BR"/>
        </w:rPr>
        <w:t>] utilizando os termos “diabetes” e “aspirina”, foram encontrados 50 artigos, dos quais foram selecionados apenas 16, somente os que estavam inclusos nas plataformas citadas ou tese de doutorado, indexados no período entre primeiro de janeiro de 1989 e 31 de dezembro de 2018. Os demais artigos que não se enquadraram nesses critérios foram excluídos.</w:t>
      </w:r>
      <w:r w:rsidRPr="03589149" w:rsidR="03589149">
        <w:rPr>
          <w:rFonts w:ascii="Times New Roman" w:hAnsi="Times New Roman" w:cs="Times New Roman"/>
          <w:b w:val="1"/>
          <w:bCs w:val="1"/>
          <w:sz w:val="24"/>
          <w:szCs w:val="24"/>
        </w:rPr>
        <w:t xml:space="preserve"> Análise Crítica: </w:t>
      </w:r>
      <w:r w:rsidRPr="03589149" w:rsidR="03589149">
        <w:rPr>
          <w:rFonts w:ascii="Times New Roman" w:hAnsi="Times New Roman" w:eastAsia="Times New Roman" w:cs="Times New Roman"/>
          <w:noProof w:val="0"/>
          <w:sz w:val="24"/>
          <w:szCs w:val="24"/>
          <w:lang w:val="pt-BR"/>
        </w:rPr>
        <w:t>Não há interação</w:t>
      </w:r>
      <w:r w:rsidRPr="03589149" w:rsidR="03589149">
        <w:rPr>
          <w:rFonts w:ascii="Times New Roman" w:hAnsi="Times New Roman" w:eastAsia="Times New Roman" w:cs="Times New Roman"/>
          <w:b w:val="1"/>
          <w:bCs w:val="1"/>
          <w:noProof w:val="0"/>
          <w:sz w:val="24"/>
          <w:szCs w:val="24"/>
          <w:lang w:val="pt-BR"/>
        </w:rPr>
        <w:t xml:space="preserve"> </w:t>
      </w:r>
      <w:r w:rsidRPr="03589149" w:rsidR="03589149">
        <w:rPr>
          <w:rFonts w:ascii="Times New Roman" w:hAnsi="Times New Roman" w:eastAsia="Times New Roman" w:cs="Times New Roman"/>
          <w:noProof w:val="0"/>
          <w:sz w:val="24"/>
          <w:szCs w:val="24"/>
          <w:lang w:val="pt-BR"/>
        </w:rPr>
        <w:t>do uso de AAS com o tratamento da diabetes e evidenciou-se uma incompatibilidade a respeito do antiplaquetário como forma de prevenção primária de eventos cardiovasculares. Estudos como HOT (</w:t>
      </w:r>
      <w:proofErr w:type="spellStart"/>
      <w:r w:rsidRPr="03589149" w:rsidR="03589149">
        <w:rPr>
          <w:rFonts w:ascii="Times New Roman" w:hAnsi="Times New Roman" w:eastAsia="Times New Roman" w:cs="Times New Roman"/>
          <w:noProof w:val="0"/>
          <w:sz w:val="24"/>
          <w:szCs w:val="24"/>
          <w:lang w:val="pt-BR"/>
        </w:rPr>
        <w:t>Hypertension</w:t>
      </w:r>
      <w:proofErr w:type="spellEnd"/>
      <w:r w:rsidRPr="03589149" w:rsidR="03589149">
        <w:rPr>
          <w:rFonts w:ascii="Times New Roman" w:hAnsi="Times New Roman" w:eastAsia="Times New Roman" w:cs="Times New Roman"/>
          <w:noProof w:val="0"/>
          <w:sz w:val="24"/>
          <w:szCs w:val="24"/>
          <w:lang w:val="pt-BR"/>
        </w:rPr>
        <w:t xml:space="preserve"> </w:t>
      </w:r>
      <w:proofErr w:type="spellStart"/>
      <w:r w:rsidRPr="03589149" w:rsidR="03589149">
        <w:rPr>
          <w:rFonts w:ascii="Times New Roman" w:hAnsi="Times New Roman" w:eastAsia="Times New Roman" w:cs="Times New Roman"/>
          <w:noProof w:val="0"/>
          <w:sz w:val="24"/>
          <w:szCs w:val="24"/>
          <w:lang w:val="pt-BR"/>
        </w:rPr>
        <w:t>Optimal</w:t>
      </w:r>
      <w:proofErr w:type="spellEnd"/>
      <w:r w:rsidRPr="03589149" w:rsidR="03589149">
        <w:rPr>
          <w:rFonts w:ascii="Times New Roman" w:hAnsi="Times New Roman" w:eastAsia="Times New Roman" w:cs="Times New Roman"/>
          <w:noProof w:val="0"/>
          <w:sz w:val="24"/>
          <w:szCs w:val="24"/>
          <w:lang w:val="pt-BR"/>
        </w:rPr>
        <w:t xml:space="preserve"> </w:t>
      </w:r>
      <w:proofErr w:type="spellStart"/>
      <w:r w:rsidRPr="03589149" w:rsidR="03589149">
        <w:rPr>
          <w:rFonts w:ascii="Times New Roman" w:hAnsi="Times New Roman" w:eastAsia="Times New Roman" w:cs="Times New Roman"/>
          <w:noProof w:val="0"/>
          <w:sz w:val="24"/>
          <w:szCs w:val="24"/>
          <w:lang w:val="pt-BR"/>
        </w:rPr>
        <w:t>Treatment</w:t>
      </w:r>
      <w:proofErr w:type="spellEnd"/>
      <w:r w:rsidRPr="03589149" w:rsidR="03589149">
        <w:rPr>
          <w:rFonts w:ascii="Times New Roman" w:hAnsi="Times New Roman" w:eastAsia="Times New Roman" w:cs="Times New Roman"/>
          <w:noProof w:val="0"/>
          <w:sz w:val="24"/>
          <w:szCs w:val="24"/>
          <w:lang w:val="pt-BR"/>
        </w:rPr>
        <w:t>) avaliou pacientes de prevenção primária, porém de alto risco para evento cardiovascular. O uso do AAS (75 mg/dia) resultou em redução de eventos cardiovasculares e em infarto do miocárdio em cerca de 15% a 36%, respectivamente. Numa meta-análise, a redução no risco cardiovascular global na população geral cifrou-se nos 22%, ao passo que na população diabética esse valor foi de 7%. A ADA re</w:t>
      </w:r>
      <w:r w:rsidRPr="03589149" w:rsidR="03589149">
        <w:rPr>
          <w:rFonts w:ascii="Times New Roman" w:hAnsi="Times New Roman" w:eastAsia="Times New Roman" w:cs="Times New Roman"/>
          <w:noProof w:val="0"/>
          <w:color w:val="222222"/>
          <w:sz w:val="24"/>
          <w:szCs w:val="24"/>
          <w:lang w:val="pt-BR"/>
        </w:rPr>
        <w:t xml:space="preserve">comenda o uso de baixas doses de aspirina (75-162 mg / dia) para uso primário e prevenção secundária de eventos </w:t>
      </w:r>
      <w:proofErr w:type="spellStart"/>
      <w:r w:rsidRPr="03589149" w:rsidR="03589149">
        <w:rPr>
          <w:rFonts w:ascii="Times New Roman" w:hAnsi="Times New Roman" w:eastAsia="Times New Roman" w:cs="Times New Roman"/>
          <w:noProof w:val="0"/>
          <w:color w:val="222222"/>
          <w:sz w:val="24"/>
          <w:szCs w:val="24"/>
          <w:lang w:val="pt-BR"/>
        </w:rPr>
        <w:t>caridovasculares</w:t>
      </w:r>
      <w:proofErr w:type="spellEnd"/>
      <w:r w:rsidRPr="03589149" w:rsidR="03589149">
        <w:rPr>
          <w:rFonts w:ascii="Times New Roman" w:hAnsi="Times New Roman" w:eastAsia="Times New Roman" w:cs="Times New Roman"/>
          <w:noProof w:val="0"/>
          <w:color w:val="222222"/>
          <w:sz w:val="24"/>
          <w:szCs w:val="24"/>
          <w:lang w:val="pt-BR"/>
        </w:rPr>
        <w:t xml:space="preserve"> e restabeleceu essas diretrizes em 2000 e 2003.</w:t>
      </w:r>
      <w:r w:rsidRPr="03589149" w:rsidR="03589149">
        <w:rPr>
          <w:rFonts w:ascii="Times New Roman" w:hAnsi="Times New Roman" w:eastAsia="Times New Roman" w:cs="Times New Roman"/>
          <w:noProof w:val="0"/>
          <w:sz w:val="24"/>
          <w:szCs w:val="24"/>
          <w:lang w:val="pt-BR"/>
        </w:rPr>
        <w:t xml:space="preserve">Assim, Constata-se que a utilização do medicamento em baixa dosagem reduziu o risco para DCV em pacientes não diabéticos e em alguns casos em pacientes diabéticos com alto risco. Entretendo, </w:t>
      </w:r>
      <w:proofErr w:type="gramStart"/>
      <w:r w:rsidRPr="03589149" w:rsidR="03589149">
        <w:rPr>
          <w:rFonts w:ascii="Times New Roman" w:hAnsi="Times New Roman" w:eastAsia="Times New Roman" w:cs="Times New Roman"/>
          <w:noProof w:val="0"/>
          <w:sz w:val="24"/>
          <w:szCs w:val="24"/>
          <w:lang w:val="pt-BR"/>
        </w:rPr>
        <w:t>Em</w:t>
      </w:r>
      <w:proofErr w:type="gramEnd"/>
      <w:r w:rsidRPr="03589149" w:rsidR="03589149">
        <w:rPr>
          <w:rFonts w:ascii="Times New Roman" w:hAnsi="Times New Roman" w:eastAsia="Times New Roman" w:cs="Times New Roman"/>
          <w:noProof w:val="0"/>
          <w:sz w:val="24"/>
          <w:szCs w:val="24"/>
          <w:lang w:val="pt-BR"/>
        </w:rPr>
        <w:t xml:space="preserve"> altas doses (&gt;325 mg/dia), o AAS pode apresentar um efeito paradoxal, porque ele também inibe a síntese da </w:t>
      </w:r>
      <w:proofErr w:type="spellStart"/>
      <w:r w:rsidRPr="03589149" w:rsidR="03589149">
        <w:rPr>
          <w:rFonts w:ascii="Times New Roman" w:hAnsi="Times New Roman" w:eastAsia="Times New Roman" w:cs="Times New Roman"/>
          <w:noProof w:val="0"/>
          <w:sz w:val="24"/>
          <w:szCs w:val="24"/>
          <w:lang w:val="pt-BR"/>
        </w:rPr>
        <w:t>prostaciclina</w:t>
      </w:r>
      <w:proofErr w:type="spellEnd"/>
      <w:r w:rsidRPr="03589149" w:rsidR="03589149">
        <w:rPr>
          <w:rFonts w:ascii="Times New Roman" w:hAnsi="Times New Roman" w:eastAsia="Times New Roman" w:cs="Times New Roman"/>
          <w:noProof w:val="0"/>
          <w:sz w:val="24"/>
          <w:szCs w:val="24"/>
          <w:lang w:val="pt-BR"/>
        </w:rPr>
        <w:t xml:space="preserve"> nas células endoteliais e plaquetas, que pode favorecer a formação de trombos. Isto é importante para pacientes diabéticos, porque os níveis de </w:t>
      </w:r>
      <w:proofErr w:type="spellStart"/>
      <w:r w:rsidRPr="03589149" w:rsidR="03589149">
        <w:rPr>
          <w:rFonts w:ascii="Times New Roman" w:hAnsi="Times New Roman" w:eastAsia="Times New Roman" w:cs="Times New Roman"/>
          <w:noProof w:val="0"/>
          <w:sz w:val="24"/>
          <w:szCs w:val="24"/>
          <w:lang w:val="pt-BR"/>
        </w:rPr>
        <w:t>prostaciclina</w:t>
      </w:r>
      <w:proofErr w:type="spellEnd"/>
      <w:r w:rsidRPr="03589149" w:rsidR="03589149">
        <w:rPr>
          <w:rFonts w:ascii="Times New Roman" w:hAnsi="Times New Roman" w:eastAsia="Times New Roman" w:cs="Times New Roman"/>
          <w:noProof w:val="0"/>
          <w:sz w:val="24"/>
          <w:szCs w:val="24"/>
          <w:lang w:val="pt-BR"/>
        </w:rPr>
        <w:t xml:space="preserve"> são reduzidos. Nos doentes que não toleram ou possuem alergia ao AAS recomenda-se o uso de outros agentes </w:t>
      </w:r>
      <w:proofErr w:type="spellStart"/>
      <w:r w:rsidRPr="03589149" w:rsidR="03589149">
        <w:rPr>
          <w:rFonts w:ascii="Times New Roman" w:hAnsi="Times New Roman" w:eastAsia="Times New Roman" w:cs="Times New Roman"/>
          <w:noProof w:val="0"/>
          <w:sz w:val="24"/>
          <w:szCs w:val="24"/>
          <w:lang w:val="pt-BR"/>
        </w:rPr>
        <w:t>antiagregantes</w:t>
      </w:r>
      <w:proofErr w:type="spellEnd"/>
      <w:r w:rsidRPr="03589149" w:rsidR="03589149">
        <w:rPr>
          <w:rFonts w:ascii="Times New Roman" w:hAnsi="Times New Roman" w:eastAsia="Times New Roman" w:cs="Times New Roman"/>
          <w:noProof w:val="0"/>
          <w:sz w:val="24"/>
          <w:szCs w:val="24"/>
          <w:lang w:val="pt-BR"/>
        </w:rPr>
        <w:t xml:space="preserve"> plaquetários. </w:t>
      </w:r>
      <w:r w:rsidRPr="03589149" w:rsidR="03589149">
        <w:rPr>
          <w:rFonts w:ascii="Times New Roman" w:hAnsi="Times New Roman" w:cs="Times New Roman"/>
          <w:b w:val="1"/>
          <w:bCs w:val="1"/>
          <w:sz w:val="24"/>
          <w:szCs w:val="24"/>
        </w:rPr>
        <w:t xml:space="preserve">Conclusão: </w:t>
      </w:r>
      <w:r w:rsidRPr="03589149" w:rsidR="03589149">
        <w:rPr>
          <w:rFonts w:ascii="Times New Roman" w:hAnsi="Times New Roman" w:eastAsia="Times New Roman" w:cs="Times New Roman"/>
          <w:noProof w:val="0"/>
          <w:sz w:val="24"/>
          <w:szCs w:val="24"/>
          <w:lang w:val="pt-BR"/>
        </w:rPr>
        <w:t>A terapia antiplaquetária em portadores de diabetes com alto risco cardiovascular é provavelmente a via mais</w:t>
      </w:r>
      <w:r w:rsidRPr="03589149" w:rsidR="03589149">
        <w:rPr>
          <w:rFonts w:ascii="Times New Roman" w:hAnsi="Times New Roman" w:eastAsia="Times New Roman" w:cs="Times New Roman"/>
          <w:noProof w:val="0"/>
          <w:color w:val="222222"/>
          <w:sz w:val="24"/>
          <w:szCs w:val="24"/>
          <w:lang w:val="pt-BR"/>
        </w:rPr>
        <w:t xml:space="preserve"> fácil e menos dispendiosa disponível para prevenir tais complicações. As dosagens devem ser individualizadas de acordo com o fator de risco e idade, iniciadas, normalmente, com baixas doses. Todavia, em altas dosagem ele tem um efeito de formação de trombos.</w:t>
      </w:r>
    </w:p>
    <w:p w:rsidR="03589149" w:rsidP="03589149" w:rsidRDefault="03589149" w14:paraId="4EDE93FF" w14:textId="17F3C496">
      <w:pPr>
        <w:pStyle w:val="Normal"/>
        <w:spacing w:after="0" w:line="240" w:lineRule="auto"/>
        <w:jc w:val="both"/>
      </w:pPr>
      <w:r>
        <w:br/>
      </w:r>
    </w:p>
    <w:p xmlns:wp14="http://schemas.microsoft.com/office/word/2010/wordml" w:rsidRPr="00C05558" w:rsidR="00C05558" w:rsidP="00C05558" w:rsidRDefault="00C05558" w14:paraId="0E27B00A" wp14:textId="77777777">
      <w:pPr>
        <w:spacing w:line="240" w:lineRule="auto"/>
        <w:jc w:val="center"/>
        <w:rPr>
          <w:rFonts w:ascii="Times New Roman" w:hAnsi="Times New Roman" w:cs="Times New Roman"/>
          <w:sz w:val="24"/>
          <w:szCs w:val="24"/>
        </w:rPr>
      </w:pPr>
    </w:p>
    <w:p xmlns:wp14="http://schemas.microsoft.com/office/word/2010/wordml" w:rsidR="00C05558" w:rsidRDefault="00C05558" w14:paraId="60061E4C" wp14:textId="77777777"/>
    <w:p xmlns:wp14="http://schemas.microsoft.com/office/word/2010/wordml" w:rsidR="00974339" w:rsidRDefault="00974339" w14:paraId="44EAFD9C" wp14:textId="77777777"/>
    <w:p xmlns:wp14="http://schemas.microsoft.com/office/word/2010/wordml" w:rsidR="00974339" w:rsidRDefault="00974339" w14:paraId="4B94D5A5" wp14:textId="77777777">
      <w:bookmarkStart w:name="_GoBack" w:id="0"/>
      <w:bookmarkEnd w:id="0"/>
    </w:p>
    <w:p xmlns:wp14="http://schemas.microsoft.com/office/word/2010/wordml" w:rsidR="00C05558" w:rsidRDefault="00C05558" w14:paraId="3DEEC669" wp14:textId="77777777"/>
    <w:p xmlns:wp14="http://schemas.microsoft.com/office/word/2010/wordml" w:rsidR="00C05558" w:rsidP="00C05558" w:rsidRDefault="00C05558" w14:paraId="3656B9AB" wp14:textId="77777777">
      <w:pPr>
        <w:jc w:val="center"/>
      </w:pPr>
    </w:p>
    <w:p xmlns:wp14="http://schemas.microsoft.com/office/word/2010/wordml" w:rsidR="00C05558" w:rsidRDefault="00C05558" w14:paraId="45FB0818" wp14:textId="77777777"/>
    <w:p xmlns:wp14="http://schemas.microsoft.com/office/word/2010/wordml" w:rsidR="00C05558" w:rsidRDefault="00C05558" w14:paraId="049F31CB" wp14:textId="77777777"/>
    <w:p xmlns:wp14="http://schemas.microsoft.com/office/word/2010/wordml" w:rsidR="00C05558" w:rsidRDefault="00C05558" w14:paraId="53128261" wp14:textId="77777777"/>
    <w:p xmlns:wp14="http://schemas.microsoft.com/office/word/2010/wordml" w:rsidR="00C05558" w:rsidRDefault="00C05558" w14:paraId="62486C05" wp14:textId="77777777"/>
    <w:p xmlns:wp14="http://schemas.microsoft.com/office/word/2010/wordml" w:rsidR="00C05558" w:rsidRDefault="00C05558" w14:paraId="4101652C" wp14:textId="77777777"/>
    <w:p xmlns:wp14="http://schemas.microsoft.com/office/word/2010/wordml" w:rsidR="00EC2947" w:rsidRDefault="00EC2947" w14:paraId="4B99056E" wp14:textId="77777777"/>
    <w:sectPr w:rsidR="00EC2947" w:rsidSect="00C05558">
      <w:headerReference w:type="default" r:id="rId6"/>
      <w:pgSz w:w="11900" w:h="16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13665" w:rsidP="00C05558" w:rsidRDefault="00A13665" w14:paraId="4DDBEF00" wp14:textId="77777777">
      <w:pPr>
        <w:spacing w:after="0" w:line="240" w:lineRule="auto"/>
      </w:pPr>
      <w:r>
        <w:separator/>
      </w:r>
    </w:p>
  </w:endnote>
  <w:endnote w:type="continuationSeparator" w:id="0">
    <w:p xmlns:wp14="http://schemas.microsoft.com/office/word/2010/wordml" w:rsidR="00A13665" w:rsidP="00C05558" w:rsidRDefault="00A13665" w14:paraId="3461D77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13665" w:rsidP="00C05558" w:rsidRDefault="00A13665" w14:paraId="3CF2D8B6" wp14:textId="77777777">
      <w:pPr>
        <w:spacing w:after="0" w:line="240" w:lineRule="auto"/>
      </w:pPr>
      <w:r>
        <w:separator/>
      </w:r>
    </w:p>
  </w:footnote>
  <w:footnote w:type="continuationSeparator" w:id="0">
    <w:p xmlns:wp14="http://schemas.microsoft.com/office/word/2010/wordml" w:rsidR="00A13665" w:rsidP="00C05558" w:rsidRDefault="00A13665" w14:paraId="0FB78278"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Pr="00C05558" w:rsidR="00C05558" w:rsidP="00C05558" w:rsidRDefault="00C05558" w14:paraId="1299C43A" wp14:textId="77777777">
    <w:pPr>
      <w:pStyle w:val="Cabealho"/>
      <w:jc w:val="center"/>
    </w:pPr>
    <w:r>
      <w:rPr>
        <w:noProof/>
        <w:lang w:eastAsia="pt-BR"/>
      </w:rPr>
      <w:drawing>
        <wp:inline xmlns:wp14="http://schemas.microsoft.com/office/word/2010/wordprocessingDrawing" distT="0" distB="0" distL="0" distR="0" wp14:anchorId="79EDA220" wp14:editId="2C719B6A">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58"/>
    <w:rsid w:val="0009190B"/>
    <w:rsid w:val="003F3857"/>
    <w:rsid w:val="005056F2"/>
    <w:rsid w:val="008A1BE0"/>
    <w:rsid w:val="00974339"/>
    <w:rsid w:val="00A13665"/>
    <w:rsid w:val="00C05558"/>
    <w:rsid w:val="00D03E19"/>
    <w:rsid w:val="00EC2947"/>
    <w:rsid w:val="035891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F6B3"/>
  <w15:chartTrackingRefBased/>
  <w15:docId w15:val="{E0005223-E342-4AAF-896A-19F4395158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styleId="RodapChar" w:customStyle="1">
    <w:name w:val="Rodapé Char"/>
    <w:basedOn w:val="Fontepargpadro"/>
    <w:link w:val="Rodap"/>
    <w:uiPriority w:val="99"/>
    <w:rsid w:val="00C0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Professor</dc:creator>
  <keywords/>
  <dc:description/>
  <lastModifiedBy>Lara Baptista</lastModifiedBy>
  <revision>3</revision>
  <dcterms:created xsi:type="dcterms:W3CDTF">2019-10-18T12:59:00.0000000Z</dcterms:created>
  <dcterms:modified xsi:type="dcterms:W3CDTF">2019-10-29T17:09:23.5955604Z</dcterms:modified>
</coreProperties>
</file>