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Diálogos e Responsabilização: práticas pedagógicas para homens autores de violência contra as mulheres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Autoras: Bianca Miranda Tribuzy e Flávia Eugênia Rodrigues de Souza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para contato: </w:t>
      </w:r>
      <w:hyperlink r:id="rId7">
        <w:r w:rsidDel="00000000" w:rsidR="00000000" w:rsidRPr="00000000">
          <w:rPr>
            <w:rFonts w:ascii="Arial" w:cs="Arial" w:eastAsia="Arial" w:hAnsi="Arial"/>
            <w:rtl w:val="0"/>
          </w:rPr>
          <w:t xml:space="preserve">bianca.tribuzy@tjam.jus.br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/ flaviaacademico23@gmail.com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Instituição: Tribunal de Justiça do Amazonas e Universidade Federal do Amazonas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máximo de participantes: 20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Duração: até 90 minutos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Objetivo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Promover um espaço de formação coletiva, reflexão e diálogo sobre a metodologia de intervenção com homens autores de violência contra as mulheres, por meio de práticas pedagógicas que promovam responsabilização e prevenção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reincidência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 da violência. A oficina pretende explicitar a função dos Grupos Reflexivos para Homens Autores de Violência contra as Mulheres na política de enfrentamento à violência contra elas.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criação de Grupos Reflexivos para Homens Autores de Violência contra as Mulheres é oriunda da Lei Maria da Penha (Brasil, 2006), em que em seu artigo n. 35, inciso V, prevê a criação de programas e centros educativos com intuito de diminuir a violência contra as mulheres no Brasil. Neste sentido, torna-se primordial discutirmos acerca das políticas de enfrentamento à violência de gênero e como essas intervenções auxiliam para o rompimento dos ciclos de violação dos Direitos Humanos.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Tendo como referência, a Recomendação nº 124/2022 do Conselho Nacional de Justiça institui a implementação dos grupos reflexivos e responsabilizantes como política pública nacional, reconhecendo-os como instrumentos educativos e preventivos. No Amazonas, a experiência do Tribunal de Justiça do Amazonas (TJAM) tem demonstrado o potencial pedagógico desses grupos como espaço de diálogo, desconstrução de masculinidades hegemônicas e promoção de novas formas de convivência social.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Materiais utilizados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Sala com cadeiras em círculo.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show / caixa de som.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Pincéis de quadro, pincéis atômicos ou canetas e folhas de papel A4.</w:t>
      </w:r>
    </w:p>
    <w:p w:rsidR="00000000" w:rsidDel="00000000" w:rsidP="00000000" w:rsidRDefault="00000000" w:rsidRPr="00000000" w14:paraId="00000013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Encaminhamento metodológico</w:t>
      </w:r>
    </w:p>
    <w:p w:rsidR="00000000" w:rsidDel="00000000" w:rsidP="00000000" w:rsidRDefault="00000000" w:rsidRPr="00000000" w14:paraId="00000015">
      <w:pPr>
        <w:spacing w:line="360" w:lineRule="auto"/>
        <w:ind w:left="360"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A oficina será desenvolvida de forma interativa e dialógica, baseada em metodologias ativas: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Acolhida e apresentação dos/as participantes.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Exposição sobre a fundamentação teórica (gênero, construção social das masculinidades, responsabilização).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Relato de experiência de como os grupos têm se desenvolvido no TJAM.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Simulação da metodologia de grupos reflexivos.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Discussão sobre desafios e potencialidades da aplicação em diferentes contextos.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Socialização coletiva e sistematização dos aprendizados.</w:t>
      </w:r>
    </w:p>
    <w:p w:rsidR="00000000" w:rsidDel="00000000" w:rsidP="00000000" w:rsidRDefault="00000000" w:rsidRPr="00000000" w14:paraId="0000001C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36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Proposta de avaliação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Envolvimento e participação nas atividades.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Avaliação inicial por meio da ferramenta digital Mentimeter (Nuvem de Palavras).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Formulário digital do Google Forms (QRcode) para avaliação final.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-1082672</wp:posOffset>
          </wp:positionH>
          <wp:positionV relativeFrom="paragraph">
            <wp:posOffset>-3945683</wp:posOffset>
          </wp:positionV>
          <wp:extent cx="7557831" cy="5150331"/>
          <wp:effectExtent b="0" l="0" r="0" t="0"/>
          <wp:wrapNone/>
          <wp:docPr id="1961704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-1105330</wp:posOffset>
          </wp:positionH>
          <wp:positionV relativeFrom="paragraph">
            <wp:posOffset>-440052</wp:posOffset>
          </wp:positionV>
          <wp:extent cx="7626753" cy="5603132"/>
          <wp:effectExtent b="0" l="0" r="0" t="0"/>
          <wp:wrapNone/>
          <wp:docPr id="1961704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3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 w:val="1"/>
    <w:rsid w:val="006268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68F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6268F0"/>
    <w:rPr>
      <w:rFonts w:ascii="Times New Roman" w:cs="Times New Roman" w:hAnsi="Times New Roman"/>
    </w:rPr>
  </w:style>
  <w:style w:type="paragraph" w:styleId="Reviso">
    <w:name w:val="Revision"/>
    <w:hidden w:val="1"/>
    <w:uiPriority w:val="99"/>
    <w:semiHidden w:val="1"/>
    <w:rsid w:val="00F14CC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14C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14CC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14C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14CC6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14CC6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anca.tribuzy@tjam.jus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KrIqzxBaAenLrWKQW7HDyQ+Zw==">CgMxLjA4AGpECjVzdWdnZXN0SWRJbXBvcnQ2NTdhNGU2ZC1mNzEyLTQ5MGMtOWJiYi1hMzk4YmEyZTYyOGVfMxILQ29ycmXDp8OjbyBqRQo2c3VnZ2VzdElkSW1wb3J0NjU3YTRlNmQtZjcxMi00OTBjLTliYmItYTM5OGJhMmU2MjhlXzExEgtDb3JyZcOnw6NvIGpFCjZzdWdnZXN0SWRJbXBvcnQ2NTdhNGU2ZC1mNzEyLTQ5MGMtOWJiYi1hMzk4YmEyZTYyOGVfMTYSC0NvcnJlw6fDo28gakUKNnN1Z2dlc3RJZEltcG9ydDY1N2E0ZTZkLWY3MTItNDkwYy05YmJiLWEzOThiYTJlNjI4ZV8yNRILQ29ycmXDp8OjbyBqRAo1c3VnZ2VzdElkSW1wb3J0NjU3YTRlNmQtZjcxMi00OTBjLTliYmItYTM5OGJhMmU2MjhlXzYSC0NvcnJlw6fDo28gakQKNXN1Z2dlc3RJZEltcG9ydDY1N2E0ZTZkLWY3MTItNDkwYy05YmJiLWEzOThiYTJlNjI4ZV8xEgtDb3JyZcOnw6NvIGpFCjZzdWdnZXN0SWRJbXBvcnQ2NTdhNGU2ZC1mNzEyLTQ5MGMtOWJiYi1hMzk4YmEyZTYyOGVfMTMSC0NvcnJlw6fDo28gakUKNnN1Z2dlc3RJZEltcG9ydDY1N2E0ZTZkLWY3MTItNDkwYy05YmJiLWEzOThiYTJlNjI4ZV8xOBILQ29ycmXDp8OjbyBqRQo2c3VnZ2VzdElkSW1wb3J0NjU3YTRlNmQtZjcxMi00OTBjLTliYmItYTM5OGJhMmU2MjhlXzI3EgtDb3JyZcOnw6NvIGpFCjZzdWdnZXN0SWRJbXBvcnQ2NTdhNGU2ZC1mNzEyLTQ5MGMtOWJiYi1hMzk4YmEyZTYyOGVfMjkSC0NvcnJlw6fDo28gakUKNnN1Z2dlc3RJZEltcG9ydDY1N2E0ZTZkLWY3MTItNDkwYy05YmJiLWEzOThiYTJlNjI4ZV8xMhILQ29ycmXDp8OjbyBqRAo1c3VnZ2VzdElkSW1wb3J0NjU3YTRlNmQtZjcxMi00OTBjLTliYmItYTM5OGJhMmU2MjhlXzUSC0NvcnJlw6fDo28gakQKNXN1Z2dlc3RJZEltcG9ydDY1N2E0ZTZkLWY3MTItNDkwYy05YmJiLWEzOThiYTJlNjI4ZV85EgtDb3JyZcOnw6NvIGpECjVzdWdnZXN0SWRJbXBvcnQ2NTdhNGU2ZC1mNzEyLTQ5MGMtOWJiYi1hMzk4YmEyZTYyOGVfMhILQ29ycmXDp8OjbyBqRQo2c3VnZ2VzdElkSW1wb3J0NjU3YTRlNmQtZjcxMi00OTBjLTliYmItYTM5OGJhMmU2MjhlXzMwEgtDb3JyZcOnw6NvIGpFCjZzdWdnZXN0SWRJbXBvcnQ2NTdhNGU2ZC1mNzEyLTQ5MGMtOWJiYi1hMzk4YmEyZTYyOGVfMTkSC0NvcnJlw6fDo28gakUKNnN1Z2dlc3RJZEltcG9ydDY1N2E0ZTZkLWY3MTItNDkwYy05YmJiLWEzOThiYTJlNjI4ZV8yNBILQ29ycmXDp8OjbyBqRQo2c3VnZ2VzdElkSW1wb3J0NjU3YTRlNmQtZjcxMi00OTBjLTliYmItYTM5OGJhMmU2MjhlXzIzEgtDb3JyZcOnw6NvIGpFCjZzdWdnZXN0SWRJbXBvcnQ2NTdhNGU2ZC1mNzEyLTQ5MGMtOWJiYi1hMzk4YmEyZTYyOGVfMjESC0NvcnJlw6fDo28gakUKNnN1Z2dlc3RJZEltcG9ydDY1N2E0ZTZkLWY3MTItNDkwYy05YmJiLWEzOThiYTJlNjI4ZV8zMhILQ29ycmXDp8OjbyBqRAo1c3VnZ2VzdElkSW1wb3J0NjU3YTRlNmQtZjcxMi00OTBjLTliYmItYTM5OGJhMmU2MjhlXzcSC0NvcnJlw6fDo28gciExdURvRTB0MXp1MVVCZDlsaFVYcE5JZ05SOUZuRUZnV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2025-09-05T00:19:00Z</dcterms:created>
  <dc:creator>Thaíssa Gabrielle Ferreira Henrique</dc:creator>
</cp:coreProperties>
</file>