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Protocolo de Atendimento em Pacientes com Traumas Graves</w:t>
      </w: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2"/>
          <w:shd w:fill="auto" w:val="clear"/>
        </w:rPr>
        <w:t xml:space="preserve">Paulo Andre Climaco Ruiz</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b/>
          <w:color w:val="auto"/>
          <w:spacing w:val="0"/>
          <w:position w:val="0"/>
          <w:sz w:val="22"/>
          <w:shd w:fill="auto" w:val="clear"/>
        </w:rPr>
        <w:br/>
      </w:r>
      <w:r>
        <w:rPr>
          <w:rFonts w:ascii="Times New Roman" w:hAnsi="Times New Roman" w:cs="Times New Roman" w:eastAsia="Times New Roman"/>
          <w:color w:val="auto"/>
          <w:spacing w:val="0"/>
          <w:position w:val="0"/>
          <w:sz w:val="22"/>
          <w:shd w:fill="auto" w:val="clear"/>
        </w:rPr>
        <w:t xml:space="preserve">paulo.a.c.ruiz@gmail.com </w:t>
        <w:br/>
        <w:t xml:space="preserve">Lucas Arruda Macedo Coelho</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color w:val="auto"/>
          <w:spacing w:val="0"/>
          <w:position w:val="0"/>
          <w:sz w:val="22"/>
          <w:shd w:fill="auto" w:val="clear"/>
        </w:rPr>
        <w:t xml:space="preserve"> </w:t>
        <w:br/>
        <w:t xml:space="preserve"> Gabriel Vale Vasconcelos</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t xml:space="preserve"> </w:t>
        <w:br/>
        <w:t xml:space="preserve">Raul Felipe Oliveira Véras</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w:t>
        <w:br/>
        <w:t xml:space="preserve">Fernando Greghi de Paula Leite</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br/>
        <w:t xml:space="preserve">Rebecca Bergamelli Nemitz</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w:t>
        <w:br/>
        <w:t xml:space="preserve">Saul Felipe Oliveira Véras</w:t>
      </w:r>
      <w:r>
        <w:rPr>
          <w:rFonts w:ascii="Times New Roman" w:hAnsi="Times New Roman" w:cs="Times New Roman" w:eastAsia="Times New Roman"/>
          <w:color w:val="auto"/>
          <w:spacing w:val="0"/>
          <w:position w:val="0"/>
          <w:sz w:val="22"/>
          <w:shd w:fill="auto" w:val="clear"/>
          <w:vertAlign w:val="superscript"/>
        </w:rPr>
        <w:t xml:space="preserve">7</w:t>
      </w:r>
      <w:r>
        <w:rPr>
          <w:rFonts w:ascii="Times New Roman" w:hAnsi="Times New Roman" w:cs="Times New Roman" w:eastAsia="Times New Roman"/>
          <w:color w:val="auto"/>
          <w:spacing w:val="0"/>
          <w:position w:val="0"/>
          <w:sz w:val="22"/>
          <w:shd w:fill="auto" w:val="clear"/>
        </w:rPr>
        <w:t xml:space="preserve"> </w:t>
        <w:br/>
        <w:t xml:space="preserve">Raul Santos Silva</w:t>
      </w:r>
      <w:r>
        <w:rPr>
          <w:rFonts w:ascii="Times New Roman" w:hAnsi="Times New Roman" w:cs="Times New Roman" w:eastAsia="Times New Roman"/>
          <w:color w:val="auto"/>
          <w:spacing w:val="0"/>
          <w:position w:val="0"/>
          <w:sz w:val="22"/>
          <w:shd w:fill="auto" w:val="clear"/>
          <w:vertAlign w:val="superscript"/>
        </w:rPr>
        <w:t xml:space="preserve">8</w:t>
      </w:r>
      <w:r>
        <w:rPr>
          <w:rFonts w:ascii="Times New Roman" w:hAnsi="Times New Roman" w:cs="Times New Roman" w:eastAsia="Times New Roman"/>
          <w:color w:val="auto"/>
          <w:spacing w:val="0"/>
          <w:position w:val="0"/>
          <w:sz w:val="22"/>
          <w:shd w:fill="auto" w:val="clear"/>
        </w:rPr>
        <w:br/>
        <w:t xml:space="preserve">Maisa Pereira Espínola</w:t>
      </w:r>
      <w:r>
        <w:rPr>
          <w:rFonts w:ascii="Times New Roman" w:hAnsi="Times New Roman" w:cs="Times New Roman" w:eastAsia="Times New Roman"/>
          <w:color w:val="auto"/>
          <w:spacing w:val="0"/>
          <w:position w:val="0"/>
          <w:sz w:val="22"/>
          <w:shd w:fill="auto" w:val="clear"/>
          <w:vertAlign w:val="superscript"/>
        </w:rPr>
        <w:t xml:space="preserve">9</w:t>
      </w:r>
      <w:r>
        <w:rPr>
          <w:rFonts w:ascii="Times New Roman" w:hAnsi="Times New Roman" w:cs="Times New Roman" w:eastAsia="Times New Roman"/>
          <w:color w:val="auto"/>
          <w:spacing w:val="0"/>
          <w:position w:val="0"/>
          <w:sz w:val="22"/>
          <w:shd w:fill="auto" w:val="clear"/>
        </w:rPr>
        <w:t xml:space="preserve"> </w:t>
        <w:br/>
        <w:t xml:space="preserve">Victória Veloso Pacheco</w:t>
      </w:r>
      <w:r>
        <w:rPr>
          <w:rFonts w:ascii="Times New Roman" w:hAnsi="Times New Roman" w:cs="Times New Roman" w:eastAsia="Times New Roman"/>
          <w:color w:val="auto"/>
          <w:spacing w:val="0"/>
          <w:position w:val="0"/>
          <w:sz w:val="22"/>
          <w:shd w:fill="auto" w:val="clear"/>
          <w:vertAlign w:val="superscript"/>
        </w:rPr>
        <w:t xml:space="preserve">10</w:t>
      </w:r>
      <w:r>
        <w:rPr>
          <w:rFonts w:ascii="Times New Roman" w:hAnsi="Times New Roman" w:cs="Times New Roman" w:eastAsia="Times New Roman"/>
          <w:color w:val="auto"/>
          <w:spacing w:val="0"/>
          <w:position w:val="0"/>
          <w:sz w:val="22"/>
          <w:shd w:fill="auto" w:val="clear"/>
        </w:rPr>
        <w:br/>
        <w:t xml:space="preserve">Vanessa Maria Gonçalves de Souza</w:t>
      </w:r>
      <w:r>
        <w:rPr>
          <w:rFonts w:ascii="Times New Roman" w:hAnsi="Times New Roman" w:cs="Times New Roman" w:eastAsia="Times New Roman"/>
          <w:color w:val="auto"/>
          <w:spacing w:val="0"/>
          <w:position w:val="0"/>
          <w:sz w:val="22"/>
          <w:shd w:fill="auto" w:val="clear"/>
          <w:vertAlign w:val="superscript"/>
        </w:rPr>
        <w:t xml:space="preserve">11</w:t>
      </w: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16"/>
          <w:shd w:fill="auto" w:val="clear"/>
        </w:rPr>
      </w:pPr>
    </w:p>
    <w:p>
      <w:pPr>
        <w:spacing w:before="45"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82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Resumo</w:t>
      </w:r>
    </w:p>
    <w:p>
      <w:pPr>
        <w:spacing w:before="0" w:after="0" w:line="276"/>
        <w:ind w:right="103" w:left="82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Introdução: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 Brasil, o Acolhimento com Classificação de Risco (ACCR) foi introduzido em 2004 para pacientes em pronto-atendimento intra-hospitalar. No atendimento pré-hospitalar, a classificação de risco ajuda a separar as vítimas de acordo com a gravidade dos ferimentos, o tipo de lesão e os dados fisiológicos, garantindo um transporte e destino adequado para os pacientes. Objetivo: Este estudo examina a triagem de vítimas de trauma em áreas da Concessionária Econorte, localizada na região Norte do Paraná, Brasil. Método: Um estudo sistemático qualitativo e quantitativo dos Boletins de Ocorrências pelos socorristas e fichas de Controle de Atendimento da Central de Regulação da Concessionária foi realizado por meio de uma pesquisa retrospectiva de coorte em dois períodos : de 1o de janeiro de 2015 a 31 de dezembro de 2016 e de 1o de janeiro de 2019 a 31 de dezembro de 2020. Resultados: Os perfis dos acidentados, as posições das vítimas, o local do acidente e as taxas de subtriagem e supertriagem foram calculadas e apresentadas em tabelas e gráficos. Conclusão: No segundo período, houve uma maior quantidade de Boletins de Ocorrência com preenchimento adequado e registros da classificação de risco das vítimas. Tanto nas análises dos Boletins de Ocorrência quanto nas fichas de Controle de Atendimento, houve predominância de subtriagem nos dois períodos analisados.</w:t>
      </w:r>
    </w:p>
    <w:p>
      <w:pPr>
        <w:spacing w:before="0" w:after="0" w:line="240"/>
        <w:ind w:right="0" w:left="82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Palavras-chave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Classificação;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Trauma;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Triagem.</w:t>
      </w:r>
    </w:p>
    <w:p>
      <w:pPr>
        <w:spacing w:before="1"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0"/>
        </w:numPr>
        <w:tabs>
          <w:tab w:val="left" w:pos="352" w:leader="none"/>
        </w:tabs>
        <w:spacing w:before="0" w:after="0" w:line="240"/>
        <w:ind w:right="0" w:left="352" w:hanging="240"/>
        <w:jc w:val="left"/>
        <w:rPr>
          <w:rFonts w:ascii="Times New Roman" w:hAnsi="Times New Roman" w:cs="Times New Roman" w:eastAsia="Times New Roman"/>
          <w:b/>
          <w:color w:val="0D0D0D"/>
          <w:spacing w:val="0"/>
          <w:position w:val="0"/>
          <w:sz w:val="24"/>
          <w:shd w:fill="auto" w:val="clear"/>
        </w:rPr>
      </w:pPr>
      <w:r>
        <w:rPr>
          <w:rFonts w:ascii="Times New Roman" w:hAnsi="Times New Roman" w:cs="Times New Roman" w:eastAsia="Times New Roman"/>
          <w:b/>
          <w:color w:val="0D0D0D"/>
          <w:spacing w:val="-2"/>
          <w:position w:val="0"/>
          <w:sz w:val="24"/>
          <w:shd w:fill="auto" w:val="clear"/>
        </w:rPr>
        <w:t xml:space="preserve">Introdução</w:t>
      </w:r>
    </w:p>
    <w:p>
      <w:pPr>
        <w:spacing w:before="141" w:after="0" w:line="360"/>
        <w:ind w:right="103"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0D0D0D"/>
          <w:spacing w:val="0"/>
          <w:position w:val="0"/>
          <w:sz w:val="20"/>
          <w:shd w:fill="auto" w:val="clear"/>
        </w:rPr>
        <w:t xml:space="preserve">Desde 1990, vários países têm desenvolvido e implementado escalas de triagem, para subsidiar a tomada de decisões relacionadas à gravidade (risco de morte) do paciente traumatizado. Em 2004 iniciou-se no Brasil o Acolhimento com Classificação</w:t>
      </w:r>
      <w:r>
        <w:rPr>
          <w:rFonts w:ascii="Times New Roman" w:hAnsi="Times New Roman" w:cs="Times New Roman" w:eastAsia="Times New Roman"/>
          <w:color w:val="0D0D0D"/>
          <w:spacing w:val="-13"/>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de</w:t>
      </w:r>
      <w:r>
        <w:rPr>
          <w:rFonts w:ascii="Times New Roman" w:hAnsi="Times New Roman" w:cs="Times New Roman" w:eastAsia="Times New Roman"/>
          <w:color w:val="0D0D0D"/>
          <w:spacing w:val="-12"/>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Risco</w:t>
      </w:r>
      <w:r>
        <w:rPr>
          <w:rFonts w:ascii="Times New Roman" w:hAnsi="Times New Roman" w:cs="Times New Roman" w:eastAsia="Times New Roman"/>
          <w:color w:val="0D0D0D"/>
          <w:spacing w:val="-11"/>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(ACCR</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através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protocolo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Manchester</w:t>
      </w:r>
      <w:r>
        <w:rPr>
          <w:rFonts w:ascii="Times New Roman" w:hAnsi="Times New Roman" w:cs="Times New Roman" w:eastAsia="Times New Roman"/>
          <w:color w:val="0D0D0D"/>
          <w:spacing w:val="0"/>
          <w:position w:val="0"/>
          <w:sz w:val="20"/>
          <w:shd w:fill="auto" w:val="clear"/>
        </w:rPr>
        <w:t xml:space="preserve">,</w:t>
      </w:r>
      <w:r>
        <w:rPr>
          <w:rFonts w:ascii="Times New Roman" w:hAnsi="Times New Roman" w:cs="Times New Roman" w:eastAsia="Times New Roman"/>
          <w:color w:val="0D0D0D"/>
          <w:spacing w:val="-12"/>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para</w:t>
      </w:r>
      <w:r>
        <w:rPr>
          <w:rFonts w:ascii="Times New Roman" w:hAnsi="Times New Roman" w:cs="Times New Roman" w:eastAsia="Times New Roman"/>
          <w:color w:val="0D0D0D"/>
          <w:spacing w:val="-12"/>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pacientes</w:t>
      </w:r>
      <w:r>
        <w:rPr>
          <w:rFonts w:ascii="Times New Roman" w:hAnsi="Times New Roman" w:cs="Times New Roman" w:eastAsia="Times New Roman"/>
          <w:color w:val="0D0D0D"/>
          <w:spacing w:val="-13"/>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em</w:t>
      </w:r>
      <w:r>
        <w:rPr>
          <w:rFonts w:ascii="Times New Roman" w:hAnsi="Times New Roman" w:cs="Times New Roman" w:eastAsia="Times New Roman"/>
          <w:color w:val="0D0D0D"/>
          <w:spacing w:val="-12"/>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pronto-atendimentos</w:t>
      </w:r>
      <w:r>
        <w:rPr>
          <w:rFonts w:ascii="Times New Roman" w:hAnsi="Times New Roman" w:cs="Times New Roman" w:eastAsia="Times New Roman"/>
          <w:color w:val="0D0D0D"/>
          <w:spacing w:val="-13"/>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intra-hospitalar</w:t>
      </w:r>
      <w:r>
        <w:rPr>
          <w:rFonts w:ascii="Times New Roman" w:hAnsi="Times New Roman" w:cs="Times New Roman" w:eastAsia="Times New Roman"/>
          <w:color w:val="0D0D0D"/>
          <w:spacing w:val="-11"/>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(Godoi et al., 2016).</w:t>
      </w:r>
    </w:p>
    <w:p>
      <w:pPr>
        <w:spacing w:before="0" w:after="0" w:line="360"/>
        <w:ind w:right="105"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0D0D0D"/>
          <w:spacing w:val="0"/>
          <w:position w:val="0"/>
          <w:sz w:val="20"/>
          <w:shd w:fill="auto" w:val="clear"/>
        </w:rPr>
        <w:t xml:space="preserve">No atendimento pré-hospitalar a triagem com a classificação de risco auxilia nas vítimas conforme a gravidade dos ferimentos,</w:t>
      </w:r>
      <w:r>
        <w:rPr>
          <w:rFonts w:ascii="Times New Roman" w:hAnsi="Times New Roman" w:cs="Times New Roman" w:eastAsia="Times New Roman"/>
          <w:color w:val="0D0D0D"/>
          <w:spacing w:val="-4"/>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o</w:t>
      </w:r>
      <w:r>
        <w:rPr>
          <w:rFonts w:ascii="Times New Roman" w:hAnsi="Times New Roman" w:cs="Times New Roman" w:eastAsia="Times New Roman"/>
          <w:color w:val="0D0D0D"/>
          <w:spacing w:val="-3"/>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mecanismo</w:t>
      </w:r>
      <w:r>
        <w:rPr>
          <w:rFonts w:ascii="Times New Roman" w:hAnsi="Times New Roman" w:cs="Times New Roman" w:eastAsia="Times New Roman"/>
          <w:color w:val="0D0D0D"/>
          <w:spacing w:val="-3"/>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da</w:t>
      </w:r>
      <w:r>
        <w:rPr>
          <w:rFonts w:ascii="Times New Roman" w:hAnsi="Times New Roman" w:cs="Times New Roman" w:eastAsia="Times New Roman"/>
          <w:color w:val="0D0D0D"/>
          <w:spacing w:val="-2"/>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lesão</w:t>
      </w:r>
      <w:r>
        <w:rPr>
          <w:rFonts w:ascii="Times New Roman" w:hAnsi="Times New Roman" w:cs="Times New Roman" w:eastAsia="Times New Roman"/>
          <w:color w:val="0D0D0D"/>
          <w:spacing w:val="-1"/>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e</w:t>
      </w:r>
      <w:r>
        <w:rPr>
          <w:rFonts w:ascii="Times New Roman" w:hAnsi="Times New Roman" w:cs="Times New Roman" w:eastAsia="Times New Roman"/>
          <w:color w:val="0D0D0D"/>
          <w:spacing w:val="-4"/>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os</w:t>
      </w:r>
      <w:r>
        <w:rPr>
          <w:rFonts w:ascii="Times New Roman" w:hAnsi="Times New Roman" w:cs="Times New Roman" w:eastAsia="Times New Roman"/>
          <w:color w:val="0D0D0D"/>
          <w:spacing w:val="-3"/>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critérios</w:t>
      </w:r>
      <w:r>
        <w:rPr>
          <w:rFonts w:ascii="Times New Roman" w:hAnsi="Times New Roman" w:cs="Times New Roman" w:eastAsia="Times New Roman"/>
          <w:color w:val="0D0D0D"/>
          <w:spacing w:val="-5"/>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fisiológicos;</w:t>
      </w:r>
      <w:r>
        <w:rPr>
          <w:rFonts w:ascii="Times New Roman" w:hAnsi="Times New Roman" w:cs="Times New Roman" w:eastAsia="Times New Roman"/>
          <w:color w:val="0D0D0D"/>
          <w:spacing w:val="-5"/>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visando</w:t>
      </w:r>
      <w:r>
        <w:rPr>
          <w:rFonts w:ascii="Times New Roman" w:hAnsi="Times New Roman" w:cs="Times New Roman" w:eastAsia="Times New Roman"/>
          <w:color w:val="0D0D0D"/>
          <w:spacing w:val="-3"/>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um</w:t>
      </w:r>
      <w:r>
        <w:rPr>
          <w:rFonts w:ascii="Times New Roman" w:hAnsi="Times New Roman" w:cs="Times New Roman" w:eastAsia="Times New Roman"/>
          <w:color w:val="0D0D0D"/>
          <w:spacing w:val="-4"/>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transporte</w:t>
      </w:r>
      <w:r>
        <w:rPr>
          <w:rFonts w:ascii="Times New Roman" w:hAnsi="Times New Roman" w:cs="Times New Roman" w:eastAsia="Times New Roman"/>
          <w:color w:val="0D0D0D"/>
          <w:spacing w:val="-4"/>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adequado</w:t>
      </w:r>
      <w:r>
        <w:rPr>
          <w:rFonts w:ascii="Times New Roman" w:hAnsi="Times New Roman" w:cs="Times New Roman" w:eastAsia="Times New Roman"/>
          <w:color w:val="0D0D0D"/>
          <w:spacing w:val="-1"/>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e</w:t>
      </w:r>
      <w:r>
        <w:rPr>
          <w:rFonts w:ascii="Times New Roman" w:hAnsi="Times New Roman" w:cs="Times New Roman" w:eastAsia="Times New Roman"/>
          <w:color w:val="0D0D0D"/>
          <w:spacing w:val="-4"/>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um</w:t>
      </w:r>
      <w:r>
        <w:rPr>
          <w:rFonts w:ascii="Times New Roman" w:hAnsi="Times New Roman" w:cs="Times New Roman" w:eastAsia="Times New Roman"/>
          <w:color w:val="0D0D0D"/>
          <w:spacing w:val="-4"/>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destino</w:t>
      </w:r>
      <w:r>
        <w:rPr>
          <w:rFonts w:ascii="Times New Roman" w:hAnsi="Times New Roman" w:cs="Times New Roman" w:eastAsia="Times New Roman"/>
          <w:color w:val="0D0D0D"/>
          <w:spacing w:val="-3"/>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coerente</w:t>
      </w:r>
      <w:r>
        <w:rPr>
          <w:rFonts w:ascii="Times New Roman" w:hAnsi="Times New Roman" w:cs="Times New Roman" w:eastAsia="Times New Roman"/>
          <w:color w:val="0D0D0D"/>
          <w:spacing w:val="-2"/>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ao</w:t>
      </w:r>
      <w:r>
        <w:rPr>
          <w:rFonts w:ascii="Times New Roman" w:hAnsi="Times New Roman" w:cs="Times New Roman" w:eastAsia="Times New Roman"/>
          <w:color w:val="0D0D0D"/>
          <w:spacing w:val="-3"/>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paciente (Davis et al., 2017, 2019; Jasper et al., 2019; Jeppesen et al., 2020).</w:t>
      </w:r>
    </w:p>
    <w:p>
      <w:pPr>
        <w:spacing w:before="0" w:after="0" w:line="360"/>
        <w:ind w:right="109"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0D0D0D"/>
          <w:spacing w:val="0"/>
          <w:position w:val="0"/>
          <w:sz w:val="20"/>
          <w:shd w:fill="auto" w:val="clear"/>
        </w:rPr>
        <w:t xml:space="preserve">Entretanto,</w:t>
      </w:r>
      <w:r>
        <w:rPr>
          <w:rFonts w:ascii="Times New Roman" w:hAnsi="Times New Roman" w:cs="Times New Roman" w:eastAsia="Times New Roman"/>
          <w:color w:val="0D0D0D"/>
          <w:spacing w:val="-2"/>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em</w:t>
      </w:r>
      <w:r>
        <w:rPr>
          <w:rFonts w:ascii="Times New Roman" w:hAnsi="Times New Roman" w:cs="Times New Roman" w:eastAsia="Times New Roman"/>
          <w:color w:val="0D0D0D"/>
          <w:spacing w:val="-1"/>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âmbito</w:t>
      </w:r>
      <w:r>
        <w:rPr>
          <w:rFonts w:ascii="Times New Roman" w:hAnsi="Times New Roman" w:cs="Times New Roman" w:eastAsia="Times New Roman"/>
          <w:color w:val="0D0D0D"/>
          <w:spacing w:val="-4"/>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nacional</w:t>
      </w:r>
      <w:r>
        <w:rPr>
          <w:rFonts w:ascii="Times New Roman" w:hAnsi="Times New Roman" w:cs="Times New Roman" w:eastAsia="Times New Roman"/>
          <w:color w:val="0D0D0D"/>
          <w:spacing w:val="-3"/>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e</w:t>
      </w:r>
      <w:r>
        <w:rPr>
          <w:rFonts w:ascii="Times New Roman" w:hAnsi="Times New Roman" w:cs="Times New Roman" w:eastAsia="Times New Roman"/>
          <w:color w:val="0D0D0D"/>
          <w:spacing w:val="-2"/>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internacional,</w:t>
      </w:r>
      <w:r>
        <w:rPr>
          <w:rFonts w:ascii="Times New Roman" w:hAnsi="Times New Roman" w:cs="Times New Roman" w:eastAsia="Times New Roman"/>
          <w:color w:val="0D0D0D"/>
          <w:spacing w:val="-2"/>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os</w:t>
      </w:r>
      <w:r>
        <w:rPr>
          <w:rFonts w:ascii="Times New Roman" w:hAnsi="Times New Roman" w:cs="Times New Roman" w:eastAsia="Times New Roman"/>
          <w:color w:val="0D0D0D"/>
          <w:spacing w:val="-3"/>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acidentes</w:t>
      </w:r>
      <w:r>
        <w:rPr>
          <w:rFonts w:ascii="Times New Roman" w:hAnsi="Times New Roman" w:cs="Times New Roman" w:eastAsia="Times New Roman"/>
          <w:color w:val="0D0D0D"/>
          <w:spacing w:val="-5"/>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de</w:t>
      </w:r>
      <w:r>
        <w:rPr>
          <w:rFonts w:ascii="Times New Roman" w:hAnsi="Times New Roman" w:cs="Times New Roman" w:eastAsia="Times New Roman"/>
          <w:color w:val="0D0D0D"/>
          <w:spacing w:val="-2"/>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trânsitos</w:t>
      </w:r>
      <w:r>
        <w:rPr>
          <w:rFonts w:ascii="Times New Roman" w:hAnsi="Times New Roman" w:cs="Times New Roman" w:eastAsia="Times New Roman"/>
          <w:color w:val="0D0D0D"/>
          <w:spacing w:val="-3"/>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e</w:t>
      </w:r>
      <w:r>
        <w:rPr>
          <w:rFonts w:ascii="Times New Roman" w:hAnsi="Times New Roman" w:cs="Times New Roman" w:eastAsia="Times New Roman"/>
          <w:color w:val="0D0D0D"/>
          <w:spacing w:val="-2"/>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traumas</w:t>
      </w:r>
      <w:r>
        <w:rPr>
          <w:rFonts w:ascii="Times New Roman" w:hAnsi="Times New Roman" w:cs="Times New Roman" w:eastAsia="Times New Roman"/>
          <w:color w:val="0D0D0D"/>
          <w:spacing w:val="-3"/>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graves,</w:t>
      </w:r>
      <w:r>
        <w:rPr>
          <w:rFonts w:ascii="Times New Roman" w:hAnsi="Times New Roman" w:cs="Times New Roman" w:eastAsia="Times New Roman"/>
          <w:color w:val="0D0D0D"/>
          <w:spacing w:val="-7"/>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permanecem</w:t>
      </w:r>
      <w:r>
        <w:rPr>
          <w:rFonts w:ascii="Times New Roman" w:hAnsi="Times New Roman" w:cs="Times New Roman" w:eastAsia="Times New Roman"/>
          <w:color w:val="0D0D0D"/>
          <w:spacing w:val="-3"/>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como</w:t>
      </w:r>
      <w:r>
        <w:rPr>
          <w:rFonts w:ascii="Times New Roman" w:hAnsi="Times New Roman" w:cs="Times New Roman" w:eastAsia="Times New Roman"/>
          <w:color w:val="0D0D0D"/>
          <w:spacing w:val="-1"/>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uma</w:t>
      </w:r>
      <w:r>
        <w:rPr>
          <w:rFonts w:ascii="Times New Roman" w:hAnsi="Times New Roman" w:cs="Times New Roman" w:eastAsia="Times New Roman"/>
          <w:color w:val="0D0D0D"/>
          <w:spacing w:val="-4"/>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das principais causas de morte e invalidez entre jovens e adultos. A triagem no trauma tornou-se uma das ferramentas primordiais para determinar o destino das vítimas (Ali Ali et al., 2017; Davis et al., 2019; Hamada et al., 2019; Sewalt et al., 2020).</w:t>
      </w:r>
    </w:p>
    <w:p>
      <w:pPr>
        <w:spacing w:before="0" w:after="0" w:line="360"/>
        <w:ind w:right="109"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0D0D0D"/>
          <w:spacing w:val="0"/>
          <w:position w:val="0"/>
          <w:sz w:val="20"/>
          <w:shd w:fill="auto" w:val="clear"/>
        </w:rPr>
        <w:t xml:space="preserve">Quanto ao transporte de vítimas gravemente feridas, considera-se o ideal o encaminhamento diretamente aos centros mais</w:t>
      </w:r>
      <w:r>
        <w:rPr>
          <w:rFonts w:ascii="Times New Roman" w:hAnsi="Times New Roman" w:cs="Times New Roman" w:eastAsia="Times New Roman"/>
          <w:color w:val="0D0D0D"/>
          <w:spacing w:val="-6"/>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especializados,</w:t>
      </w:r>
      <w:r>
        <w:rPr>
          <w:rFonts w:ascii="Times New Roman" w:hAnsi="Times New Roman" w:cs="Times New Roman" w:eastAsia="Times New Roman"/>
          <w:color w:val="0D0D0D"/>
          <w:spacing w:val="-5"/>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evitando-se</w:t>
      </w:r>
      <w:r>
        <w:rPr>
          <w:rFonts w:ascii="Times New Roman" w:hAnsi="Times New Roman" w:cs="Times New Roman" w:eastAsia="Times New Roman"/>
          <w:color w:val="0D0D0D"/>
          <w:spacing w:val="-5"/>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o</w:t>
      </w:r>
      <w:r>
        <w:rPr>
          <w:rFonts w:ascii="Times New Roman" w:hAnsi="Times New Roman" w:cs="Times New Roman" w:eastAsia="Times New Roman"/>
          <w:color w:val="0D0D0D"/>
          <w:spacing w:val="-4"/>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direcionamento</w:t>
      </w:r>
      <w:r>
        <w:rPr>
          <w:rFonts w:ascii="Times New Roman" w:hAnsi="Times New Roman" w:cs="Times New Roman" w:eastAsia="Times New Roman"/>
          <w:color w:val="0D0D0D"/>
          <w:spacing w:val="-7"/>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para</w:t>
      </w:r>
      <w:r>
        <w:rPr>
          <w:rFonts w:ascii="Times New Roman" w:hAnsi="Times New Roman" w:cs="Times New Roman" w:eastAsia="Times New Roman"/>
          <w:color w:val="0D0D0D"/>
          <w:spacing w:val="-7"/>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pequenos</w:t>
      </w:r>
      <w:r>
        <w:rPr>
          <w:rFonts w:ascii="Times New Roman" w:hAnsi="Times New Roman" w:cs="Times New Roman" w:eastAsia="Times New Roman"/>
          <w:color w:val="0D0D0D"/>
          <w:spacing w:val="-6"/>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centros</w:t>
      </w:r>
      <w:r>
        <w:rPr>
          <w:rFonts w:ascii="Times New Roman" w:hAnsi="Times New Roman" w:cs="Times New Roman" w:eastAsia="Times New Roman"/>
          <w:color w:val="0D0D0D"/>
          <w:spacing w:val="-8"/>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de</w:t>
      </w:r>
      <w:r>
        <w:rPr>
          <w:rFonts w:ascii="Times New Roman" w:hAnsi="Times New Roman" w:cs="Times New Roman" w:eastAsia="Times New Roman"/>
          <w:color w:val="0D0D0D"/>
          <w:spacing w:val="-5"/>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atendimento,</w:t>
      </w:r>
      <w:r>
        <w:rPr>
          <w:rFonts w:ascii="Times New Roman" w:hAnsi="Times New Roman" w:cs="Times New Roman" w:eastAsia="Times New Roman"/>
          <w:color w:val="0D0D0D"/>
          <w:spacing w:val="-7"/>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visto</w:t>
      </w:r>
      <w:r>
        <w:rPr>
          <w:rFonts w:ascii="Times New Roman" w:hAnsi="Times New Roman" w:cs="Times New Roman" w:eastAsia="Times New Roman"/>
          <w:color w:val="0D0D0D"/>
          <w:spacing w:val="-5"/>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que</w:t>
      </w:r>
      <w:r>
        <w:rPr>
          <w:rFonts w:ascii="Times New Roman" w:hAnsi="Times New Roman" w:cs="Times New Roman" w:eastAsia="Times New Roman"/>
          <w:color w:val="0D0D0D"/>
          <w:spacing w:val="-5"/>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tal</w:t>
      </w:r>
      <w:r>
        <w:rPr>
          <w:rFonts w:ascii="Times New Roman" w:hAnsi="Times New Roman" w:cs="Times New Roman" w:eastAsia="Times New Roman"/>
          <w:color w:val="0D0D0D"/>
          <w:spacing w:val="-5"/>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conduta</w:t>
      </w:r>
      <w:r>
        <w:rPr>
          <w:rFonts w:ascii="Times New Roman" w:hAnsi="Times New Roman" w:cs="Times New Roman" w:eastAsia="Times New Roman"/>
          <w:color w:val="0D0D0D"/>
          <w:spacing w:val="-5"/>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está</w:t>
      </w:r>
      <w:r>
        <w:rPr>
          <w:rFonts w:ascii="Times New Roman" w:hAnsi="Times New Roman" w:cs="Times New Roman" w:eastAsia="Times New Roman"/>
          <w:color w:val="0D0D0D"/>
          <w:spacing w:val="-6"/>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relacionada ao que se denomina subtriagem; porém não há consenso entre alguns autores sobre esta medida, se ela interfere ou não na taxa de</w:t>
      </w:r>
      <w:r>
        <w:rPr>
          <w:rFonts w:ascii="Times New Roman" w:hAnsi="Times New Roman" w:cs="Times New Roman" w:eastAsia="Times New Roman"/>
          <w:color w:val="0D0D0D"/>
          <w:spacing w:val="-2"/>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mortalidade, mas</w:t>
      </w:r>
      <w:r>
        <w:rPr>
          <w:rFonts w:ascii="Times New Roman" w:hAnsi="Times New Roman" w:cs="Times New Roman" w:eastAsia="Times New Roman"/>
          <w:color w:val="0D0D0D"/>
          <w:spacing w:val="-3"/>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é</w:t>
      </w:r>
      <w:r>
        <w:rPr>
          <w:rFonts w:ascii="Times New Roman" w:hAnsi="Times New Roman" w:cs="Times New Roman" w:eastAsia="Times New Roman"/>
          <w:color w:val="0D0D0D"/>
          <w:spacing w:val="-2"/>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certo</w:t>
      </w:r>
      <w:r>
        <w:rPr>
          <w:rFonts w:ascii="Times New Roman" w:hAnsi="Times New Roman" w:cs="Times New Roman" w:eastAsia="Times New Roman"/>
          <w:color w:val="0D0D0D"/>
          <w:spacing w:val="-1"/>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que</w:t>
      </w:r>
      <w:r>
        <w:rPr>
          <w:rFonts w:ascii="Times New Roman" w:hAnsi="Times New Roman" w:cs="Times New Roman" w:eastAsia="Times New Roman"/>
          <w:color w:val="0D0D0D"/>
          <w:spacing w:val="-2"/>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difere</w:t>
      </w:r>
      <w:r>
        <w:rPr>
          <w:rFonts w:ascii="Times New Roman" w:hAnsi="Times New Roman" w:cs="Times New Roman" w:eastAsia="Times New Roman"/>
          <w:color w:val="0D0D0D"/>
          <w:spacing w:val="-2"/>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na</w:t>
      </w:r>
      <w:r>
        <w:rPr>
          <w:rFonts w:ascii="Times New Roman" w:hAnsi="Times New Roman" w:cs="Times New Roman" w:eastAsia="Times New Roman"/>
          <w:color w:val="0D0D0D"/>
          <w:spacing w:val="-2"/>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superlotação</w:t>
      </w:r>
      <w:r>
        <w:rPr>
          <w:rFonts w:ascii="Times New Roman" w:hAnsi="Times New Roman" w:cs="Times New Roman" w:eastAsia="Times New Roman"/>
          <w:color w:val="0D0D0D"/>
          <w:spacing w:val="-1"/>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hospitalar</w:t>
      </w:r>
      <w:r>
        <w:rPr>
          <w:rFonts w:ascii="Times New Roman" w:hAnsi="Times New Roman" w:cs="Times New Roman" w:eastAsia="Times New Roman"/>
          <w:color w:val="0D0D0D"/>
          <w:spacing w:val="-1"/>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e</w:t>
      </w:r>
      <w:r>
        <w:rPr>
          <w:rFonts w:ascii="Times New Roman" w:hAnsi="Times New Roman" w:cs="Times New Roman" w:eastAsia="Times New Roman"/>
          <w:color w:val="0D0D0D"/>
          <w:spacing w:val="-2"/>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disponibilidade</w:t>
      </w:r>
      <w:r>
        <w:rPr>
          <w:rFonts w:ascii="Times New Roman" w:hAnsi="Times New Roman" w:cs="Times New Roman" w:eastAsia="Times New Roman"/>
          <w:color w:val="0D0D0D"/>
          <w:spacing w:val="-2"/>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de</w:t>
      </w:r>
      <w:r>
        <w:rPr>
          <w:rFonts w:ascii="Times New Roman" w:hAnsi="Times New Roman" w:cs="Times New Roman" w:eastAsia="Times New Roman"/>
          <w:color w:val="0D0D0D"/>
          <w:spacing w:val="-2"/>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recursos (Cassignol</w:t>
      </w:r>
      <w:r>
        <w:rPr>
          <w:rFonts w:ascii="Times New Roman" w:hAnsi="Times New Roman" w:cs="Times New Roman" w:eastAsia="Times New Roman"/>
          <w:color w:val="0D0D0D"/>
          <w:spacing w:val="-3"/>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et</w:t>
      </w:r>
      <w:r>
        <w:rPr>
          <w:rFonts w:ascii="Times New Roman" w:hAnsi="Times New Roman" w:cs="Times New Roman" w:eastAsia="Times New Roman"/>
          <w:color w:val="0D0D0D"/>
          <w:spacing w:val="-3"/>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al.,</w:t>
      </w:r>
      <w:r>
        <w:rPr>
          <w:rFonts w:ascii="Times New Roman" w:hAnsi="Times New Roman" w:cs="Times New Roman" w:eastAsia="Times New Roman"/>
          <w:color w:val="0D0D0D"/>
          <w:spacing w:val="-1"/>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2019;</w:t>
      </w:r>
      <w:r>
        <w:rPr>
          <w:rFonts w:ascii="Times New Roman" w:hAnsi="Times New Roman" w:cs="Times New Roman" w:eastAsia="Times New Roman"/>
          <w:color w:val="0D0D0D"/>
          <w:spacing w:val="-5"/>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Davis</w:t>
      </w:r>
      <w:r>
        <w:rPr>
          <w:rFonts w:ascii="Times New Roman" w:hAnsi="Times New Roman" w:cs="Times New Roman" w:eastAsia="Times New Roman"/>
          <w:color w:val="0D0D0D"/>
          <w:spacing w:val="-3"/>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et al., 2019; Sewalt et al., 2020; van der Sluijs et al., 2019).</w:t>
      </w:r>
    </w:p>
    <w:p>
      <w:pPr>
        <w:spacing w:before="1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5"/>
        </w:numPr>
        <w:tabs>
          <w:tab w:val="left" w:pos="352" w:leader="none"/>
        </w:tabs>
        <w:spacing w:before="0" w:after="0" w:line="240"/>
        <w:ind w:right="0" w:left="35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Métodos</w:t>
      </w:r>
    </w:p>
    <w:p>
      <w:pPr>
        <w:spacing w:before="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360"/>
        <w:ind w:right="110"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análise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documental</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incluiu</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além</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Boletins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Ocorrência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Atendimento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espelho 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Boletim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incluído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porém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atualmente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mantém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vítima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 registrada por código numérico.</w:t>
      </w:r>
    </w:p>
    <w:p>
      <w:pPr>
        <w:spacing w:before="0" w:after="0" w:line="360"/>
        <w:ind w:right="113"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critérios de inclusão para a análise documental foram: vítimas acima de 14 anos, boletins ocorrência de lesões traumáticas com todos os campos das 3 principais variáveis preenchidos. Foram excluídos da análise os documentos de atendimento de Incidente com múltiplas vítimas (IMUV), casos de recusa de atendimento, e ocorrências clinicas.</w:t>
      </w:r>
    </w:p>
    <w:p>
      <w:pPr>
        <w:spacing w:before="2" w:after="0" w:line="360"/>
        <w:ind w:right="103"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realização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ocorreu</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através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formulário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discriminado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planilha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Excel,</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constando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variáveis epidemiológicas,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demográficas,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atendimento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vítimas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cuja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 foi </w:t>
      </w:r>
      <w:r>
        <w:rPr>
          <w:rFonts w:ascii="Times New Roman" w:hAnsi="Times New Roman" w:cs="Times New Roman" w:eastAsia="Times New Roman"/>
          <w:color w:val="auto"/>
          <w:spacing w:val="-2"/>
          <w:position w:val="0"/>
          <w:sz w:val="20"/>
          <w:shd w:fill="auto" w:val="clear"/>
        </w:rPr>
        <w:t xml:space="preserve">registrada.</w:t>
      </w:r>
    </w:p>
    <w:p>
      <w:pPr>
        <w:spacing w:before="0" w:after="0" w:line="360"/>
        <w:ind w:right="107"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coleta de dados só foi realizada após a Concessionária Econorte, ter assinado a carta de autorização para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utilização de dados, permitindo a análise dos boletins de ocorrência e a informação dos códigos numéricos presentes nos Controles de Atendimento (CA). Cada Boletim de Ocorrência incluído no estudo teve o seu controle de Controle de Atendimento analisado espelhando o atendimento da mesma vítima do Boletim de Ocorrência</w:t>
      </w:r>
    </w:p>
    <w:p>
      <w:pPr>
        <w:numPr>
          <w:ilvl w:val="0"/>
          <w:numId w:val="21"/>
        </w:numPr>
        <w:tabs>
          <w:tab w:val="left" w:pos="413" w:leader="none"/>
        </w:tabs>
        <w:spacing w:before="0" w:after="0" w:line="240"/>
        <w:ind w:right="0" w:left="413" w:hanging="301"/>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Suporte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método</w:t>
      </w:r>
    </w:p>
    <w:p>
      <w:pPr>
        <w:spacing w:before="115" w:after="0" w:line="360"/>
        <w:ind w:right="115" w:left="112" w:firstLine="708"/>
        <w:jc w:val="both"/>
        <w:rPr>
          <w:rFonts w:ascii="Times New Roman" w:hAnsi="Times New Roman" w:cs="Times New Roman" w:eastAsia="Times New Roman"/>
          <w:color w:val="auto"/>
          <w:spacing w:val="0"/>
          <w:position w:val="2"/>
          <w:sz w:val="13"/>
          <w:shd w:fill="auto" w:val="clear"/>
        </w:rPr>
      </w:pP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principais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morte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prematuras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vítimas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trauma,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evitadas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através 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identificação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rápida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lesões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encaminhamento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direcionado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instituição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trauma,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mesmo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 </w:t>
      </w:r>
      <w:r>
        <w:rPr>
          <w:rFonts w:ascii="Times New Roman" w:hAnsi="Times New Roman" w:cs="Times New Roman" w:eastAsia="Times New Roman"/>
          <w:color w:val="auto"/>
          <w:spacing w:val="0"/>
          <w:position w:val="2"/>
          <w:sz w:val="20"/>
          <w:shd w:fill="auto" w:val="clear"/>
        </w:rPr>
        <w:t xml:space="preserve">a mais distante do evento traumático</w:t>
      </w:r>
      <w:r>
        <w:rPr>
          <w:rFonts w:ascii="Times New Roman" w:hAnsi="Times New Roman" w:cs="Times New Roman" w:eastAsia="Times New Roman"/>
          <w:color w:val="auto"/>
          <w:spacing w:val="-2"/>
          <w:position w:val="2"/>
          <w:sz w:val="20"/>
          <w:shd w:fill="auto" w:val="clear"/>
        </w:rPr>
        <w:t xml:space="preserve"> </w:t>
      </w:r>
      <w:r>
        <w:rPr>
          <w:rFonts w:ascii="Times New Roman" w:hAnsi="Times New Roman" w:cs="Times New Roman" w:eastAsia="Times New Roman"/>
          <w:color w:val="auto"/>
          <w:spacing w:val="0"/>
          <w:position w:val="2"/>
          <w:sz w:val="20"/>
          <w:shd w:fill="auto" w:val="clear"/>
        </w:rPr>
        <w:t xml:space="preserve">(Sewalt et al., 2020)</w:t>
      </w:r>
      <w:r>
        <w:rPr>
          <w:rFonts w:ascii="Times New Roman" w:hAnsi="Times New Roman" w:cs="Times New Roman" w:eastAsia="Times New Roman"/>
          <w:color w:val="auto"/>
          <w:spacing w:val="0"/>
          <w:position w:val="2"/>
          <w:sz w:val="13"/>
          <w:shd w:fill="auto" w:val="clear"/>
        </w:rPr>
        <w:t xml:space="preserve">.</w:t>
      </w:r>
    </w:p>
    <w:p>
      <w:pPr>
        <w:spacing w:before="0" w:after="0" w:line="360"/>
        <w:ind w:right="108"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 tanto é necessário que cada paciente de trauma, tenha um atendimento ideal pré-hospitalar e seja encaminhado à instituição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conveniente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grau</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lesão,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mesmo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isso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signifique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contornar</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outros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locais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atendimento,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pois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medida reduz as consequências indesejáveis da lesão traumática e evita danos irreversíveis como a invalidez (Fagerlind et al., 2019).</w:t>
      </w:r>
    </w:p>
    <w:p>
      <w:pPr>
        <w:spacing w:before="0" w:after="0" w:line="360"/>
        <w:ind w:right="104"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subtriagem é caracterizada quando uma vítima de trauma é encaminhada para a instituição de referência de menor complexidade, ou seja, com hospital com menos recursos que a gravidade da lesão exige; já a supertriagem corresponde ao transporte de vítima menos grave para o local onde os recursos são mais complexos que a necessidade da vítima (Davis et al., </w:t>
      </w:r>
      <w:r>
        <w:rPr>
          <w:rFonts w:ascii="Times New Roman" w:hAnsi="Times New Roman" w:cs="Times New Roman" w:eastAsia="Times New Roman"/>
          <w:color w:val="auto"/>
          <w:spacing w:val="-2"/>
          <w:position w:val="0"/>
          <w:sz w:val="20"/>
          <w:shd w:fill="auto" w:val="clear"/>
        </w:rPr>
        <w:t xml:space="preserve">2019).</w:t>
      </w:r>
    </w:p>
    <w:p>
      <w:pPr>
        <w:spacing w:before="0" w:after="0" w:line="360"/>
        <w:ind w:right="104"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Para aumentar a qualidade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atendimento ao trauma, são necessárias melhorias nos níveis pré-hospitalar e hospitalar, mas também implementar estratégias gerenciais para diminuir as taxas de subtriagem e supertriagem (Ali Ali et al., 2017).</w:t>
      </w:r>
    </w:p>
    <w:p>
      <w:pPr>
        <w:spacing w:before="1" w:after="0" w:line="360"/>
        <w:ind w:right="102"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Mesmo com a evolução e tecnologias disponíveis, a obtenção dos indicadores de subtriagem e supertriagem é um desafio para as instituições de referência ao trauma, mas estes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indicadores são de grande valia o aprimoramento da triagem nos serviços pré-hospitalares, principalmente no que se refere à subtriagem (Jeppesen et al., 2020).</w:t>
      </w:r>
    </w:p>
    <w:p>
      <w:pPr>
        <w:spacing w:before="18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27"/>
        </w:numPr>
        <w:tabs>
          <w:tab w:val="left" w:pos="352" w:leader="none"/>
        </w:tabs>
        <w:spacing w:before="1" w:after="0" w:line="240"/>
        <w:ind w:right="0" w:left="35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Resultados</w:t>
      </w:r>
    </w:p>
    <w:p>
      <w:pPr>
        <w:spacing w:before="138" w:after="0" w:line="360"/>
        <w:ind w:right="103"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400</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Boletins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Ocorrência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400</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espelhos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Atendimento (CA) entre os dois períodos, 2015 a 2016 e 2019 a 2020, mas devido aos preenchimentos incompletos dos BOs, foram incluídos para o estudo 340 boletins, destes 177 no primeiro período e 163 no segundo período.</w:t>
      </w:r>
    </w:p>
    <w:p>
      <w:pPr>
        <w:spacing w:before="0" w:after="0" w:line="360"/>
        <w:ind w:right="113"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Quanto à posição das vítimas nos veículos, observou-se uma inversão no posicionamento das vítimas: no primeiro período(2015/2016) garupas de motociclista tiveram percentual de 35%</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o acompanhante traseiro percentual de 0,6% das vítimas,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já</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período(2019/2020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vítimas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garupas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motocicletas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caiu</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5,5%,</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percentagem de acompanhantes traseiros acidentados elevou-se para 77,9%, porém o condutor em geral esteve em segundo lugar entre as vítimas de acidente em ambos os períodos, com percentagem de 9,4% e 9,8% dos casos, respectivamente.</w:t>
      </w:r>
    </w:p>
    <w:tbl>
      <w:tblPr>
        <w:tblInd w:w="1075" w:type="dxa"/>
      </w:tblPr>
      <w:tblGrid>
        <w:gridCol w:w="1672"/>
        <w:gridCol w:w="1461"/>
        <w:gridCol w:w="1553"/>
        <w:gridCol w:w="1856"/>
        <w:gridCol w:w="1741"/>
      </w:tblGrid>
      <w:tr>
        <w:trPr>
          <w:trHeight w:val="335" w:hRule="auto"/>
          <w:jc w:val="left"/>
        </w:trPr>
        <w:tc>
          <w:tcPr>
            <w:tcW w:w="1672"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23" w:after="0" w:line="240"/>
              <w:ind w:right="0" w:left="79" w:firstLine="0"/>
              <w:jc w:val="left"/>
              <w:rPr>
                <w:color w:val="auto"/>
                <w:position w:val="0"/>
                <w:shd w:fill="auto" w:val="clear"/>
              </w:rPr>
            </w:pPr>
            <w:r>
              <w:rPr>
                <w:rFonts w:ascii="Times New Roman" w:hAnsi="Times New Roman" w:cs="Times New Roman" w:eastAsia="Times New Roman"/>
                <w:b/>
                <w:color w:val="auto"/>
                <w:spacing w:val="-2"/>
                <w:position w:val="0"/>
                <w:sz w:val="18"/>
                <w:shd w:fill="auto" w:val="clear"/>
              </w:rPr>
              <w:t xml:space="preserve">Acidente</w:t>
            </w:r>
          </w:p>
        </w:tc>
        <w:tc>
          <w:tcPr>
            <w:tcW w:w="1461"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23" w:after="0" w:line="240"/>
              <w:ind w:right="0" w:left="313" w:firstLine="0"/>
              <w:jc w:val="left"/>
              <w:rPr>
                <w:color w:val="auto"/>
                <w:position w:val="0"/>
                <w:shd w:fill="auto" w:val="clear"/>
              </w:rPr>
            </w:pPr>
            <w:r>
              <w:rPr>
                <w:rFonts w:ascii="Times New Roman" w:hAnsi="Times New Roman" w:cs="Times New Roman" w:eastAsia="Times New Roman"/>
                <w:b/>
                <w:color w:val="auto"/>
                <w:spacing w:val="-2"/>
                <w:position w:val="0"/>
                <w:sz w:val="18"/>
                <w:shd w:fill="auto" w:val="clear"/>
              </w:rPr>
              <w:t xml:space="preserve">2015/2016</w:t>
            </w:r>
          </w:p>
        </w:tc>
        <w:tc>
          <w:tcPr>
            <w:tcW w:w="1553"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23" w:after="0" w:line="240"/>
              <w:ind w:right="0" w:left="376" w:firstLine="0"/>
              <w:jc w:val="left"/>
              <w:rPr>
                <w:color w:val="auto"/>
                <w:position w:val="0"/>
                <w:shd w:fill="auto" w:val="clear"/>
              </w:rPr>
            </w:pPr>
            <w:r>
              <w:rPr>
                <w:rFonts w:ascii="Times New Roman" w:hAnsi="Times New Roman" w:cs="Times New Roman" w:eastAsia="Times New Roman"/>
                <w:b/>
                <w:color w:val="auto"/>
                <w:spacing w:val="-10"/>
                <w:position w:val="0"/>
                <w:sz w:val="18"/>
                <w:shd w:fill="auto" w:val="clear"/>
              </w:rPr>
              <w:t xml:space="preserve">%</w:t>
            </w:r>
          </w:p>
        </w:tc>
        <w:tc>
          <w:tcPr>
            <w:tcW w:w="1856"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23" w:after="0" w:line="240"/>
              <w:ind w:right="0" w:left="710" w:firstLine="0"/>
              <w:jc w:val="left"/>
              <w:rPr>
                <w:color w:val="auto"/>
                <w:position w:val="0"/>
                <w:shd w:fill="auto" w:val="clear"/>
              </w:rPr>
            </w:pPr>
            <w:r>
              <w:rPr>
                <w:rFonts w:ascii="Times New Roman" w:hAnsi="Times New Roman" w:cs="Times New Roman" w:eastAsia="Times New Roman"/>
                <w:b/>
                <w:color w:val="auto"/>
                <w:spacing w:val="-2"/>
                <w:position w:val="0"/>
                <w:sz w:val="18"/>
                <w:shd w:fill="auto" w:val="clear"/>
              </w:rPr>
              <w:t xml:space="preserve">2019/2020</w:t>
            </w:r>
          </w:p>
        </w:tc>
        <w:tc>
          <w:tcPr>
            <w:tcW w:w="1741"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23" w:after="0" w:line="240"/>
              <w:ind w:right="0" w:left="375" w:firstLine="0"/>
              <w:jc w:val="left"/>
              <w:rPr>
                <w:color w:val="auto"/>
                <w:position w:val="0"/>
                <w:shd w:fill="auto" w:val="clear"/>
              </w:rPr>
            </w:pPr>
            <w:r>
              <w:rPr>
                <w:rFonts w:ascii="Times New Roman" w:hAnsi="Times New Roman" w:cs="Times New Roman" w:eastAsia="Times New Roman"/>
                <w:b/>
                <w:color w:val="auto"/>
                <w:spacing w:val="-10"/>
                <w:position w:val="0"/>
                <w:sz w:val="18"/>
                <w:shd w:fill="auto" w:val="clear"/>
              </w:rPr>
              <w:t xml:space="preserve">%</w:t>
            </w:r>
          </w:p>
        </w:tc>
      </w:tr>
      <w:tr>
        <w:trPr>
          <w:trHeight w:val="971" w:hRule="auto"/>
          <w:jc w:val="left"/>
        </w:trPr>
        <w:tc>
          <w:tcPr>
            <w:tcW w:w="1672"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153"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79"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2"/>
                <w:position w:val="0"/>
                <w:sz w:val="18"/>
                <w:shd w:fill="auto" w:val="clear"/>
              </w:rPr>
              <w:t xml:space="preserve">Rodovia</w:t>
            </w:r>
          </w:p>
          <w:p>
            <w:pPr>
              <w:spacing w:before="129" w:after="0" w:line="240"/>
              <w:ind w:right="0" w:left="79"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90</w:t>
            </w:r>
          </w:p>
        </w:tc>
        <w:tc>
          <w:tcPr>
            <w:tcW w:w="1461"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75"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31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23</w:t>
            </w:r>
          </w:p>
        </w:tc>
        <w:tc>
          <w:tcPr>
            <w:tcW w:w="1553"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75"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376"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13,0%</w:t>
            </w:r>
          </w:p>
        </w:tc>
        <w:tc>
          <w:tcPr>
            <w:tcW w:w="1856"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75"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71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7</w:t>
            </w:r>
          </w:p>
        </w:tc>
        <w:tc>
          <w:tcPr>
            <w:tcW w:w="1741"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75"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375"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4,3%</w:t>
            </w:r>
          </w:p>
        </w:tc>
      </w:tr>
      <w:tr>
        <w:trPr>
          <w:trHeight w:val="335" w:hRule="auto"/>
          <w:jc w:val="left"/>
        </w:trPr>
        <w:tc>
          <w:tcPr>
            <w:tcW w:w="16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9"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126</w:t>
            </w:r>
          </w:p>
        </w:tc>
        <w:tc>
          <w:tcPr>
            <w:tcW w:w="14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13"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1</w:t>
            </w:r>
          </w:p>
        </w:tc>
        <w:tc>
          <w:tcPr>
            <w:tcW w:w="155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6"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0,6%</w:t>
            </w:r>
          </w:p>
        </w:tc>
        <w:tc>
          <w:tcPr>
            <w:tcW w:w="185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1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1</w:t>
            </w:r>
          </w:p>
        </w:tc>
        <w:tc>
          <w:tcPr>
            <w:tcW w:w="1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5"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0,6%</w:t>
            </w:r>
          </w:p>
        </w:tc>
      </w:tr>
      <w:tr>
        <w:trPr>
          <w:trHeight w:val="336" w:hRule="auto"/>
          <w:jc w:val="left"/>
        </w:trPr>
        <w:tc>
          <w:tcPr>
            <w:tcW w:w="16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9"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153</w:t>
            </w:r>
          </w:p>
        </w:tc>
        <w:tc>
          <w:tcPr>
            <w:tcW w:w="14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1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53</w:t>
            </w:r>
          </w:p>
        </w:tc>
        <w:tc>
          <w:tcPr>
            <w:tcW w:w="155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6"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29,9%</w:t>
            </w:r>
          </w:p>
        </w:tc>
        <w:tc>
          <w:tcPr>
            <w:tcW w:w="185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10"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25</w:t>
            </w:r>
          </w:p>
        </w:tc>
        <w:tc>
          <w:tcPr>
            <w:tcW w:w="1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5"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15,3%</w:t>
            </w:r>
          </w:p>
        </w:tc>
      </w:tr>
      <w:tr>
        <w:trPr>
          <w:trHeight w:val="335" w:hRule="auto"/>
          <w:jc w:val="left"/>
        </w:trPr>
        <w:tc>
          <w:tcPr>
            <w:tcW w:w="16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9"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323</w:t>
            </w:r>
          </w:p>
        </w:tc>
        <w:tc>
          <w:tcPr>
            <w:tcW w:w="14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1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42</w:t>
            </w:r>
          </w:p>
        </w:tc>
        <w:tc>
          <w:tcPr>
            <w:tcW w:w="155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6"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23,7%</w:t>
            </w:r>
          </w:p>
        </w:tc>
        <w:tc>
          <w:tcPr>
            <w:tcW w:w="185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10"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15</w:t>
            </w:r>
          </w:p>
        </w:tc>
        <w:tc>
          <w:tcPr>
            <w:tcW w:w="1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5"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9,2%</w:t>
            </w:r>
          </w:p>
        </w:tc>
      </w:tr>
      <w:tr>
        <w:trPr>
          <w:trHeight w:val="336" w:hRule="auto"/>
          <w:jc w:val="left"/>
        </w:trPr>
        <w:tc>
          <w:tcPr>
            <w:tcW w:w="16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9"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369</w:t>
            </w:r>
          </w:p>
        </w:tc>
        <w:tc>
          <w:tcPr>
            <w:tcW w:w="14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1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164</w:t>
            </w:r>
          </w:p>
        </w:tc>
        <w:tc>
          <w:tcPr>
            <w:tcW w:w="155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6"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92,7%</w:t>
            </w:r>
          </w:p>
        </w:tc>
        <w:tc>
          <w:tcPr>
            <w:tcW w:w="185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10"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88</w:t>
            </w:r>
          </w:p>
        </w:tc>
        <w:tc>
          <w:tcPr>
            <w:tcW w:w="1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5"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54,0%</w:t>
            </w:r>
          </w:p>
        </w:tc>
      </w:tr>
      <w:tr>
        <w:trPr>
          <w:trHeight w:val="335" w:hRule="auto"/>
          <w:jc w:val="left"/>
        </w:trPr>
        <w:tc>
          <w:tcPr>
            <w:tcW w:w="16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9"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445</w:t>
            </w:r>
          </w:p>
        </w:tc>
        <w:tc>
          <w:tcPr>
            <w:tcW w:w="14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1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20</w:t>
            </w:r>
          </w:p>
        </w:tc>
        <w:tc>
          <w:tcPr>
            <w:tcW w:w="155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6"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11,3%</w:t>
            </w:r>
          </w:p>
        </w:tc>
        <w:tc>
          <w:tcPr>
            <w:tcW w:w="185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1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8</w:t>
            </w:r>
          </w:p>
        </w:tc>
        <w:tc>
          <w:tcPr>
            <w:tcW w:w="1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5"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4,9%</w:t>
            </w:r>
          </w:p>
        </w:tc>
      </w:tr>
      <w:tr>
        <w:trPr>
          <w:trHeight w:val="336" w:hRule="auto"/>
          <w:jc w:val="left"/>
        </w:trPr>
        <w:tc>
          <w:tcPr>
            <w:tcW w:w="16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9"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855</w:t>
            </w:r>
          </w:p>
        </w:tc>
        <w:tc>
          <w:tcPr>
            <w:tcW w:w="14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13"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2</w:t>
            </w:r>
          </w:p>
        </w:tc>
        <w:tc>
          <w:tcPr>
            <w:tcW w:w="155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6"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1,1%</w:t>
            </w:r>
          </w:p>
        </w:tc>
        <w:tc>
          <w:tcPr>
            <w:tcW w:w="185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1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1</w:t>
            </w:r>
          </w:p>
        </w:tc>
        <w:tc>
          <w:tcPr>
            <w:tcW w:w="1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5"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0,6%</w:t>
            </w:r>
          </w:p>
        </w:tc>
      </w:tr>
      <w:tr>
        <w:trPr>
          <w:trHeight w:val="504" w:hRule="auto"/>
          <w:jc w:val="left"/>
        </w:trPr>
        <w:tc>
          <w:tcPr>
            <w:tcW w:w="16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9"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862</w:t>
            </w:r>
          </w:p>
        </w:tc>
        <w:tc>
          <w:tcPr>
            <w:tcW w:w="14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1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35</w:t>
            </w:r>
          </w:p>
        </w:tc>
        <w:tc>
          <w:tcPr>
            <w:tcW w:w="155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6"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19,8%</w:t>
            </w:r>
          </w:p>
        </w:tc>
        <w:tc>
          <w:tcPr>
            <w:tcW w:w="185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10"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18</w:t>
            </w:r>
          </w:p>
        </w:tc>
        <w:tc>
          <w:tcPr>
            <w:tcW w:w="1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5"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11,0%</w:t>
            </w:r>
          </w:p>
        </w:tc>
      </w:tr>
      <w:tr>
        <w:trPr>
          <w:trHeight w:val="840" w:hRule="auto"/>
          <w:jc w:val="left"/>
        </w:trPr>
        <w:tc>
          <w:tcPr>
            <w:tcW w:w="16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21"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 w:after="0" w:line="240"/>
              <w:ind w:right="0" w:left="79"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2"/>
                <w:position w:val="0"/>
                <w:sz w:val="18"/>
                <w:shd w:fill="auto" w:val="clear"/>
              </w:rPr>
              <w:t xml:space="preserve">Veículo</w:t>
            </w:r>
          </w:p>
          <w:p>
            <w:pPr>
              <w:spacing w:before="129" w:after="0" w:line="240"/>
              <w:ind w:right="0" w:left="79"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AUTO</w:t>
            </w:r>
          </w:p>
        </w:tc>
        <w:tc>
          <w:tcPr>
            <w:tcW w:w="14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5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 w:after="0" w:line="240"/>
              <w:ind w:right="0" w:left="31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105</w:t>
            </w:r>
          </w:p>
        </w:tc>
        <w:tc>
          <w:tcPr>
            <w:tcW w:w="155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5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 w:after="0" w:line="240"/>
              <w:ind w:right="0" w:left="376"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59,3%</w:t>
            </w:r>
          </w:p>
        </w:tc>
        <w:tc>
          <w:tcPr>
            <w:tcW w:w="185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5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 w:after="0" w:line="240"/>
              <w:ind w:right="0" w:left="710"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80</w:t>
            </w:r>
          </w:p>
        </w:tc>
        <w:tc>
          <w:tcPr>
            <w:tcW w:w="1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5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 w:after="0" w:line="240"/>
              <w:ind w:right="0" w:left="375"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49,1%</w:t>
            </w:r>
          </w:p>
        </w:tc>
      </w:tr>
      <w:tr>
        <w:trPr>
          <w:trHeight w:val="337" w:hRule="auto"/>
          <w:jc w:val="left"/>
        </w:trPr>
        <w:tc>
          <w:tcPr>
            <w:tcW w:w="16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9"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MOTO</w:t>
            </w:r>
          </w:p>
        </w:tc>
        <w:tc>
          <w:tcPr>
            <w:tcW w:w="14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1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38</w:t>
            </w:r>
          </w:p>
        </w:tc>
        <w:tc>
          <w:tcPr>
            <w:tcW w:w="155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6"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21,5%</w:t>
            </w:r>
          </w:p>
        </w:tc>
        <w:tc>
          <w:tcPr>
            <w:tcW w:w="185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10"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47</w:t>
            </w:r>
          </w:p>
        </w:tc>
        <w:tc>
          <w:tcPr>
            <w:tcW w:w="1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5"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28,8%</w:t>
            </w:r>
          </w:p>
        </w:tc>
      </w:tr>
      <w:tr>
        <w:trPr>
          <w:trHeight w:val="337" w:hRule="auto"/>
          <w:jc w:val="left"/>
        </w:trPr>
        <w:tc>
          <w:tcPr>
            <w:tcW w:w="16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2" w:after="0" w:line="240"/>
              <w:ind w:right="0" w:left="79"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CAMINHÃO</w:t>
            </w:r>
          </w:p>
        </w:tc>
        <w:tc>
          <w:tcPr>
            <w:tcW w:w="14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2" w:after="0" w:line="240"/>
              <w:ind w:right="0" w:left="31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14</w:t>
            </w:r>
          </w:p>
        </w:tc>
        <w:tc>
          <w:tcPr>
            <w:tcW w:w="155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2" w:after="0" w:line="240"/>
              <w:ind w:right="0" w:left="376"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7,9%</w:t>
            </w:r>
          </w:p>
        </w:tc>
        <w:tc>
          <w:tcPr>
            <w:tcW w:w="185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2" w:after="0" w:line="240"/>
              <w:ind w:right="0" w:left="710"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19</w:t>
            </w:r>
          </w:p>
        </w:tc>
        <w:tc>
          <w:tcPr>
            <w:tcW w:w="1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2" w:after="0" w:line="240"/>
              <w:ind w:right="0" w:left="375"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11,7%</w:t>
            </w:r>
          </w:p>
        </w:tc>
      </w:tr>
      <w:tr>
        <w:trPr>
          <w:trHeight w:val="336" w:hRule="auto"/>
          <w:jc w:val="left"/>
        </w:trPr>
        <w:tc>
          <w:tcPr>
            <w:tcW w:w="16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9"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BICICLETA</w:t>
            </w:r>
          </w:p>
        </w:tc>
        <w:tc>
          <w:tcPr>
            <w:tcW w:w="14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13"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5</w:t>
            </w:r>
          </w:p>
        </w:tc>
        <w:tc>
          <w:tcPr>
            <w:tcW w:w="155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6"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2,8%</w:t>
            </w:r>
          </w:p>
        </w:tc>
        <w:tc>
          <w:tcPr>
            <w:tcW w:w="185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1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4</w:t>
            </w:r>
          </w:p>
        </w:tc>
        <w:tc>
          <w:tcPr>
            <w:tcW w:w="1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5"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2,5%</w:t>
            </w:r>
          </w:p>
        </w:tc>
      </w:tr>
      <w:tr>
        <w:trPr>
          <w:trHeight w:val="335" w:hRule="auto"/>
          <w:jc w:val="left"/>
        </w:trPr>
        <w:tc>
          <w:tcPr>
            <w:tcW w:w="16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9"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CARRETA</w:t>
            </w:r>
          </w:p>
        </w:tc>
        <w:tc>
          <w:tcPr>
            <w:tcW w:w="14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13"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3</w:t>
            </w:r>
          </w:p>
        </w:tc>
        <w:tc>
          <w:tcPr>
            <w:tcW w:w="155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6"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1,7%</w:t>
            </w:r>
          </w:p>
        </w:tc>
        <w:tc>
          <w:tcPr>
            <w:tcW w:w="185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1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2</w:t>
            </w:r>
          </w:p>
        </w:tc>
        <w:tc>
          <w:tcPr>
            <w:tcW w:w="1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5"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1,2%</w:t>
            </w:r>
          </w:p>
        </w:tc>
      </w:tr>
      <w:tr>
        <w:trPr>
          <w:trHeight w:val="335" w:hRule="auto"/>
          <w:jc w:val="left"/>
        </w:trPr>
        <w:tc>
          <w:tcPr>
            <w:tcW w:w="16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9"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ÔNIBUS</w:t>
            </w:r>
          </w:p>
        </w:tc>
        <w:tc>
          <w:tcPr>
            <w:tcW w:w="14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13"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3</w:t>
            </w:r>
          </w:p>
        </w:tc>
        <w:tc>
          <w:tcPr>
            <w:tcW w:w="155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6"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1,7%</w:t>
            </w:r>
          </w:p>
        </w:tc>
        <w:tc>
          <w:tcPr>
            <w:tcW w:w="185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1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4</w:t>
            </w:r>
          </w:p>
        </w:tc>
        <w:tc>
          <w:tcPr>
            <w:tcW w:w="1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5"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2,5%</w:t>
            </w:r>
          </w:p>
        </w:tc>
      </w:tr>
      <w:tr>
        <w:trPr>
          <w:trHeight w:val="336" w:hRule="auto"/>
          <w:jc w:val="left"/>
        </w:trPr>
        <w:tc>
          <w:tcPr>
            <w:tcW w:w="16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9"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UTILITARIA</w:t>
            </w:r>
          </w:p>
        </w:tc>
        <w:tc>
          <w:tcPr>
            <w:tcW w:w="14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13"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2</w:t>
            </w:r>
          </w:p>
        </w:tc>
        <w:tc>
          <w:tcPr>
            <w:tcW w:w="155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6"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1,1%</w:t>
            </w:r>
          </w:p>
        </w:tc>
        <w:tc>
          <w:tcPr>
            <w:tcW w:w="185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1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3</w:t>
            </w:r>
          </w:p>
        </w:tc>
        <w:tc>
          <w:tcPr>
            <w:tcW w:w="1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5"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1,8%</w:t>
            </w:r>
          </w:p>
        </w:tc>
      </w:tr>
      <w:tr>
        <w:trPr>
          <w:trHeight w:val="335" w:hRule="auto"/>
          <w:jc w:val="left"/>
        </w:trPr>
        <w:tc>
          <w:tcPr>
            <w:tcW w:w="16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9"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CARROÇA</w:t>
            </w:r>
          </w:p>
        </w:tc>
        <w:tc>
          <w:tcPr>
            <w:tcW w:w="14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13"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1</w:t>
            </w:r>
          </w:p>
        </w:tc>
        <w:tc>
          <w:tcPr>
            <w:tcW w:w="155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6"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0,6%</w:t>
            </w:r>
          </w:p>
        </w:tc>
        <w:tc>
          <w:tcPr>
            <w:tcW w:w="185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1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0</w:t>
            </w:r>
          </w:p>
        </w:tc>
        <w:tc>
          <w:tcPr>
            <w:tcW w:w="1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5"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2,5%</w:t>
            </w:r>
          </w:p>
        </w:tc>
      </w:tr>
      <w:tr>
        <w:trPr>
          <w:trHeight w:val="504" w:hRule="auto"/>
          <w:jc w:val="left"/>
        </w:trPr>
        <w:tc>
          <w:tcPr>
            <w:tcW w:w="16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9"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N.S.A</w:t>
            </w:r>
          </w:p>
        </w:tc>
        <w:tc>
          <w:tcPr>
            <w:tcW w:w="14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13"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6</w:t>
            </w:r>
          </w:p>
        </w:tc>
        <w:tc>
          <w:tcPr>
            <w:tcW w:w="155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6"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3,4%</w:t>
            </w:r>
          </w:p>
        </w:tc>
        <w:tc>
          <w:tcPr>
            <w:tcW w:w="185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71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4</w:t>
            </w:r>
          </w:p>
        </w:tc>
        <w:tc>
          <w:tcPr>
            <w:tcW w:w="1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0" w:after="0" w:line="240"/>
              <w:ind w:right="0" w:left="375"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0,0%</w:t>
            </w:r>
          </w:p>
        </w:tc>
      </w:tr>
      <w:tr>
        <w:trPr>
          <w:trHeight w:val="840" w:hRule="auto"/>
          <w:jc w:val="left"/>
        </w:trPr>
        <w:tc>
          <w:tcPr>
            <w:tcW w:w="167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22"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79"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2"/>
                <w:position w:val="0"/>
                <w:sz w:val="18"/>
                <w:shd w:fill="auto" w:val="clear"/>
              </w:rPr>
              <w:t xml:space="preserve">Encarceramento</w:t>
            </w:r>
          </w:p>
          <w:p>
            <w:pPr>
              <w:spacing w:before="129" w:after="0" w:line="240"/>
              <w:ind w:right="0" w:left="79"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NÃO</w:t>
            </w:r>
          </w:p>
        </w:tc>
        <w:tc>
          <w:tcPr>
            <w:tcW w:w="14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51"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31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170</w:t>
            </w:r>
          </w:p>
        </w:tc>
        <w:tc>
          <w:tcPr>
            <w:tcW w:w="155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51"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376"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96,0%</w:t>
            </w:r>
          </w:p>
        </w:tc>
        <w:tc>
          <w:tcPr>
            <w:tcW w:w="185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51"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710"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154</w:t>
            </w:r>
          </w:p>
        </w:tc>
        <w:tc>
          <w:tcPr>
            <w:tcW w:w="1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51"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375"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94,5%</w:t>
            </w:r>
          </w:p>
        </w:tc>
      </w:tr>
      <w:tr>
        <w:trPr>
          <w:trHeight w:val="370" w:hRule="auto"/>
          <w:jc w:val="left"/>
        </w:trPr>
        <w:tc>
          <w:tcPr>
            <w:tcW w:w="1672"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60" w:after="0" w:line="240"/>
              <w:ind w:right="0" w:left="79"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SIM</w:t>
            </w:r>
          </w:p>
        </w:tc>
        <w:tc>
          <w:tcPr>
            <w:tcW w:w="1461"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60" w:after="0" w:line="240"/>
              <w:ind w:right="0" w:left="313"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7</w:t>
            </w:r>
          </w:p>
        </w:tc>
        <w:tc>
          <w:tcPr>
            <w:tcW w:w="1553"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60" w:after="0" w:line="240"/>
              <w:ind w:right="0" w:left="376"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4,0%</w:t>
            </w:r>
          </w:p>
        </w:tc>
        <w:tc>
          <w:tcPr>
            <w:tcW w:w="1856"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60" w:after="0" w:line="240"/>
              <w:ind w:right="0" w:left="710"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9</w:t>
            </w:r>
          </w:p>
        </w:tc>
        <w:tc>
          <w:tcPr>
            <w:tcW w:w="1741"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60" w:after="0" w:line="240"/>
              <w:ind w:right="0" w:left="375"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5,5%</w:t>
            </w:r>
          </w:p>
        </w:tc>
      </w:tr>
    </w:tbl>
    <w:p>
      <w:pPr>
        <w:spacing w:before="104" w:after="0" w:line="240"/>
        <w:ind w:right="0" w:left="2"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Fonte:</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Autores </w:t>
      </w:r>
      <w:r>
        <w:rPr>
          <w:rFonts w:ascii="Times New Roman" w:hAnsi="Times New Roman" w:cs="Times New Roman" w:eastAsia="Times New Roman"/>
          <w:color w:val="auto"/>
          <w:spacing w:val="-2"/>
          <w:position w:val="0"/>
          <w:sz w:val="18"/>
          <w:shd w:fill="auto" w:val="clear"/>
        </w:rPr>
        <w:t xml:space="preserve">(2022).</w:t>
      </w:r>
    </w:p>
    <w:p>
      <w:pPr>
        <w:spacing w:before="104" w:after="0" w:line="240"/>
        <w:ind w:right="0" w:left="2" w:firstLine="0"/>
        <w:jc w:val="center"/>
        <w:rPr>
          <w:rFonts w:ascii="Times New Roman" w:hAnsi="Times New Roman" w:cs="Times New Roman" w:eastAsia="Times New Roman"/>
          <w:color w:val="auto"/>
          <w:spacing w:val="0"/>
          <w:position w:val="0"/>
          <w:sz w:val="20"/>
          <w:shd w:fill="auto" w:val="clear"/>
        </w:rPr>
      </w:pPr>
    </w:p>
    <w:p>
      <w:pPr>
        <w:spacing w:before="0" w:after="4" w:line="360"/>
        <w:ind w:right="106" w:left="112"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Ocorrências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Traumáticas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cujas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vítimas</w:t>
      </w:r>
      <w:r>
        <w:rPr>
          <w:rFonts w:ascii="Times New Roman" w:hAnsi="Times New Roman" w:cs="Times New Roman" w:eastAsia="Times New Roman"/>
          <w:color w:val="0D0D0D"/>
          <w:spacing w:val="-5"/>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de</w:t>
      </w:r>
      <w:r>
        <w:rPr>
          <w:rFonts w:ascii="Times New Roman" w:hAnsi="Times New Roman" w:cs="Times New Roman" w:eastAsia="Times New Roman"/>
          <w:color w:val="0D0D0D"/>
          <w:spacing w:val="-4"/>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trauma</w:t>
      </w:r>
      <w:r>
        <w:rPr>
          <w:rFonts w:ascii="Times New Roman" w:hAnsi="Times New Roman" w:cs="Times New Roman" w:eastAsia="Times New Roman"/>
          <w:color w:val="0D0D0D"/>
          <w:spacing w:val="-4"/>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foram</w:t>
      </w:r>
      <w:r>
        <w:rPr>
          <w:rFonts w:ascii="Times New Roman" w:hAnsi="Times New Roman" w:cs="Times New Roman" w:eastAsia="Times New Roman"/>
          <w:color w:val="0D0D0D"/>
          <w:spacing w:val="-5"/>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atendidas</w:t>
      </w:r>
      <w:r>
        <w:rPr>
          <w:rFonts w:ascii="Times New Roman" w:hAnsi="Times New Roman" w:cs="Times New Roman" w:eastAsia="Times New Roman"/>
          <w:color w:val="0D0D0D"/>
          <w:spacing w:val="-7"/>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nos</w:t>
      </w:r>
      <w:r>
        <w:rPr>
          <w:rFonts w:ascii="Times New Roman" w:hAnsi="Times New Roman" w:cs="Times New Roman" w:eastAsia="Times New Roman"/>
          <w:color w:val="0D0D0D"/>
          <w:spacing w:val="-5"/>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períodos</w:t>
      </w:r>
      <w:r>
        <w:rPr>
          <w:rFonts w:ascii="Times New Roman" w:hAnsi="Times New Roman" w:cs="Times New Roman" w:eastAsia="Times New Roman"/>
          <w:color w:val="0D0D0D"/>
          <w:spacing w:val="-5"/>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de</w:t>
      </w:r>
      <w:r>
        <w:rPr>
          <w:rFonts w:ascii="Times New Roman" w:hAnsi="Times New Roman" w:cs="Times New Roman" w:eastAsia="Times New Roman"/>
          <w:color w:val="0D0D0D"/>
          <w:spacing w:val="-4"/>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1º</w:t>
      </w:r>
      <w:r>
        <w:rPr>
          <w:rFonts w:ascii="Times New Roman" w:hAnsi="Times New Roman" w:cs="Times New Roman" w:eastAsia="Times New Roman"/>
          <w:color w:val="0D0D0D"/>
          <w:spacing w:val="-4"/>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janeiro</w:t>
      </w:r>
      <w:r>
        <w:rPr>
          <w:rFonts w:ascii="Times New Roman" w:hAnsi="Times New Roman" w:cs="Times New Roman" w:eastAsia="Times New Roman"/>
          <w:color w:val="0D0D0D"/>
          <w:spacing w:val="-6"/>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2015</w:t>
      </w:r>
      <w:r>
        <w:rPr>
          <w:rFonts w:ascii="Times New Roman" w:hAnsi="Times New Roman" w:cs="Times New Roman" w:eastAsia="Times New Roman"/>
          <w:color w:val="0D0D0D"/>
          <w:spacing w:val="-3"/>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a</w:t>
      </w:r>
      <w:r>
        <w:rPr>
          <w:rFonts w:ascii="Times New Roman" w:hAnsi="Times New Roman" w:cs="Times New Roman" w:eastAsia="Times New Roman"/>
          <w:color w:val="0D0D0D"/>
          <w:spacing w:val="-6"/>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31</w:t>
      </w:r>
      <w:r>
        <w:rPr>
          <w:rFonts w:ascii="Times New Roman" w:hAnsi="Times New Roman" w:cs="Times New Roman" w:eastAsia="Times New Roman"/>
          <w:color w:val="0D0D0D"/>
          <w:spacing w:val="-3"/>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de</w:t>
      </w:r>
      <w:r>
        <w:rPr>
          <w:rFonts w:ascii="Times New Roman" w:hAnsi="Times New Roman" w:cs="Times New Roman" w:eastAsia="Times New Roman"/>
          <w:color w:val="0D0D0D"/>
          <w:spacing w:val="-6"/>
          <w:position w:val="0"/>
          <w:sz w:val="20"/>
          <w:shd w:fill="auto" w:val="clear"/>
        </w:rPr>
        <w:t xml:space="preserve"> </w:t>
      </w:r>
      <w:r>
        <w:rPr>
          <w:rFonts w:ascii="Times New Roman" w:hAnsi="Times New Roman" w:cs="Times New Roman" w:eastAsia="Times New Roman"/>
          <w:color w:val="0D0D0D"/>
          <w:spacing w:val="0"/>
          <w:position w:val="0"/>
          <w:sz w:val="20"/>
          <w:shd w:fill="auto" w:val="clear"/>
        </w:rPr>
        <w:t xml:space="preserve">dezembro de 2016 e 1º janeiro 2019 a 31 dezembro de 2020, na área de atuação da Concessionária Econorte, na região Norte do Paraná- </w:t>
      </w:r>
      <w:r>
        <w:rPr>
          <w:rFonts w:ascii="Times New Roman" w:hAnsi="Times New Roman" w:cs="Times New Roman" w:eastAsia="Times New Roman"/>
          <w:color w:val="0D0D0D"/>
          <w:spacing w:val="-2"/>
          <w:position w:val="0"/>
          <w:sz w:val="20"/>
          <w:shd w:fill="auto" w:val="clear"/>
        </w:rPr>
        <w:t xml:space="preserve">Brasil.</w:t>
      </w:r>
    </w:p>
    <w:tbl>
      <w:tblPr>
        <w:tblInd w:w="914" w:type="dxa"/>
      </w:tblPr>
      <w:tblGrid>
        <w:gridCol w:w="3374"/>
        <w:gridCol w:w="1483"/>
        <w:gridCol w:w="1125"/>
        <w:gridCol w:w="1431"/>
        <w:gridCol w:w="1194"/>
      </w:tblGrid>
      <w:tr>
        <w:trPr>
          <w:trHeight w:val="386" w:hRule="auto"/>
          <w:jc w:val="left"/>
        </w:trPr>
        <w:tc>
          <w:tcPr>
            <w:tcW w:w="3374"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76" w:after="0" w:line="240"/>
              <w:ind w:right="0" w:left="79" w:firstLine="0"/>
              <w:jc w:val="left"/>
              <w:rPr>
                <w:color w:val="auto"/>
                <w:position w:val="0"/>
                <w:shd w:fill="auto" w:val="clear"/>
              </w:rPr>
            </w:pPr>
            <w:r>
              <w:rPr>
                <w:rFonts w:ascii="Times New Roman" w:hAnsi="Times New Roman" w:cs="Times New Roman" w:eastAsia="Times New Roman"/>
                <w:b/>
                <w:color w:val="auto"/>
                <w:spacing w:val="0"/>
                <w:position w:val="0"/>
                <w:sz w:val="18"/>
                <w:shd w:fill="auto" w:val="clear"/>
              </w:rPr>
              <w:t xml:space="preserve">Ocorrência</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2"/>
                <w:position w:val="0"/>
                <w:sz w:val="18"/>
                <w:shd w:fill="auto" w:val="clear"/>
              </w:rPr>
              <w:t xml:space="preserve">traumática</w:t>
            </w:r>
          </w:p>
        </w:tc>
        <w:tc>
          <w:tcPr>
            <w:tcW w:w="1483"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76" w:after="0" w:line="240"/>
              <w:ind w:right="0" w:left="497" w:firstLine="0"/>
              <w:jc w:val="left"/>
              <w:rPr>
                <w:color w:val="auto"/>
                <w:position w:val="0"/>
                <w:shd w:fill="auto" w:val="clear"/>
              </w:rPr>
            </w:pPr>
            <w:r>
              <w:rPr>
                <w:rFonts w:ascii="Times New Roman" w:hAnsi="Times New Roman" w:cs="Times New Roman" w:eastAsia="Times New Roman"/>
                <w:b/>
                <w:color w:val="auto"/>
                <w:spacing w:val="-2"/>
                <w:position w:val="0"/>
                <w:sz w:val="18"/>
                <w:shd w:fill="auto" w:val="clear"/>
              </w:rPr>
              <w:t xml:space="preserve">2015/2016</w:t>
            </w:r>
          </w:p>
        </w:tc>
        <w:tc>
          <w:tcPr>
            <w:tcW w:w="1125"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76" w:after="0" w:line="240"/>
              <w:ind w:right="0" w:left="212" w:firstLine="0"/>
              <w:jc w:val="left"/>
              <w:rPr>
                <w:color w:val="auto"/>
                <w:position w:val="0"/>
                <w:shd w:fill="auto" w:val="clear"/>
              </w:rPr>
            </w:pPr>
            <w:r>
              <w:rPr>
                <w:rFonts w:ascii="Times New Roman" w:hAnsi="Times New Roman" w:cs="Times New Roman" w:eastAsia="Times New Roman"/>
                <w:b/>
                <w:color w:val="auto"/>
                <w:spacing w:val="-10"/>
                <w:position w:val="0"/>
                <w:sz w:val="18"/>
                <w:shd w:fill="auto" w:val="clear"/>
              </w:rPr>
              <w:t xml:space="preserve">%</w:t>
            </w:r>
          </w:p>
        </w:tc>
        <w:tc>
          <w:tcPr>
            <w:tcW w:w="1431"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76" w:after="0" w:line="240"/>
              <w:ind w:right="0" w:left="443" w:firstLine="0"/>
              <w:jc w:val="left"/>
              <w:rPr>
                <w:color w:val="auto"/>
                <w:position w:val="0"/>
                <w:shd w:fill="auto" w:val="clear"/>
              </w:rPr>
            </w:pPr>
            <w:r>
              <w:rPr>
                <w:rFonts w:ascii="Times New Roman" w:hAnsi="Times New Roman" w:cs="Times New Roman" w:eastAsia="Times New Roman"/>
                <w:b/>
                <w:color w:val="auto"/>
                <w:spacing w:val="-2"/>
                <w:position w:val="0"/>
                <w:sz w:val="18"/>
                <w:shd w:fill="auto" w:val="clear"/>
              </w:rPr>
              <w:t xml:space="preserve">2019/2020</w:t>
            </w:r>
          </w:p>
        </w:tc>
        <w:tc>
          <w:tcPr>
            <w:tcW w:w="1194"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76" w:after="0" w:line="240"/>
              <w:ind w:right="0" w:left="213" w:firstLine="0"/>
              <w:jc w:val="left"/>
              <w:rPr>
                <w:color w:val="auto"/>
                <w:position w:val="0"/>
                <w:shd w:fill="auto" w:val="clear"/>
              </w:rPr>
            </w:pPr>
            <w:r>
              <w:rPr>
                <w:rFonts w:ascii="Times New Roman" w:hAnsi="Times New Roman" w:cs="Times New Roman" w:eastAsia="Times New Roman"/>
                <w:b/>
                <w:color w:val="auto"/>
                <w:spacing w:val="-10"/>
                <w:position w:val="0"/>
                <w:sz w:val="18"/>
                <w:shd w:fill="auto" w:val="clear"/>
              </w:rPr>
              <w:t xml:space="preserve">%</w:t>
            </w:r>
          </w:p>
        </w:tc>
      </w:tr>
      <w:tr>
        <w:trPr>
          <w:trHeight w:val="377" w:hRule="auto"/>
          <w:jc w:val="left"/>
        </w:trPr>
        <w:tc>
          <w:tcPr>
            <w:tcW w:w="3374"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76" w:after="0" w:line="240"/>
              <w:ind w:right="0" w:left="79"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Abalroamento</w:t>
            </w:r>
          </w:p>
        </w:tc>
        <w:tc>
          <w:tcPr>
            <w:tcW w:w="1483"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76" w:after="0" w:line="240"/>
              <w:ind w:right="0" w:left="497"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5</w:t>
            </w:r>
          </w:p>
        </w:tc>
        <w:tc>
          <w:tcPr>
            <w:tcW w:w="1125"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76" w:after="0" w:line="240"/>
              <w:ind w:right="0" w:left="212"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2,8%</w:t>
            </w:r>
          </w:p>
        </w:tc>
        <w:tc>
          <w:tcPr>
            <w:tcW w:w="1431"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76" w:after="0" w:line="240"/>
              <w:ind w:right="0" w:left="443"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5</w:t>
            </w:r>
          </w:p>
        </w:tc>
        <w:tc>
          <w:tcPr>
            <w:tcW w:w="1194"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76" w:after="0" w:line="240"/>
              <w:ind w:right="0" w:left="213"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3,1%</w:t>
            </w:r>
          </w:p>
        </w:tc>
      </w:tr>
      <w:tr>
        <w:trPr>
          <w:trHeight w:val="386" w:hRule="auto"/>
          <w:jc w:val="left"/>
        </w:trPr>
        <w:tc>
          <w:tcPr>
            <w:tcW w:w="3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7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Atropelamento De</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Pessoas</w:t>
            </w:r>
          </w:p>
        </w:tc>
        <w:tc>
          <w:tcPr>
            <w:tcW w:w="14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497"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10</w:t>
            </w:r>
          </w:p>
        </w:tc>
        <w:tc>
          <w:tcPr>
            <w:tcW w:w="11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212"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5,6%</w:t>
            </w:r>
          </w:p>
        </w:tc>
        <w:tc>
          <w:tcPr>
            <w:tcW w:w="143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443"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5</w:t>
            </w:r>
          </w:p>
        </w:tc>
        <w:tc>
          <w:tcPr>
            <w:tcW w:w="119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213"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3,1%</w:t>
            </w:r>
          </w:p>
        </w:tc>
      </w:tr>
      <w:tr>
        <w:trPr>
          <w:trHeight w:val="385" w:hRule="auto"/>
          <w:jc w:val="left"/>
        </w:trPr>
        <w:tc>
          <w:tcPr>
            <w:tcW w:w="3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79"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Capotamento</w:t>
            </w:r>
          </w:p>
        </w:tc>
        <w:tc>
          <w:tcPr>
            <w:tcW w:w="14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497"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29</w:t>
            </w:r>
          </w:p>
        </w:tc>
        <w:tc>
          <w:tcPr>
            <w:tcW w:w="11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212"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16,4%</w:t>
            </w:r>
          </w:p>
        </w:tc>
        <w:tc>
          <w:tcPr>
            <w:tcW w:w="143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44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11</w:t>
            </w:r>
          </w:p>
        </w:tc>
        <w:tc>
          <w:tcPr>
            <w:tcW w:w="119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213"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6,7%</w:t>
            </w:r>
          </w:p>
        </w:tc>
      </w:tr>
      <w:tr>
        <w:trPr>
          <w:trHeight w:val="385" w:hRule="auto"/>
          <w:jc w:val="left"/>
        </w:trPr>
        <w:tc>
          <w:tcPr>
            <w:tcW w:w="3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5" w:after="0" w:line="240"/>
              <w:ind w:right="0" w:left="7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Colisão</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Com</w:t>
            </w:r>
            <w:r>
              <w:rPr>
                <w:rFonts w:ascii="Times New Roman" w:hAnsi="Times New Roman" w:cs="Times New Roman" w:eastAsia="Times New Roman"/>
                <w:color w:val="auto"/>
                <w:spacing w:val="-2"/>
                <w:position w:val="0"/>
                <w:sz w:val="18"/>
                <w:shd w:fill="auto" w:val="clear"/>
              </w:rPr>
              <w:t xml:space="preserve"> Animais</w:t>
            </w:r>
          </w:p>
        </w:tc>
        <w:tc>
          <w:tcPr>
            <w:tcW w:w="14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5" w:after="0" w:line="240"/>
              <w:ind w:right="0" w:left="212"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0,0%</w:t>
            </w:r>
          </w:p>
        </w:tc>
        <w:tc>
          <w:tcPr>
            <w:tcW w:w="143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5" w:after="0" w:line="240"/>
              <w:ind w:right="0" w:left="443"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1</w:t>
            </w:r>
          </w:p>
        </w:tc>
        <w:tc>
          <w:tcPr>
            <w:tcW w:w="119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5" w:after="0" w:line="240"/>
              <w:ind w:right="0" w:left="213"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0,6%</w:t>
            </w:r>
          </w:p>
        </w:tc>
      </w:tr>
      <w:tr>
        <w:trPr>
          <w:trHeight w:val="386" w:hRule="auto"/>
          <w:jc w:val="left"/>
        </w:trPr>
        <w:tc>
          <w:tcPr>
            <w:tcW w:w="3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7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Colisão</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Com</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Objeto</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4"/>
                <w:position w:val="0"/>
                <w:sz w:val="18"/>
                <w:shd w:fill="auto" w:val="clear"/>
              </w:rPr>
              <w:t xml:space="preserve">Fixo</w:t>
            </w:r>
          </w:p>
        </w:tc>
        <w:tc>
          <w:tcPr>
            <w:tcW w:w="14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497"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14</w:t>
            </w:r>
          </w:p>
        </w:tc>
        <w:tc>
          <w:tcPr>
            <w:tcW w:w="11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212"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7,9%</w:t>
            </w:r>
          </w:p>
        </w:tc>
        <w:tc>
          <w:tcPr>
            <w:tcW w:w="143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44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19</w:t>
            </w:r>
          </w:p>
        </w:tc>
        <w:tc>
          <w:tcPr>
            <w:tcW w:w="119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213"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11,7%</w:t>
            </w:r>
          </w:p>
        </w:tc>
      </w:tr>
      <w:tr>
        <w:trPr>
          <w:trHeight w:val="386" w:hRule="auto"/>
          <w:jc w:val="left"/>
        </w:trPr>
        <w:tc>
          <w:tcPr>
            <w:tcW w:w="3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7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Colisão</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Veículo</w:t>
            </w:r>
            <w:r>
              <w:rPr>
                <w:rFonts w:ascii="Times New Roman" w:hAnsi="Times New Roman" w:cs="Times New Roman" w:eastAsia="Times New Roman"/>
                <w:color w:val="auto"/>
                <w:spacing w:val="-2"/>
                <w:position w:val="0"/>
                <w:sz w:val="18"/>
                <w:shd w:fill="auto" w:val="clear"/>
              </w:rPr>
              <w:t xml:space="preserve"> Lateral</w:t>
            </w:r>
          </w:p>
        </w:tc>
        <w:tc>
          <w:tcPr>
            <w:tcW w:w="14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497"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1</w:t>
            </w:r>
          </w:p>
        </w:tc>
        <w:tc>
          <w:tcPr>
            <w:tcW w:w="11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212"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0,6%</w:t>
            </w:r>
          </w:p>
        </w:tc>
        <w:tc>
          <w:tcPr>
            <w:tcW w:w="143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44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20</w:t>
            </w:r>
          </w:p>
        </w:tc>
        <w:tc>
          <w:tcPr>
            <w:tcW w:w="119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213"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12,3%</w:t>
            </w:r>
          </w:p>
        </w:tc>
      </w:tr>
      <w:tr>
        <w:trPr>
          <w:trHeight w:val="386" w:hRule="auto"/>
          <w:jc w:val="left"/>
        </w:trPr>
        <w:tc>
          <w:tcPr>
            <w:tcW w:w="3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7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Colisão</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Veículo</w:t>
            </w:r>
            <w:r>
              <w:rPr>
                <w:rFonts w:ascii="Times New Roman" w:hAnsi="Times New Roman" w:cs="Times New Roman" w:eastAsia="Times New Roman"/>
                <w:color w:val="auto"/>
                <w:spacing w:val="-2"/>
                <w:position w:val="0"/>
                <w:sz w:val="18"/>
                <w:shd w:fill="auto" w:val="clear"/>
              </w:rPr>
              <w:t xml:space="preserve"> Transversal</w:t>
            </w:r>
          </w:p>
        </w:tc>
        <w:tc>
          <w:tcPr>
            <w:tcW w:w="14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497"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3</w:t>
            </w:r>
          </w:p>
        </w:tc>
        <w:tc>
          <w:tcPr>
            <w:tcW w:w="11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212"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1,7%</w:t>
            </w:r>
          </w:p>
        </w:tc>
        <w:tc>
          <w:tcPr>
            <w:tcW w:w="143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443"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2</w:t>
            </w:r>
          </w:p>
        </w:tc>
        <w:tc>
          <w:tcPr>
            <w:tcW w:w="119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213"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1,2%</w:t>
            </w:r>
          </w:p>
        </w:tc>
      </w:tr>
      <w:tr>
        <w:trPr>
          <w:trHeight w:val="386" w:hRule="auto"/>
          <w:jc w:val="left"/>
        </w:trPr>
        <w:tc>
          <w:tcPr>
            <w:tcW w:w="3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7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Colisão</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Veículo</w:t>
            </w:r>
            <w:r>
              <w:rPr>
                <w:rFonts w:ascii="Times New Roman" w:hAnsi="Times New Roman" w:cs="Times New Roman" w:eastAsia="Times New Roman"/>
                <w:color w:val="auto"/>
                <w:spacing w:val="-2"/>
                <w:position w:val="0"/>
                <w:sz w:val="18"/>
                <w:shd w:fill="auto" w:val="clear"/>
              </w:rPr>
              <w:t xml:space="preserve"> Traseira</w:t>
            </w:r>
          </w:p>
        </w:tc>
        <w:tc>
          <w:tcPr>
            <w:tcW w:w="14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497"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5</w:t>
            </w:r>
          </w:p>
        </w:tc>
        <w:tc>
          <w:tcPr>
            <w:tcW w:w="11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212"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2,8%</w:t>
            </w:r>
          </w:p>
        </w:tc>
        <w:tc>
          <w:tcPr>
            <w:tcW w:w="143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44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32</w:t>
            </w:r>
          </w:p>
        </w:tc>
        <w:tc>
          <w:tcPr>
            <w:tcW w:w="119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213"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19,6%</w:t>
            </w:r>
          </w:p>
        </w:tc>
      </w:tr>
      <w:tr>
        <w:trPr>
          <w:trHeight w:val="385" w:hRule="auto"/>
          <w:jc w:val="left"/>
        </w:trPr>
        <w:tc>
          <w:tcPr>
            <w:tcW w:w="3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7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Colisão De</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Veículos</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não</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especificadas</w:t>
            </w:r>
          </w:p>
        </w:tc>
        <w:tc>
          <w:tcPr>
            <w:tcW w:w="14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497"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49</w:t>
            </w:r>
          </w:p>
        </w:tc>
        <w:tc>
          <w:tcPr>
            <w:tcW w:w="11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212"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27,7%</w:t>
            </w:r>
          </w:p>
        </w:tc>
        <w:tc>
          <w:tcPr>
            <w:tcW w:w="143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443"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1</w:t>
            </w:r>
          </w:p>
        </w:tc>
        <w:tc>
          <w:tcPr>
            <w:tcW w:w="119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213"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0,6%</w:t>
            </w:r>
          </w:p>
        </w:tc>
      </w:tr>
      <w:tr>
        <w:trPr>
          <w:trHeight w:val="385" w:hRule="auto"/>
          <w:jc w:val="left"/>
        </w:trPr>
        <w:tc>
          <w:tcPr>
            <w:tcW w:w="3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4" w:after="0" w:line="240"/>
              <w:ind w:right="0" w:left="7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Colisão</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Veículos</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Frontal</w:t>
            </w:r>
          </w:p>
        </w:tc>
        <w:tc>
          <w:tcPr>
            <w:tcW w:w="14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4" w:after="0" w:line="240"/>
              <w:ind w:right="0" w:left="497"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4</w:t>
            </w:r>
          </w:p>
        </w:tc>
        <w:tc>
          <w:tcPr>
            <w:tcW w:w="11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4" w:after="0" w:line="240"/>
              <w:ind w:right="0" w:left="212"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2,3%</w:t>
            </w:r>
          </w:p>
        </w:tc>
        <w:tc>
          <w:tcPr>
            <w:tcW w:w="143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4" w:after="0" w:line="240"/>
              <w:ind w:right="0" w:left="44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15</w:t>
            </w:r>
          </w:p>
        </w:tc>
        <w:tc>
          <w:tcPr>
            <w:tcW w:w="119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4" w:after="0" w:line="240"/>
              <w:ind w:right="0" w:left="213"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9,2%</w:t>
            </w:r>
          </w:p>
        </w:tc>
      </w:tr>
      <w:tr>
        <w:trPr>
          <w:trHeight w:val="386" w:hRule="auto"/>
          <w:jc w:val="left"/>
        </w:trPr>
        <w:tc>
          <w:tcPr>
            <w:tcW w:w="3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7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Queda</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Bicicleta</w:t>
            </w:r>
          </w:p>
        </w:tc>
        <w:tc>
          <w:tcPr>
            <w:tcW w:w="14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497"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1</w:t>
            </w:r>
          </w:p>
        </w:tc>
        <w:tc>
          <w:tcPr>
            <w:tcW w:w="11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212"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0,6%</w:t>
            </w:r>
          </w:p>
        </w:tc>
        <w:tc>
          <w:tcPr>
            <w:tcW w:w="143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443"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4</w:t>
            </w:r>
          </w:p>
        </w:tc>
        <w:tc>
          <w:tcPr>
            <w:tcW w:w="119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213"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2,5%</w:t>
            </w:r>
          </w:p>
        </w:tc>
      </w:tr>
      <w:tr>
        <w:trPr>
          <w:trHeight w:val="386" w:hRule="auto"/>
          <w:jc w:val="left"/>
        </w:trPr>
        <w:tc>
          <w:tcPr>
            <w:tcW w:w="3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7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Queda</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4"/>
                <w:position w:val="0"/>
                <w:sz w:val="18"/>
                <w:shd w:fill="auto" w:val="clear"/>
              </w:rPr>
              <w:t xml:space="preserve">Moto</w:t>
            </w:r>
          </w:p>
        </w:tc>
        <w:tc>
          <w:tcPr>
            <w:tcW w:w="14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497"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27</w:t>
            </w:r>
          </w:p>
        </w:tc>
        <w:tc>
          <w:tcPr>
            <w:tcW w:w="11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212"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15,3%</w:t>
            </w:r>
          </w:p>
        </w:tc>
        <w:tc>
          <w:tcPr>
            <w:tcW w:w="143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44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29</w:t>
            </w:r>
          </w:p>
        </w:tc>
        <w:tc>
          <w:tcPr>
            <w:tcW w:w="119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213"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17,8%</w:t>
            </w:r>
          </w:p>
        </w:tc>
      </w:tr>
      <w:tr>
        <w:trPr>
          <w:trHeight w:val="386" w:hRule="auto"/>
          <w:jc w:val="left"/>
        </w:trPr>
        <w:tc>
          <w:tcPr>
            <w:tcW w:w="3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7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Queda</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Nível</w:t>
            </w:r>
          </w:p>
        </w:tc>
        <w:tc>
          <w:tcPr>
            <w:tcW w:w="14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497"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1</w:t>
            </w:r>
          </w:p>
        </w:tc>
        <w:tc>
          <w:tcPr>
            <w:tcW w:w="11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212"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0,6%</w:t>
            </w:r>
          </w:p>
        </w:tc>
        <w:tc>
          <w:tcPr>
            <w:tcW w:w="143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443"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1</w:t>
            </w:r>
          </w:p>
        </w:tc>
        <w:tc>
          <w:tcPr>
            <w:tcW w:w="119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213"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0,6%</w:t>
            </w:r>
          </w:p>
        </w:tc>
      </w:tr>
      <w:tr>
        <w:trPr>
          <w:trHeight w:val="386" w:hRule="auto"/>
          <w:jc w:val="left"/>
        </w:trPr>
        <w:tc>
          <w:tcPr>
            <w:tcW w:w="337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79"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Saída</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Pista</w:t>
            </w:r>
          </w:p>
        </w:tc>
        <w:tc>
          <w:tcPr>
            <w:tcW w:w="148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497"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19</w:t>
            </w:r>
          </w:p>
        </w:tc>
        <w:tc>
          <w:tcPr>
            <w:tcW w:w="11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212"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10,7%</w:t>
            </w:r>
          </w:p>
        </w:tc>
        <w:tc>
          <w:tcPr>
            <w:tcW w:w="143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443"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12</w:t>
            </w:r>
          </w:p>
        </w:tc>
        <w:tc>
          <w:tcPr>
            <w:tcW w:w="119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6" w:after="0" w:line="240"/>
              <w:ind w:right="0" w:left="213"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7,4%</w:t>
            </w:r>
          </w:p>
        </w:tc>
      </w:tr>
      <w:tr>
        <w:trPr>
          <w:trHeight w:val="395" w:hRule="auto"/>
          <w:jc w:val="left"/>
        </w:trPr>
        <w:tc>
          <w:tcPr>
            <w:tcW w:w="3374"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86" w:after="0" w:line="240"/>
              <w:ind w:right="0" w:left="79" w:firstLine="0"/>
              <w:jc w:val="lef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Tombamento</w:t>
            </w:r>
          </w:p>
        </w:tc>
        <w:tc>
          <w:tcPr>
            <w:tcW w:w="1483"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86" w:after="0" w:line="240"/>
              <w:ind w:right="0" w:left="497"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9</w:t>
            </w:r>
          </w:p>
        </w:tc>
        <w:tc>
          <w:tcPr>
            <w:tcW w:w="1125"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86" w:after="0" w:line="240"/>
              <w:ind w:right="0" w:left="212"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5,1%</w:t>
            </w:r>
          </w:p>
        </w:tc>
        <w:tc>
          <w:tcPr>
            <w:tcW w:w="1431"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86" w:after="0" w:line="240"/>
              <w:ind w:right="0" w:left="443" w:firstLine="0"/>
              <w:jc w:val="left"/>
              <w:rPr>
                <w:color w:val="auto"/>
                <w:position w:val="0"/>
                <w:shd w:fill="auto" w:val="clear"/>
              </w:rPr>
            </w:pPr>
            <w:r>
              <w:rPr>
                <w:rFonts w:ascii="Times New Roman" w:hAnsi="Times New Roman" w:cs="Times New Roman" w:eastAsia="Times New Roman"/>
                <w:color w:val="auto"/>
                <w:spacing w:val="-10"/>
                <w:position w:val="0"/>
                <w:sz w:val="18"/>
                <w:shd w:fill="auto" w:val="clear"/>
              </w:rPr>
              <w:t xml:space="preserve">6</w:t>
            </w:r>
          </w:p>
        </w:tc>
        <w:tc>
          <w:tcPr>
            <w:tcW w:w="1194" w:type="dxa"/>
            <w:tcBorders>
              <w:top w:val="single" w:color="000000" w:sz="0"/>
              <w:left w:val="single" w:color="000000" w:sz="0"/>
              <w:bottom w:val="single" w:color="000000" w:sz="4"/>
              <w:right w:val="single" w:color="000000" w:sz="0"/>
            </w:tcBorders>
            <w:shd w:color="000000" w:fill="ffffff" w:val="clear"/>
            <w:tcMar>
              <w:left w:w="0" w:type="dxa"/>
              <w:right w:w="0" w:type="dxa"/>
            </w:tcMar>
            <w:vAlign w:val="top"/>
          </w:tcPr>
          <w:p>
            <w:pPr>
              <w:spacing w:before="86" w:after="0" w:line="240"/>
              <w:ind w:right="0" w:left="213" w:firstLine="0"/>
              <w:jc w:val="left"/>
              <w:rPr>
                <w:color w:val="auto"/>
                <w:position w:val="0"/>
                <w:shd w:fill="auto" w:val="clear"/>
              </w:rPr>
            </w:pPr>
            <w:r>
              <w:rPr>
                <w:rFonts w:ascii="Times New Roman" w:hAnsi="Times New Roman" w:cs="Times New Roman" w:eastAsia="Times New Roman"/>
                <w:color w:val="auto"/>
                <w:spacing w:val="-4"/>
                <w:position w:val="0"/>
                <w:sz w:val="18"/>
                <w:shd w:fill="auto" w:val="clear"/>
              </w:rPr>
              <w:t xml:space="preserve">3,7%</w:t>
            </w:r>
          </w:p>
        </w:tc>
      </w:tr>
    </w:tbl>
    <w:p>
      <w:pPr>
        <w:spacing w:before="101" w:after="0" w:line="240"/>
        <w:ind w:right="0" w:left="2"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Fonte:</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Autores </w:t>
      </w:r>
      <w:r>
        <w:rPr>
          <w:rFonts w:ascii="Times New Roman" w:hAnsi="Times New Roman" w:cs="Times New Roman" w:eastAsia="Times New Roman"/>
          <w:color w:val="auto"/>
          <w:spacing w:val="-2"/>
          <w:position w:val="0"/>
          <w:sz w:val="18"/>
          <w:shd w:fill="auto" w:val="clear"/>
        </w:rPr>
        <w:t xml:space="preserve">(2022).</w:t>
      </w:r>
    </w:p>
    <w:p>
      <w:pPr>
        <w:spacing w:before="138"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360"/>
        <w:ind w:right="106" w:left="112" w:firstLine="85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relação à classificação de risco por cores aplicada ao grupo Controle de Atendimento (CA) 14 documentos não apresentavam 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classificação 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vítima,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 em 2015/2016 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 em 2019/</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foram excluídos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tabela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analisados no primeiro período 82,0% foram encaminhados corretamente para o local</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referenciado e 18,0% foram encaminhados erroneamente para o local não referenciado, no segundo período 78,6% foram encaminhados corretamente para o local referenciado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21,4%</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encaminhados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erroneamente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referenciado.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encaminhamentos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errados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grupo 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73,3%</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foram</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subtriagens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26.7%</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supertriagens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70,6%</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foram</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subtriagens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29,4%</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foram</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supertriagens no segundo período.</w:t>
      </w:r>
    </w:p>
    <w:p>
      <w:pPr>
        <w:spacing w:before="0" w:after="0" w:line="360"/>
        <w:ind w:right="110"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grupo Boletim de Ocorrência foram excluídos 163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boletins no período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2015 e 2016</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6 boletins 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2019 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2020 por não apresentarem classificação de risco; e os encaminhamentos errados corresponderam a um percentual de 14,3% no primeiro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17,8%</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período.Dentre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encaminhamentos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erroneamente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grupo BO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100% foram subtriagens que ocorreram no primeiro período e no segundo período 68% foram subtriagens e 32% </w:t>
      </w:r>
      <w:r>
        <w:rPr>
          <w:rFonts w:ascii="Times New Roman" w:hAnsi="Times New Roman" w:cs="Times New Roman" w:eastAsia="Times New Roman"/>
          <w:color w:val="auto"/>
          <w:spacing w:val="-2"/>
          <w:position w:val="0"/>
          <w:sz w:val="20"/>
          <w:shd w:fill="auto" w:val="clear"/>
        </w:rPr>
        <w:t xml:space="preserve">supertriagens.</w:t>
      </w:r>
    </w:p>
    <w:p>
      <w:pPr>
        <w:spacing w:before="115"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09"/>
        </w:numPr>
        <w:tabs>
          <w:tab w:val="left" w:pos="352" w:leader="none"/>
        </w:tabs>
        <w:spacing w:before="1" w:after="0" w:line="240"/>
        <w:ind w:right="0" w:left="35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Discussão</w:t>
      </w:r>
    </w:p>
    <w:p>
      <w:pPr>
        <w:spacing w:before="138" w:after="0" w:line="360"/>
        <w:ind w:right="116"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nosso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vítimas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gênero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masculino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faixa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etária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19</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29</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foram</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acometidos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trauma. Na cidade de Ruanda, nos anos de 2015 e 2016 a predominância do gênero foi masculino, e a faixa etária de 32 anos foi responsável 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73,2% dos casos. Em nosso estudo no mesmo período e na mesma faixa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etária as vítimas do gênero masculino foram 19,2% dos casos (Tang et al., 2021).</w:t>
      </w:r>
    </w:p>
    <w:p>
      <w:pPr>
        <w:spacing w:before="0" w:after="0" w:line="360"/>
        <w:ind w:right="107"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Brown et al., (2016), observaram que as populações mais idosas fazem parte do menor indicador de atendimento ao trauma, 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 abaixo 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4,5%.</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Embora sejam poucos casos, estudos mostram que as populações idosas devem ser estudadas separadamente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requerem</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estratégias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triagem</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diferenciadas,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prognóstico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tornar-se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independentemente do nível de trauma. Encontramos 14,1% das vítimas com idade maior que 60 anos.</w:t>
      </w:r>
    </w:p>
    <w:p>
      <w:pPr>
        <w:spacing w:before="1" w:after="0" w:line="360"/>
        <w:ind w:right="108"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Hartka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(2019),</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advogam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aumento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idade,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propensão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lesões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Analisando este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principais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acometidos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trauma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jovens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adultos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evidenciando-se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poucos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traumas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 pessoas idosas.</w:t>
      </w:r>
    </w:p>
    <w:p>
      <w:pPr>
        <w:spacing w:before="0" w:after="0" w:line="360"/>
        <w:ind w:right="116" w:left="112"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A posição das vítimas no momento do acidente variou entre os períodos. No primeiro período houve um índice maior de acidentes por colisões de veículos não especificadas, e em segundo lugar o capotamento, onde as vítimas em sua maioria foram garupas e condutores. Mas, no segundo período, predominou a colisão traseira, seguida da queda de moto e as vítimas sendo acompanhantes traseiros e condutores.</w:t>
      </w:r>
    </w:p>
    <w:p>
      <w:pPr>
        <w:spacing w:before="0" w:after="0" w:line="360"/>
        <w:ind w:right="107"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Foi importante o número de BO excluídos no primeiro período que ao fizeram parte do estudo por falta de registro na classificação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vítimas.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Naquele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tendência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socorristas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relatarem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verbalmente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 das vítimas para a central de regulação. Já no segundo período os BO em sua maioria têm a classificação de risco registrada, o que atualmente já é regulamentado e obrigatório.</w:t>
      </w:r>
    </w:p>
    <w:p>
      <w:pPr>
        <w:spacing w:before="1" w:after="0" w:line="360"/>
        <w:ind w:right="107"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2019 na Etiópia foi realizado um estudo sobre a gravidade da lesão de vítimas de acidentes, em virtude de ser um local atendimento pré-hospitalar pouco acessível a as vítimas, em sua maioria, se deslocam com terceiros ao hospital. Neste estudo essas as vítimas de acidentes foram triadas de acordo com um novo modelo de classificação para lesões como leve, moderada ou grave, com boa correspondência ao estado clínico dos pacientes (Gebresenbet &amp; Aliyu, 2019) O Sistema de classificação de risco baseado no PHTLS tende a favorecer a uma classificação mais fidedigna.</w:t>
      </w:r>
    </w:p>
    <w:p>
      <w:pPr>
        <w:spacing w:before="0" w:after="0" w:line="360"/>
        <w:ind w:right="104"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2019,</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transporte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 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hospital</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complexidade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hospital</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nível mais complexo, reforçam a importância do atendimento primário da vítima com a classificação de risco correta e o transporte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apropriado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vidas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virtude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facilidades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já</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disponíveis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ambulância pré-hospitalar,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prevenção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subtriagem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diminuir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mortalidade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 (Newberry</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 al., 2020)</w:t>
      </w:r>
    </w:p>
    <w:p>
      <w:pPr>
        <w:spacing w:before="0" w:after="0" w:line="360"/>
        <w:ind w:right="103"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Noruega foi realizada uma pesquisa com uma nova ferramenta de triagem e, através desta, constou-se que os protocolos já existentes tinham baixa sensibilidade para identificar lesões graves. Por outro lado, as vítimas com lesões graves tiveram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atendimentos,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taxa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87%</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supertriagem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contribuindo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problemas nos centros hospitalares como a superutilização de recursos disponíveis, humanos e econômicos(Vinjevoll et al., 2018). Em nosso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constatamos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problema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identificado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subtriagem</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importância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eleva,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pois,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reflete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diretamente na saúde das vítimas.</w:t>
      </w:r>
    </w:p>
    <w:p>
      <w:pPr>
        <w:spacing w:before="0" w:after="0" w:line="360"/>
        <w:ind w:right="107"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rodovias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BR-369</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PR-862,</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caracterizadas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apresentarem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acidentes.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BR-369</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 cobertura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atendimento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pré-hospitalar</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131</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quilômetros,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862</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atendem</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quilômetros,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ambas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conectam</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cidades de menor porte e com hospitais de níveis secundários com poucos recursos matérias e humanos. Mesmo assim, observamos dentre os casos atendidos, maiores índices de subtriagem.</w:t>
      </w:r>
    </w:p>
    <w:p>
      <w:pPr>
        <w:spacing w:before="1" w:after="0" w:line="360"/>
        <w:ind w:right="104"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citações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publicadas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i/>
          <w:color w:val="auto"/>
          <w:spacing w:val="0"/>
          <w:position w:val="0"/>
          <w:sz w:val="20"/>
          <w:shd w:fill="auto" w:val="clear"/>
        </w:rPr>
        <w:t xml:space="preserve">American</w:t>
      </w:r>
      <w:r>
        <w:rPr>
          <w:rFonts w:ascii="Times New Roman" w:hAnsi="Times New Roman" w:cs="Times New Roman" w:eastAsia="Times New Roman"/>
          <w:i/>
          <w:color w:val="auto"/>
          <w:spacing w:val="-2"/>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College</w:t>
      </w:r>
      <w:r>
        <w:rPr>
          <w:rFonts w:ascii="Times New Roman" w:hAnsi="Times New Roman" w:cs="Times New Roman" w:eastAsia="Times New Roman"/>
          <w:i/>
          <w:color w:val="auto"/>
          <w:spacing w:val="-5"/>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of</w:t>
      </w:r>
      <w:r>
        <w:rPr>
          <w:rFonts w:ascii="Times New Roman" w:hAnsi="Times New Roman" w:cs="Times New Roman" w:eastAsia="Times New Roman"/>
          <w:i/>
          <w:color w:val="auto"/>
          <w:spacing w:val="-6"/>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Surgeons</w:t>
      </w:r>
      <w:r>
        <w:rPr>
          <w:rFonts w:ascii="Times New Roman" w:hAnsi="Times New Roman" w:cs="Times New Roman" w:eastAsia="Times New Roman"/>
          <w:i/>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w:t>
      </w:r>
      <w:r>
        <w:rPr>
          <w:rFonts w:ascii="Times New Roman" w:hAnsi="Times New Roman" w:cs="Times New Roman" w:eastAsia="Times New Roman"/>
          <w:i/>
          <w:color w:val="auto"/>
          <w:spacing w:val="-4"/>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Committee</w:t>
      </w:r>
      <w:r>
        <w:rPr>
          <w:rFonts w:ascii="Times New Roman" w:hAnsi="Times New Roman" w:cs="Times New Roman" w:eastAsia="Times New Roman"/>
          <w:i/>
          <w:color w:val="auto"/>
          <w:spacing w:val="-3"/>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on</w:t>
      </w:r>
      <w:r>
        <w:rPr>
          <w:rFonts w:ascii="Times New Roman" w:hAnsi="Times New Roman" w:cs="Times New Roman" w:eastAsia="Times New Roman"/>
          <w:i/>
          <w:color w:val="auto"/>
          <w:spacing w:val="-2"/>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Trauma </w:t>
      </w:r>
      <w:r>
        <w:rPr>
          <w:rFonts w:ascii="Times New Roman" w:hAnsi="Times New Roman" w:cs="Times New Roman" w:eastAsia="Times New Roman"/>
          <w:color w:val="auto"/>
          <w:spacing w:val="0"/>
          <w:position w:val="0"/>
          <w:sz w:val="20"/>
          <w:shd w:fill="auto" w:val="clear"/>
        </w:rPr>
        <w:t xml:space="preserve">(ACS-COT)</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recomenda- se que as taxas de subtriagem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 devem ultrapassar 5% e as de supertriagem 50% (Hartka et al., 2019) Nosso estudo mostrou que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analisadas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fichas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Atendimento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subtriagem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aconteceu</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13,2%</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atendidos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 período e 15,1% dos casos atendidos no segundo período e nas fichas de Boletim de Ocorrência a subtriagem aconteceu em 14,3% dos casos atendidos no primeiro período e 12,1% dos casos atendidos no segundo período, taxas acima do previsto. Por isso acreditamos ser importante desenvolver um cartão facilitador da classificação de risco para ser fixado às pranchetas dos socorristas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também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afixado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central</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regulação,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nortear</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facilitar</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vítimas,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 vídeo para sensibilização e orientação sobre a classificação de risco baseada no PHTLS.</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321"/>
        </w:numPr>
        <w:tabs>
          <w:tab w:val="left" w:pos="352" w:leader="none"/>
        </w:tabs>
        <w:spacing w:before="81" w:after="0" w:line="240"/>
        <w:ind w:right="0" w:left="35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Conclusão</w:t>
      </w:r>
    </w:p>
    <w:p>
      <w:pPr>
        <w:spacing w:before="138" w:after="0" w:line="360"/>
        <w:ind w:right="120"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número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Boletins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Ocorrência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preenchimento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neles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classificação de risco das vítimas estavam registradas.</w:t>
      </w:r>
    </w:p>
    <w:p>
      <w:pPr>
        <w:spacing w:before="1" w:after="0" w:line="360"/>
        <w:ind w:right="118"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Dentre as classificações de risco inadequadas, tanto nas análises dos Boletins de Ocorrência quanto das fichas de Controle de Atendimento houve predomínio de subtriagem nos dois períodos analisados.</w:t>
      </w:r>
    </w:p>
    <w:p>
      <w:pPr>
        <w:spacing w:before="0" w:after="0" w:line="360"/>
        <w:ind w:right="106"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ambos períodos estudado o maior problema foi preenchimento incompleto dos Boletins de Ocorrência e para facilitar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preenchimento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através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desenvolvido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cartão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facilitador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sugestão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 serem anexados às pranchetas dos socorristas junto os formulários dos Boletins de Ocorrência a serem preenchidos.</w:t>
      </w:r>
    </w:p>
    <w:p>
      <w:pPr>
        <w:spacing w:before="1" w:after="0" w:line="357"/>
        <w:ind w:right="107"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Acreditamos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futuros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possam</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desenvolvidos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abrangendo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crianças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idosos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melhor</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entendimento do atendimento pré-hospitalar nestas faixas etárias.</w:t>
      </w:r>
    </w:p>
    <w:p>
      <w:pPr>
        <w:spacing w:before="18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0" w:left="112"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Referências</w:t>
      </w:r>
    </w:p>
    <w:p>
      <w:pPr>
        <w:spacing w:before="142" w:after="0" w:line="240"/>
        <w:ind w:right="104"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Ali Ali,</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Lefering,</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 Fortun</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Moral,</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Belzunegui Otano, T. (2017).</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Epidemiological</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comparison</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between</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the Navarra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Major Trauma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Registry</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and</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the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German Trauma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Registry</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(TR-DGU®).</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Scandinavian</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Journal</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of Trauma,</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Resuscitation</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and</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Emergency</w:t>
      </w:r>
      <w:r>
        <w:rPr>
          <w:rFonts w:ascii="Times New Roman" w:hAnsi="Times New Roman" w:cs="Times New Roman" w:eastAsia="Times New Roman"/>
          <w:i/>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Medicine</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25</w:t>
      </w:r>
      <w:r>
        <w:rPr>
          <w:rFonts w:ascii="Times New Roman" w:hAnsi="Times New Roman" w:cs="Times New Roman" w:eastAsia="Times New Roman"/>
          <w:color w:val="auto"/>
          <w:spacing w:val="0"/>
          <w:position w:val="0"/>
          <w:sz w:val="16"/>
          <w:shd w:fill="auto" w:val="clear"/>
        </w:rPr>
        <w:t xml:space="preserve">(1),</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107.</w:t>
      </w:r>
      <w:r>
        <w:rPr>
          <w:rFonts w:ascii="Times New Roman" w:hAnsi="Times New Roman" w:cs="Times New Roman" w:eastAsia="Times New Roman"/>
          <w:color w:val="auto"/>
          <w:spacing w:val="-1"/>
          <w:position w:val="0"/>
          <w:sz w:val="16"/>
          <w:shd w:fill="auto" w:val="clear"/>
        </w:rPr>
        <w:t xml:space="preserve"> </w:t>
      </w:r>
      <w:hyperlink xmlns:r="http://schemas.openxmlformats.org/officeDocument/2006/relationships" r:id="docRId0">
        <w:r>
          <w:rPr>
            <w:rFonts w:ascii="Times New Roman" w:hAnsi="Times New Roman" w:cs="Times New Roman" w:eastAsia="Times New Roman"/>
            <w:color w:val="0000FF"/>
            <w:spacing w:val="0"/>
            <w:position w:val="0"/>
            <w:sz w:val="16"/>
            <w:u w:val="single"/>
            <w:shd w:fill="auto" w:val="clear"/>
          </w:rPr>
          <w:t xml:space="preserve">https://doi.org/10.1186/s13049</w:t>
        </w:r>
      </w:hyperlink>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017-0453-2</w:t>
      </w:r>
    </w:p>
    <w:p>
      <w:pPr>
        <w:spacing w:before="182" w:after="0" w:line="240"/>
        <w:ind w:right="104"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Brown, J. B., Lerner, E. B., Sperry, J. L., Billiar, T. R., Peitzman, A. B., &amp;</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Guyette, F. X. (2016). Prehospital lactate improves accuracy of prehospital criteria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for designating trauma activation level. </w:t>
      </w:r>
      <w:r>
        <w:rPr>
          <w:rFonts w:ascii="Times New Roman" w:hAnsi="Times New Roman" w:cs="Times New Roman" w:eastAsia="Times New Roman"/>
          <w:i/>
          <w:color w:val="auto"/>
          <w:spacing w:val="0"/>
          <w:position w:val="0"/>
          <w:sz w:val="16"/>
          <w:shd w:fill="auto" w:val="clear"/>
        </w:rPr>
        <w:t xml:space="preserve">Journal of Trauma and Acute Care Surgery</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81</w:t>
      </w:r>
      <w:r>
        <w:rPr>
          <w:rFonts w:ascii="Times New Roman" w:hAnsi="Times New Roman" w:cs="Times New Roman" w:eastAsia="Times New Roman"/>
          <w:color w:val="auto"/>
          <w:spacing w:val="0"/>
          <w:position w:val="0"/>
          <w:sz w:val="16"/>
          <w:shd w:fill="auto" w:val="clear"/>
        </w:rPr>
        <w:t xml:space="preserve">(3), 445</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452. </w:t>
      </w:r>
      <w:hyperlink xmlns:r="http://schemas.openxmlformats.org/officeDocument/2006/relationships" r:id="docRId1">
        <w:r>
          <w:rPr>
            <w:rFonts w:ascii="Times New Roman" w:hAnsi="Times New Roman" w:cs="Times New Roman" w:eastAsia="Times New Roman"/>
            <w:color w:val="0000FF"/>
            <w:spacing w:val="0"/>
            <w:position w:val="0"/>
            <w:sz w:val="16"/>
            <w:u w:val="single"/>
            <w:shd w:fill="auto" w:val="clear"/>
          </w:rPr>
          <w:t xml:space="preserve">https://doi.org/10.1097/TA.0000000000001085</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8"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Cassignol,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Marmin,</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Cotte,</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Cardinale,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Bordes,</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Pauly,</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Kerbaul,</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Demory,</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Meaudre,</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(2019).</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Correlation</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between</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field</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triage</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criteria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and the injury severity score of trauma patients in a French inclusive regional trauma system. </w:t>
      </w:r>
      <w:r>
        <w:rPr>
          <w:rFonts w:ascii="Times New Roman" w:hAnsi="Times New Roman" w:cs="Times New Roman" w:eastAsia="Times New Roman"/>
          <w:i/>
          <w:color w:val="auto"/>
          <w:spacing w:val="0"/>
          <w:position w:val="0"/>
          <w:sz w:val="16"/>
          <w:shd w:fill="auto" w:val="clear"/>
        </w:rPr>
        <w:t xml:space="preserve">Scandinavian Journal of Trauma, Resuscitation and Emergency</w:t>
      </w:r>
      <w:r>
        <w:rPr>
          <w:rFonts w:ascii="Times New Roman" w:hAnsi="Times New Roman" w:cs="Times New Roman" w:eastAsia="Times New Roman"/>
          <w:i/>
          <w:color w:val="auto"/>
          <w:spacing w:val="4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Medicine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27</w:t>
      </w:r>
      <w:r>
        <w:rPr>
          <w:rFonts w:ascii="Times New Roman" w:hAnsi="Times New Roman" w:cs="Times New Roman" w:eastAsia="Times New Roman"/>
          <w:color w:val="auto"/>
          <w:spacing w:val="0"/>
          <w:position w:val="0"/>
          <w:sz w:val="16"/>
          <w:shd w:fill="auto" w:val="clear"/>
        </w:rPr>
        <w:t xml:space="preserve">(1), 71. </w:t>
      </w:r>
      <w:hyperlink xmlns:r="http://schemas.openxmlformats.org/officeDocument/2006/relationships" r:id="docRId2">
        <w:r>
          <w:rPr>
            <w:rFonts w:ascii="Times New Roman" w:hAnsi="Times New Roman" w:cs="Times New Roman" w:eastAsia="Times New Roman"/>
            <w:color w:val="0000FF"/>
            <w:spacing w:val="0"/>
            <w:position w:val="0"/>
            <w:sz w:val="16"/>
            <w:u w:val="single"/>
            <w:shd w:fill="auto" w:val="clear"/>
          </w:rPr>
          <w:t xml:space="preserve">https://doi.org/10.1186/s13049-019-0652-0</w:t>
        </w:r>
      </w:hyperlink>
    </w:p>
    <w:p>
      <w:pPr>
        <w:spacing w:before="1"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4"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Davis, J. W., Dirks, R. C., Sue, L. P., &amp; Kaups, K. L. (2017). Attempting to validate the overtriage/undertriage matrix at a Level I trauma center. </w:t>
      </w:r>
      <w:r>
        <w:rPr>
          <w:rFonts w:ascii="Times New Roman" w:hAnsi="Times New Roman" w:cs="Times New Roman" w:eastAsia="Times New Roman"/>
          <w:i/>
          <w:color w:val="auto"/>
          <w:spacing w:val="0"/>
          <w:position w:val="0"/>
          <w:sz w:val="16"/>
          <w:shd w:fill="auto" w:val="clear"/>
        </w:rPr>
        <w:t xml:space="preserve">Journal of</w:t>
      </w:r>
      <w:r>
        <w:rPr>
          <w:rFonts w:ascii="Times New Roman" w:hAnsi="Times New Roman" w:cs="Times New Roman" w:eastAsia="Times New Roman"/>
          <w:i/>
          <w:color w:val="auto"/>
          <w:spacing w:val="4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Trauma and Acute Care Surgery</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83</w:t>
      </w:r>
      <w:r>
        <w:rPr>
          <w:rFonts w:ascii="Times New Roman" w:hAnsi="Times New Roman" w:cs="Times New Roman" w:eastAsia="Times New Roman"/>
          <w:color w:val="auto"/>
          <w:spacing w:val="0"/>
          <w:position w:val="0"/>
          <w:sz w:val="16"/>
          <w:shd w:fill="auto" w:val="clear"/>
        </w:rPr>
        <w:t xml:space="preserve">(6), 1173</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1178. </w:t>
      </w:r>
      <w:hyperlink xmlns:r="http://schemas.openxmlformats.org/officeDocument/2006/relationships" r:id="docRId3">
        <w:r>
          <w:rPr>
            <w:rFonts w:ascii="Times New Roman" w:hAnsi="Times New Roman" w:cs="Times New Roman" w:eastAsia="Times New Roman"/>
            <w:color w:val="0000FF"/>
            <w:spacing w:val="0"/>
            <w:position w:val="0"/>
            <w:sz w:val="16"/>
            <w:u w:val="single"/>
            <w:shd w:fill="auto" w:val="clear"/>
          </w:rPr>
          <w:t xml:space="preserve">https://doi.org/10.1097/TA.0000000000001623</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8"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Davis,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Dirks,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Sue,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 P.,</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Kaups,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K.</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Voskens, F. J.,</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van</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Rein, E. 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 J.,</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van</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der</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Sluijs,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 Houwert,</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 M.,</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Lichtveld,</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Verleisdonk,</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Segers,</w:t>
      </w:r>
      <w:r>
        <w:rPr>
          <w:rFonts w:ascii="Times New Roman" w:hAnsi="Times New Roman" w:cs="Times New Roman" w:eastAsia="Times New Roman"/>
          <w:color w:val="auto"/>
          <w:spacing w:val="-1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van</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Olden,</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Dijkgraaf,</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Leenen,</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van</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Heijl,</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Morden,</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Colla,</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H.,</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Sequist,</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Rosenthal,</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Belzunegui</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Otano,</w:t>
      </w:r>
    </w:p>
    <w:p>
      <w:pPr>
        <w:spacing w:before="0" w:after="0" w:line="240"/>
        <w:ind w:right="59"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T. (2019). Direct transport vs secondary transfer to level I</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trauma centers in a French exclusive trauma system: Impact on mortality and determinants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of triage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on road-traffic victims. </w:t>
      </w:r>
      <w:r>
        <w:rPr>
          <w:rFonts w:ascii="Times New Roman" w:hAnsi="Times New Roman" w:cs="Times New Roman" w:eastAsia="Times New Roman"/>
          <w:i/>
          <w:color w:val="auto"/>
          <w:spacing w:val="0"/>
          <w:position w:val="0"/>
          <w:sz w:val="16"/>
          <w:shd w:fill="auto" w:val="clear"/>
        </w:rPr>
        <w:t xml:space="preserve">Scandinavian Journal of Trauma, Resuscitation and Emergency Medicine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27</w:t>
      </w:r>
      <w:r>
        <w:rPr>
          <w:rFonts w:ascii="Times New Roman" w:hAnsi="Times New Roman" w:cs="Times New Roman" w:eastAsia="Times New Roman"/>
          <w:color w:val="auto"/>
          <w:spacing w:val="0"/>
          <w:position w:val="0"/>
          <w:sz w:val="16"/>
          <w:shd w:fill="auto" w:val="clear"/>
        </w:rPr>
        <w:t xml:space="preserve">(1), 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9. </w:t>
      </w:r>
      <w:hyperlink xmlns:r="http://schemas.openxmlformats.org/officeDocument/2006/relationships" r:id="docRId4">
        <w:r>
          <w:rPr>
            <w:rFonts w:ascii="Times New Roman" w:hAnsi="Times New Roman" w:cs="Times New Roman" w:eastAsia="Times New Roman"/>
            <w:color w:val="0000FF"/>
            <w:spacing w:val="0"/>
            <w:position w:val="0"/>
            <w:sz w:val="16"/>
            <w:u w:val="single"/>
            <w:shd w:fill="auto" w:val="clear"/>
          </w:rPr>
          <w:t xml:space="preserve">https://doi.org/10.1186/s13049-019-0593-7</w:t>
        </w:r>
      </w:hyperlink>
    </w:p>
    <w:p>
      <w:pPr>
        <w:spacing w:before="184" w:after="0" w:line="240"/>
        <w:ind w:right="107"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Fagerlind, H., Harvey, L., Candefjord, S., Davidsson, J., &amp; Brown, J. (2019). Does injury pattern among major road trauma patients influence prehospital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transport</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decisions</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regardless</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of</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the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distance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the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nearest</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trauma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centre?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retrospective</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study.</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Scandinavian</w:t>
      </w:r>
      <w:r>
        <w:rPr>
          <w:rFonts w:ascii="Times New Roman" w:hAnsi="Times New Roman" w:cs="Times New Roman" w:eastAsia="Times New Roman"/>
          <w:i/>
          <w:color w:val="auto"/>
          <w:spacing w:val="-1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Journal</w:t>
      </w:r>
      <w:r>
        <w:rPr>
          <w:rFonts w:ascii="Times New Roman" w:hAnsi="Times New Roman" w:cs="Times New Roman" w:eastAsia="Times New Roman"/>
          <w:i/>
          <w:color w:val="auto"/>
          <w:spacing w:val="-1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of</w:t>
      </w:r>
      <w:r>
        <w:rPr>
          <w:rFonts w:ascii="Times New Roman" w:hAnsi="Times New Roman" w:cs="Times New Roman" w:eastAsia="Times New Roman"/>
          <w:i/>
          <w:color w:val="auto"/>
          <w:spacing w:val="-1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Trauma,</w:t>
      </w:r>
      <w:r>
        <w:rPr>
          <w:rFonts w:ascii="Times New Roman" w:hAnsi="Times New Roman" w:cs="Times New Roman" w:eastAsia="Times New Roman"/>
          <w:i/>
          <w:color w:val="auto"/>
          <w:spacing w:val="-1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Resuscitation</w:t>
      </w:r>
      <w:r>
        <w:rPr>
          <w:rFonts w:ascii="Times New Roman" w:hAnsi="Times New Roman" w:cs="Times New Roman" w:eastAsia="Times New Roman"/>
          <w:i/>
          <w:color w:val="auto"/>
          <w:spacing w:val="-1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and</w:t>
      </w:r>
      <w:r>
        <w:rPr>
          <w:rFonts w:ascii="Times New Roman" w:hAnsi="Times New Roman" w:cs="Times New Roman" w:eastAsia="Times New Roman"/>
          <w:i/>
          <w:color w:val="auto"/>
          <w:spacing w:val="-1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Emergency</w:t>
      </w:r>
      <w:r>
        <w:rPr>
          <w:rFonts w:ascii="Times New Roman" w:hAnsi="Times New Roman" w:cs="Times New Roman" w:eastAsia="Times New Roman"/>
          <w:i/>
          <w:color w:val="auto"/>
          <w:spacing w:val="4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Medicine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27</w:t>
      </w:r>
      <w:r>
        <w:rPr>
          <w:rFonts w:ascii="Times New Roman" w:hAnsi="Times New Roman" w:cs="Times New Roman" w:eastAsia="Times New Roman"/>
          <w:color w:val="auto"/>
          <w:spacing w:val="0"/>
          <w:position w:val="0"/>
          <w:sz w:val="16"/>
          <w:shd w:fill="auto" w:val="clear"/>
        </w:rPr>
        <w:t xml:space="preserve">(1), 18. </w:t>
      </w:r>
      <w:hyperlink xmlns:r="http://schemas.openxmlformats.org/officeDocument/2006/relationships" r:id="docRId5">
        <w:r>
          <w:rPr>
            <w:rFonts w:ascii="Times New Roman" w:hAnsi="Times New Roman" w:cs="Times New Roman" w:eastAsia="Times New Roman"/>
            <w:color w:val="0000FF"/>
            <w:spacing w:val="0"/>
            <w:position w:val="0"/>
            <w:sz w:val="16"/>
            <w:u w:val="single"/>
            <w:shd w:fill="auto" w:val="clear"/>
          </w:rPr>
          <w:t xml:space="preserve">https://doi.org/10.1186/s13049-019-0593-7</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3"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Gebresenbet, R. F., &amp; Aliyu, A. D. (2019). Injury severity level and associated factors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among road traffic accident victims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attending emergency department of</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Tirunesh Beijing Hospital, Addis Ababa, Ethiopia: A cross sectional hospital-based study. </w:t>
      </w:r>
      <w:r>
        <w:rPr>
          <w:rFonts w:ascii="Times New Roman" w:hAnsi="Times New Roman" w:cs="Times New Roman" w:eastAsia="Times New Roman"/>
          <w:i/>
          <w:color w:val="auto"/>
          <w:spacing w:val="0"/>
          <w:position w:val="0"/>
          <w:sz w:val="16"/>
          <w:shd w:fill="auto" w:val="clear"/>
        </w:rPr>
        <w:t xml:space="preserve">PLOS ONE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14</w:t>
      </w:r>
      <w:r>
        <w:rPr>
          <w:rFonts w:ascii="Times New Roman" w:hAnsi="Times New Roman" w:cs="Times New Roman" w:eastAsia="Times New Roman"/>
          <w:color w:val="auto"/>
          <w:spacing w:val="0"/>
          <w:position w:val="0"/>
          <w:sz w:val="16"/>
          <w:shd w:fill="auto" w:val="clear"/>
        </w:rPr>
        <w:t xml:space="preserve">(9), e0222793.</w:t>
      </w:r>
      <w:r>
        <w:rPr>
          <w:rFonts w:ascii="Times New Roman" w:hAnsi="Times New Roman" w:cs="Times New Roman" w:eastAsia="Times New Roman"/>
          <w:color w:val="auto"/>
          <w:spacing w:val="40"/>
          <w:position w:val="0"/>
          <w:sz w:val="16"/>
          <w:shd w:fill="auto" w:val="clear"/>
        </w:rPr>
        <w:t xml:space="preserve"> </w:t>
      </w:r>
      <w:hyperlink xmlns:r="http://schemas.openxmlformats.org/officeDocument/2006/relationships" r:id="docRId6">
        <w:r>
          <w:rPr>
            <w:rFonts w:ascii="Times New Roman" w:hAnsi="Times New Roman" w:cs="Times New Roman" w:eastAsia="Times New Roman"/>
            <w:color w:val="0000FF"/>
            <w:spacing w:val="-2"/>
            <w:position w:val="0"/>
            <w:sz w:val="16"/>
            <w:u w:val="single"/>
            <w:shd w:fill="auto" w:val="clear"/>
          </w:rPr>
          <w:t xml:space="preserve">https://doi.org/10.1371/journal.pone.0222793</w:t>
        </w:r>
      </w:hyperlink>
    </w:p>
    <w:p>
      <w:pPr>
        <w:spacing w:before="183" w:after="0" w:line="240"/>
        <w:ind w:right="103"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Godoi, V. C. G., Ganassin, G. S., Inoue, K. C., &amp; Gil, N. L. de M. (2016). Acolhimento com classificação de risco: caracterização da demanda em unidade de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pronto atendimento. </w:t>
      </w:r>
      <w:r>
        <w:rPr>
          <w:rFonts w:ascii="Times New Roman" w:hAnsi="Times New Roman" w:cs="Times New Roman" w:eastAsia="Times New Roman"/>
          <w:i/>
          <w:color w:val="auto"/>
          <w:spacing w:val="0"/>
          <w:position w:val="0"/>
          <w:sz w:val="16"/>
          <w:shd w:fill="auto" w:val="clear"/>
        </w:rPr>
        <w:t xml:space="preserve">Cogitare Enfermagem</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21</w:t>
      </w:r>
      <w:r>
        <w:rPr>
          <w:rFonts w:ascii="Times New Roman" w:hAnsi="Times New Roman" w:cs="Times New Roman" w:eastAsia="Times New Roman"/>
          <w:color w:val="auto"/>
          <w:spacing w:val="0"/>
          <w:position w:val="0"/>
          <w:sz w:val="16"/>
          <w:shd w:fill="auto" w:val="clear"/>
        </w:rPr>
        <w:t xml:space="preserve">(3), 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8. </w:t>
      </w:r>
      <w:hyperlink xmlns:r="http://schemas.openxmlformats.org/officeDocument/2006/relationships" r:id="docRId7">
        <w:r>
          <w:rPr>
            <w:rFonts w:ascii="Times New Roman" w:hAnsi="Times New Roman" w:cs="Times New Roman" w:eastAsia="Times New Roman"/>
            <w:color w:val="0000FF"/>
            <w:spacing w:val="0"/>
            <w:position w:val="0"/>
            <w:sz w:val="16"/>
            <w:u w:val="single"/>
            <w:shd w:fill="auto" w:val="clear"/>
          </w:rPr>
          <w:t xml:space="preserve">https://doi.org/10.5380/ce.v21i3.44664</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6"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Hamada, S. R., Delhaye, N., Degoul, S., Gauss, T., Raux, M., Devaud, M.-L., Amani, J., Cook, F., Hego, C., Duranteau, J., &amp; Rouquette, A. (2019). Direct</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transport vs secondary transfer to level I trauma centers in a French exclusive trauma system: Impact on mortality and determinants of triage on road-traffic</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victims. </w:t>
      </w:r>
      <w:r>
        <w:rPr>
          <w:rFonts w:ascii="Times New Roman" w:hAnsi="Times New Roman" w:cs="Times New Roman" w:eastAsia="Times New Roman"/>
          <w:i/>
          <w:color w:val="auto"/>
          <w:spacing w:val="0"/>
          <w:position w:val="0"/>
          <w:sz w:val="16"/>
          <w:shd w:fill="auto" w:val="clear"/>
        </w:rPr>
        <w:t xml:space="preserve">PLOS ONE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14</w:t>
      </w:r>
      <w:r>
        <w:rPr>
          <w:rFonts w:ascii="Times New Roman" w:hAnsi="Times New Roman" w:cs="Times New Roman" w:eastAsia="Times New Roman"/>
          <w:color w:val="auto"/>
          <w:spacing w:val="0"/>
          <w:position w:val="0"/>
          <w:sz w:val="16"/>
          <w:shd w:fill="auto" w:val="clear"/>
        </w:rPr>
        <w:t xml:space="preserve">(11), e0223809. </w:t>
      </w:r>
      <w:hyperlink xmlns:r="http://schemas.openxmlformats.org/officeDocument/2006/relationships" r:id="docRId8">
        <w:r>
          <w:rPr>
            <w:rFonts w:ascii="Times New Roman" w:hAnsi="Times New Roman" w:cs="Times New Roman" w:eastAsia="Times New Roman"/>
            <w:color w:val="0000FF"/>
            <w:spacing w:val="0"/>
            <w:position w:val="0"/>
            <w:sz w:val="16"/>
            <w:u w:val="single"/>
            <w:shd w:fill="auto" w:val="clear"/>
          </w:rPr>
          <w:t xml:space="preserve">https://doi.org/10.1371/journal.pone.0223809</w:t>
        </w:r>
      </w:hyperlink>
    </w:p>
    <w:p>
      <w:pPr>
        <w:spacing w:before="1"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Hartka,</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Gancayco,</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McMurry,</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Robson,</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Weaver,</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(2019).</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Accuracy of</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algorithms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predict injury</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severity</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older</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adults</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for</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trauma</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triage.</w:t>
      </w:r>
    </w:p>
    <w:p>
      <w:pPr>
        <w:spacing w:before="1" w:after="0" w:line="240"/>
        <w:ind w:right="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i/>
          <w:color w:val="auto"/>
          <w:spacing w:val="0"/>
          <w:position w:val="0"/>
          <w:sz w:val="16"/>
          <w:shd w:fill="auto" w:val="clear"/>
        </w:rPr>
        <w:t xml:space="preserve">Traffic</w:t>
      </w:r>
      <w:r>
        <w:rPr>
          <w:rFonts w:ascii="Times New Roman" w:hAnsi="Times New Roman" w:cs="Times New Roman" w:eastAsia="Times New Roman"/>
          <w:i/>
          <w:color w:val="auto"/>
          <w:spacing w:val="-9"/>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Injury</w:t>
      </w:r>
      <w:r>
        <w:rPr>
          <w:rFonts w:ascii="Times New Roman" w:hAnsi="Times New Roman" w:cs="Times New Roman" w:eastAsia="Times New Roman"/>
          <w:i/>
          <w:color w:val="auto"/>
          <w:spacing w:val="-7"/>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Prevention</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20</w:t>
      </w:r>
      <w:r>
        <w:rPr>
          <w:rFonts w:ascii="Times New Roman" w:hAnsi="Times New Roman" w:cs="Times New Roman" w:eastAsia="Times New Roman"/>
          <w:color w:val="auto"/>
          <w:spacing w:val="0"/>
          <w:position w:val="0"/>
          <w:sz w:val="16"/>
          <w:shd w:fill="auto" w:val="clear"/>
        </w:rPr>
        <w:t xml:space="preserve">(sup2),</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S81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S87.</w:t>
      </w:r>
      <w:r>
        <w:rPr>
          <w:rFonts w:ascii="Times New Roman" w:hAnsi="Times New Roman" w:cs="Times New Roman" w:eastAsia="Times New Roman"/>
          <w:color w:val="auto"/>
          <w:spacing w:val="-8"/>
          <w:position w:val="0"/>
          <w:sz w:val="16"/>
          <w:shd w:fill="auto" w:val="clear"/>
        </w:rPr>
        <w:t xml:space="preserve"> </w:t>
      </w:r>
      <w:hyperlink xmlns:r="http://schemas.openxmlformats.org/officeDocument/2006/relationships" r:id="docRId9">
        <w:r>
          <w:rPr>
            <w:rFonts w:ascii="Times New Roman" w:hAnsi="Times New Roman" w:cs="Times New Roman" w:eastAsia="Times New Roman"/>
            <w:color w:val="0000FF"/>
            <w:spacing w:val="-2"/>
            <w:position w:val="0"/>
            <w:sz w:val="16"/>
            <w:u w:val="single"/>
            <w:shd w:fill="auto" w:val="clear"/>
          </w:rPr>
          <w:t xml:space="preserve">https://doi.org/10.1080/15389588.2019.1688795</w:t>
        </w:r>
      </w:hyperlink>
    </w:p>
    <w:p>
      <w:pPr>
        <w:spacing w:before="183" w:after="0" w:line="240"/>
        <w:ind w:right="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2"/>
          <w:position w:val="0"/>
          <w:sz w:val="16"/>
          <w:shd w:fill="auto" w:val="clear"/>
        </w:rPr>
        <w:t xml:space="preserve">Jasper, 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Jasper,</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G.</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C.,</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Edah,</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I.</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O.,</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&amp;</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Edah,</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C.</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A.</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(2019).</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Pre-hospital</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care</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of road traffic</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accident</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victims</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in the</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Niger</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Delta: a</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private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initiative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and</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experience.</w:t>
      </w:r>
    </w:p>
    <w:p>
      <w:pPr>
        <w:spacing w:before="1" w:after="0" w:line="240"/>
        <w:ind w:right="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i/>
          <w:color w:val="auto"/>
          <w:spacing w:val="0"/>
          <w:position w:val="0"/>
          <w:sz w:val="16"/>
          <w:shd w:fill="auto" w:val="clear"/>
        </w:rPr>
        <w:t xml:space="preserve">Open</w:t>
      </w:r>
      <w:r>
        <w:rPr>
          <w:rFonts w:ascii="Times New Roman" w:hAnsi="Times New Roman" w:cs="Times New Roman" w:eastAsia="Times New Roman"/>
          <w:i/>
          <w:color w:val="auto"/>
          <w:spacing w:val="-5"/>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Access</w:t>
      </w:r>
      <w:r>
        <w:rPr>
          <w:rFonts w:ascii="Times New Roman" w:hAnsi="Times New Roman" w:cs="Times New Roman" w:eastAsia="Times New Roman"/>
          <w:i/>
          <w:color w:val="auto"/>
          <w:spacing w:val="-5"/>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Emergency</w:t>
      </w:r>
      <w:r>
        <w:rPr>
          <w:rFonts w:ascii="Times New Roman" w:hAnsi="Times New Roman" w:cs="Times New Roman" w:eastAsia="Times New Roman"/>
          <w:i/>
          <w:color w:val="auto"/>
          <w:spacing w:val="-6"/>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Medicine</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Volume</w:t>
      </w:r>
      <w:r>
        <w:rPr>
          <w:rFonts w:ascii="Times New Roman" w:hAnsi="Times New Roman" w:cs="Times New Roman" w:eastAsia="Times New Roman"/>
          <w:i/>
          <w:color w:val="auto"/>
          <w:spacing w:val="-7"/>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11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51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56.</w:t>
      </w:r>
      <w:r>
        <w:rPr>
          <w:rFonts w:ascii="Times New Roman" w:hAnsi="Times New Roman" w:cs="Times New Roman" w:eastAsia="Times New Roman"/>
          <w:color w:val="auto"/>
          <w:spacing w:val="-6"/>
          <w:position w:val="0"/>
          <w:sz w:val="16"/>
          <w:shd w:fill="auto" w:val="clear"/>
        </w:rPr>
        <w:t xml:space="preserve"> </w:t>
      </w:r>
      <w:hyperlink xmlns:r="http://schemas.openxmlformats.org/officeDocument/2006/relationships" r:id="docRId10">
        <w:r>
          <w:rPr>
            <w:rFonts w:ascii="Times New Roman" w:hAnsi="Times New Roman" w:cs="Times New Roman" w:eastAsia="Times New Roman"/>
            <w:color w:val="0000FF"/>
            <w:spacing w:val="-2"/>
            <w:position w:val="0"/>
            <w:sz w:val="16"/>
            <w:u w:val="single"/>
            <w:shd w:fill="auto" w:val="clear"/>
          </w:rPr>
          <w:t xml:space="preserve">https://doi.org/10.2147/OAEM.S178384</w:t>
        </w:r>
      </w:hyperlink>
    </w:p>
    <w:p>
      <w:pPr>
        <w:spacing w:before="183" w:after="0" w:line="240"/>
        <w:ind w:right="108"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Jeppesen, E., Cuevas-Østrem, M., Gram-Knutsen, C., &amp; Uleberg, O. (2020). Undertriage in trauma: an ignored quality indicator? </w:t>
      </w:r>
      <w:r>
        <w:rPr>
          <w:rFonts w:ascii="Times New Roman" w:hAnsi="Times New Roman" w:cs="Times New Roman" w:eastAsia="Times New Roman"/>
          <w:i/>
          <w:color w:val="auto"/>
          <w:spacing w:val="0"/>
          <w:position w:val="0"/>
          <w:sz w:val="16"/>
          <w:shd w:fill="auto" w:val="clear"/>
        </w:rPr>
        <w:t xml:space="preserve">Scandinavian Journal of</w:t>
      </w:r>
      <w:r>
        <w:rPr>
          <w:rFonts w:ascii="Times New Roman" w:hAnsi="Times New Roman" w:cs="Times New Roman" w:eastAsia="Times New Roman"/>
          <w:i/>
          <w:color w:val="auto"/>
          <w:spacing w:val="4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Trauma, Resuscitation and Emergency Medicine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28</w:t>
      </w:r>
      <w:r>
        <w:rPr>
          <w:rFonts w:ascii="Times New Roman" w:hAnsi="Times New Roman" w:cs="Times New Roman" w:eastAsia="Times New Roman"/>
          <w:color w:val="auto"/>
          <w:spacing w:val="0"/>
          <w:position w:val="0"/>
          <w:sz w:val="16"/>
          <w:shd w:fill="auto" w:val="clear"/>
        </w:rPr>
        <w:t xml:space="preserve">(1), 34. </w:t>
      </w:r>
      <w:hyperlink xmlns:r="http://schemas.openxmlformats.org/officeDocument/2006/relationships" r:id="docRId11">
        <w:r>
          <w:rPr>
            <w:rFonts w:ascii="Times New Roman" w:hAnsi="Times New Roman" w:cs="Times New Roman" w:eastAsia="Times New Roman"/>
            <w:color w:val="0000FF"/>
            <w:spacing w:val="0"/>
            <w:position w:val="0"/>
            <w:sz w:val="16"/>
            <w:u w:val="single"/>
            <w:shd w:fill="auto" w:val="clear"/>
          </w:rPr>
          <w:t xml:space="preserve">https://doi.org/10.1186/s13049-020-00729-6</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 w:after="0" w:line="240"/>
        <w:ind w:right="117"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Linder, F., Holmberg, L., Eklöf, H., Björck, M., Juhlin, C., &amp; Mani, K. (2019). Better compliance with triage criteria in trauma would reduce costs with</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maintained patient safety. </w:t>
      </w:r>
      <w:r>
        <w:rPr>
          <w:rFonts w:ascii="Times New Roman" w:hAnsi="Times New Roman" w:cs="Times New Roman" w:eastAsia="Times New Roman"/>
          <w:i/>
          <w:color w:val="auto"/>
          <w:spacing w:val="0"/>
          <w:position w:val="0"/>
          <w:sz w:val="16"/>
          <w:shd w:fill="auto" w:val="clear"/>
        </w:rPr>
        <w:t xml:space="preserve">European Journal of Emergency Medicine</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26</w:t>
      </w:r>
      <w:r>
        <w:rPr>
          <w:rFonts w:ascii="Times New Roman" w:hAnsi="Times New Roman" w:cs="Times New Roman" w:eastAsia="Times New Roman"/>
          <w:color w:val="auto"/>
          <w:spacing w:val="0"/>
          <w:position w:val="0"/>
          <w:sz w:val="16"/>
          <w:shd w:fill="auto" w:val="clear"/>
        </w:rPr>
        <w:t xml:space="preserve">(4), 283</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288. </w:t>
      </w:r>
      <w:hyperlink xmlns:r="http://schemas.openxmlformats.org/officeDocument/2006/relationships" r:id="docRId12">
        <w:r>
          <w:rPr>
            <w:rFonts w:ascii="Times New Roman" w:hAnsi="Times New Roman" w:cs="Times New Roman" w:eastAsia="Times New Roman"/>
            <w:color w:val="0000FF"/>
            <w:spacing w:val="0"/>
            <w:position w:val="0"/>
            <w:sz w:val="16"/>
            <w:u w:val="single"/>
            <w:shd w:fill="auto" w:val="clear"/>
          </w:rPr>
          <w:t xml:space="preserve">https://doi.org/10.1097/MEJ.0000000000000544</w:t>
        </w:r>
      </w:hyperlink>
    </w:p>
    <w:p>
      <w:pPr>
        <w:spacing w:before="184" w:after="0" w:line="240"/>
        <w:ind w:right="104"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NAEMT, N. A. of E. M. T. (2019). Avaliação e Manejo do Paciente. PHTLS Atendimento Pré-hospitalizado ao Traumatizado. In </w:t>
      </w:r>
      <w:r>
        <w:rPr>
          <w:rFonts w:ascii="Times New Roman" w:hAnsi="Times New Roman" w:cs="Times New Roman" w:eastAsia="Times New Roman"/>
          <w:i/>
          <w:color w:val="auto"/>
          <w:spacing w:val="0"/>
          <w:position w:val="0"/>
          <w:sz w:val="16"/>
          <w:shd w:fill="auto" w:val="clear"/>
        </w:rPr>
        <w:t xml:space="preserve">PHTLS: Atendimento Pré-</w:t>
      </w:r>
      <w:r>
        <w:rPr>
          <w:rFonts w:ascii="Times New Roman" w:hAnsi="Times New Roman" w:cs="Times New Roman" w:eastAsia="Times New Roman"/>
          <w:i/>
          <w:color w:val="auto"/>
          <w:spacing w:val="4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Hospitalar ao Traumatizado </w:t>
      </w:r>
      <w:r>
        <w:rPr>
          <w:rFonts w:ascii="Times New Roman" w:hAnsi="Times New Roman" w:cs="Times New Roman" w:eastAsia="Times New Roman"/>
          <w:color w:val="auto"/>
          <w:spacing w:val="0"/>
          <w:position w:val="0"/>
          <w:sz w:val="16"/>
          <w:shd w:fill="auto" w:val="clear"/>
        </w:rPr>
        <w:t xml:space="preserve">(9</w:t>
      </w:r>
      <w:r>
        <w:rPr>
          <w:rFonts w:ascii="Times New Roman" w:hAnsi="Times New Roman" w:cs="Times New Roman" w:eastAsia="Times New Roman"/>
          <w:color w:val="auto"/>
          <w:spacing w:val="0"/>
          <w:position w:val="0"/>
          <w:sz w:val="16"/>
          <w:shd w:fill="auto" w:val="clear"/>
          <w:vertAlign w:val="superscript"/>
        </w:rPr>
        <w:t xml:space="preserve">o</w:t>
      </w:r>
      <w:r>
        <w:rPr>
          <w:rFonts w:ascii="Times New Roman" w:hAnsi="Times New Roman" w:cs="Times New Roman" w:eastAsia="Times New Roman"/>
          <w:color w:val="auto"/>
          <w:spacing w:val="0"/>
          <w:position w:val="0"/>
          <w:sz w:val="16"/>
          <w:shd w:fill="auto" w:val="clear"/>
        </w:rPr>
        <w:t xml:space="preserve">, p. 709). Jones &amp; Bartlett Learning.</w:t>
      </w:r>
    </w:p>
    <w:p>
      <w:pPr>
        <w:spacing w:before="184" w:after="0" w:line="240"/>
        <w:ind w:right="103"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Newberry, J. A., Bills, C. B., Matheson, L., Zhang, X., Gimkala, A., Ramana Rao, G. V., Janagama, S. R., Mahadevan, S. V., &amp; Strehlow, M. C. (2020). A</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profile of traumatic injury in the prehospital setting in India: A prospective observational study across seven states. </w:t>
      </w:r>
      <w:r>
        <w:rPr>
          <w:rFonts w:ascii="Times New Roman" w:hAnsi="Times New Roman" w:cs="Times New Roman" w:eastAsia="Times New Roman"/>
          <w:i/>
          <w:color w:val="auto"/>
          <w:spacing w:val="0"/>
          <w:position w:val="0"/>
          <w:sz w:val="16"/>
          <w:shd w:fill="auto" w:val="clear"/>
        </w:rPr>
        <w:t xml:space="preserve">Injury</w:t>
      </w:r>
      <w:r>
        <w:rPr>
          <w:rFonts w:ascii="Times New Roman" w:hAnsi="Times New Roman" w:cs="Times New Roman" w:eastAsia="Times New Roman"/>
          <w:color w:val="auto"/>
          <w:spacing w:val="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51</w:t>
      </w:r>
      <w:r>
        <w:rPr>
          <w:rFonts w:ascii="Times New Roman" w:hAnsi="Times New Roman" w:cs="Times New Roman" w:eastAsia="Times New Roman"/>
          <w:color w:val="auto"/>
          <w:spacing w:val="0"/>
          <w:position w:val="0"/>
          <w:sz w:val="16"/>
          <w:shd w:fill="auto" w:val="clear"/>
        </w:rPr>
        <w:t xml:space="preserve">(2), 286</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293.</w:t>
      </w:r>
      <w:r>
        <w:rPr>
          <w:rFonts w:ascii="Times New Roman" w:hAnsi="Times New Roman" w:cs="Times New Roman" w:eastAsia="Times New Roman"/>
          <w:color w:val="auto"/>
          <w:spacing w:val="40"/>
          <w:position w:val="0"/>
          <w:sz w:val="16"/>
          <w:shd w:fill="auto" w:val="clear"/>
        </w:rPr>
        <w:t xml:space="preserve"> </w:t>
      </w:r>
      <w:hyperlink xmlns:r="http://schemas.openxmlformats.org/officeDocument/2006/relationships" r:id="docRId13">
        <w:r>
          <w:rPr>
            <w:rFonts w:ascii="Times New Roman" w:hAnsi="Times New Roman" w:cs="Times New Roman" w:eastAsia="Times New Roman"/>
            <w:color w:val="0000FF"/>
            <w:spacing w:val="-2"/>
            <w:position w:val="0"/>
            <w:sz w:val="16"/>
            <w:u w:val="single"/>
            <w:shd w:fill="auto" w:val="clear"/>
          </w:rPr>
          <w:t xml:space="preserve">https://doi.org/10.1016/j.injury.2019.11.020</w:t>
        </w:r>
      </w:hyperlink>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16"/>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10">
    <w:abstractNumId w:val="30"/>
  </w:num>
  <w:num w:numId="15">
    <w:abstractNumId w:val="24"/>
  </w:num>
  <w:num w:numId="21">
    <w:abstractNumId w:val="18"/>
  </w:num>
  <w:num w:numId="27">
    <w:abstractNumId w:val="12"/>
  </w:num>
  <w:num w:numId="309">
    <w:abstractNumId w:val="6"/>
  </w:num>
  <w:num w:numId="32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doi.org/10.1016/j.injury.2019.11.020" Id="docRId13" Type="http://schemas.openxmlformats.org/officeDocument/2006/relationships/hyperlink" /><Relationship TargetMode="External" Target="https://doi.org/10.1097/TA.0000000000001623" Id="docRId3" Type="http://schemas.openxmlformats.org/officeDocument/2006/relationships/hyperlink" /><Relationship TargetMode="External" Target="https://doi.org/10.5380/ce.v21i3.44664" Id="docRId7" Type="http://schemas.openxmlformats.org/officeDocument/2006/relationships/hyperlink" /><Relationship TargetMode="External" Target="https://doi.org/10.2147/OAEM.S178384" Id="docRId10" Type="http://schemas.openxmlformats.org/officeDocument/2006/relationships/hyperlink" /><Relationship Target="numbering.xml" Id="docRId14" Type="http://schemas.openxmlformats.org/officeDocument/2006/relationships/numbering" /><Relationship TargetMode="External" Target="https://doi.org/10.1186/s13049-019-0652-0" Id="docRId2" Type="http://schemas.openxmlformats.org/officeDocument/2006/relationships/hyperlink" /><Relationship TargetMode="External" Target="https://doi.org/10.1371/journal.pone.0222793" Id="docRId6" Type="http://schemas.openxmlformats.org/officeDocument/2006/relationships/hyperlink" /><Relationship TargetMode="External" Target="https://doi.org/10.1097/TA.0000000000001085" Id="docRId1" Type="http://schemas.openxmlformats.org/officeDocument/2006/relationships/hyperlink" /><Relationship TargetMode="External" Target="https://doi.org/10.1186/s13049-020-00729-6" Id="docRId11" Type="http://schemas.openxmlformats.org/officeDocument/2006/relationships/hyperlink" /><Relationship Target="styles.xml" Id="docRId15" Type="http://schemas.openxmlformats.org/officeDocument/2006/relationships/styles" /><Relationship TargetMode="External" Target="https://doi.org/10.1186/s13049-019-0593-7" Id="docRId5" Type="http://schemas.openxmlformats.org/officeDocument/2006/relationships/hyperlink" /><Relationship TargetMode="External" Target="https://doi.org/10.1080/15389588.2019.1688795" Id="docRId9" Type="http://schemas.openxmlformats.org/officeDocument/2006/relationships/hyperlink" /><Relationship TargetMode="External" Target="https://doi.org/10.1186/s13049" Id="docRId0" Type="http://schemas.openxmlformats.org/officeDocument/2006/relationships/hyperlink" /><Relationship TargetMode="External" Target="https://doi.org/10.1097/MEJ.0000000000000544" Id="docRId12" Type="http://schemas.openxmlformats.org/officeDocument/2006/relationships/hyperlink" /><Relationship TargetMode="External" Target="https://doi.org/10.1186/s13049-019-0593-7" Id="docRId4" Type="http://schemas.openxmlformats.org/officeDocument/2006/relationships/hyperlink" /><Relationship TargetMode="External" Target="https://doi.org/10.1371/journal.pone.0223809" Id="docRId8" Type="http://schemas.openxmlformats.org/officeDocument/2006/relationships/hyperlink" /></Relationships>
</file>