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F638" w14:textId="403F0784" w:rsidR="00A86C82" w:rsidRPr="005E4C83" w:rsidRDefault="00A86C82" w:rsidP="00A86C82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BBDAF" w14:textId="4087FA89" w:rsidR="00A86C82" w:rsidRPr="005E4C83" w:rsidRDefault="00800943" w:rsidP="005E4C8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ENTRE OMISSÕES E VIOLÊNCIAS: A IMPORTÂNCIA DA </w:t>
      </w:r>
      <w:r w:rsidR="002A16FB">
        <w:rPr>
          <w:rFonts w:ascii="Times New Roman" w:eastAsia="Times New Roman" w:hAnsi="Times New Roman" w:cs="Times New Roman"/>
          <w:b/>
          <w:sz w:val="24"/>
          <w:szCs w:val="24"/>
        </w:rPr>
        <w:t>COMISSÃO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INTERAMERICANA DE DIREITOS HUMANOS NA REPRESSÃO À VIOLÊNCIA CONTRA A MULHER NO BRASIL</w:t>
      </w:r>
    </w:p>
    <w:p w14:paraId="229EE4D2" w14:textId="77777777" w:rsidR="005E4C83" w:rsidRDefault="005E4C83" w:rsidP="00A86C82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54A7D" w14:textId="77777777" w:rsidR="002460AD" w:rsidRPr="005E7C50" w:rsidRDefault="002460AD" w:rsidP="00A86C82">
      <w:pPr>
        <w:rPr>
          <w:rFonts w:ascii="Times New Roman" w:hAnsi="Times New Roman" w:cs="Times New Roman"/>
          <w:b/>
          <w:lang w:val="pt-PT"/>
        </w:rPr>
      </w:pPr>
    </w:p>
    <w:p w14:paraId="3B53DC28" w14:textId="639EE1B6" w:rsidR="002A16FB" w:rsidRPr="005E7C50" w:rsidRDefault="005E4C83" w:rsidP="002460AD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 w:rsidRPr="005E7C50">
        <w:rPr>
          <w:rFonts w:ascii="Times New Roman" w:hAnsi="Times New Roman" w:cs="Times New Roman"/>
          <w:b/>
          <w:sz w:val="24"/>
          <w:lang w:val="pt-PT"/>
        </w:rPr>
        <w:t xml:space="preserve">Palavras-Chave: </w:t>
      </w:r>
      <w:r w:rsidR="00423E05" w:rsidRPr="005E7C50">
        <w:rPr>
          <w:rFonts w:ascii="Times New Roman" w:hAnsi="Times New Roman" w:cs="Times New Roman"/>
          <w:sz w:val="24"/>
          <w:lang w:val="pt-PT"/>
        </w:rPr>
        <w:t>Direitos Humanos, Violência Doméstica</w:t>
      </w:r>
      <w:r w:rsidR="00633E8F" w:rsidRPr="005E7C50">
        <w:rPr>
          <w:rFonts w:ascii="Times New Roman" w:hAnsi="Times New Roman" w:cs="Times New Roman"/>
          <w:sz w:val="24"/>
          <w:lang w:val="pt-PT"/>
        </w:rPr>
        <w:t>, Omissão Estatal.</w:t>
      </w:r>
      <w:r w:rsidR="002460AD" w:rsidRPr="005E7C50">
        <w:rPr>
          <w:rFonts w:ascii="Times New Roman" w:hAnsi="Times New Roman" w:cs="Times New Roman"/>
          <w:sz w:val="24"/>
          <w:lang w:val="pt-PT"/>
        </w:rPr>
        <w:t xml:space="preserve"> </w:t>
      </w:r>
    </w:p>
    <w:p w14:paraId="46D8140D" w14:textId="77777777" w:rsidR="005E4C83" w:rsidRPr="005E7C50" w:rsidRDefault="005E4C83" w:rsidP="00A86C82">
      <w:pPr>
        <w:rPr>
          <w:rFonts w:ascii="Times New Roman" w:hAnsi="Times New Roman" w:cs="Times New Roman"/>
          <w:lang w:val="pt-PT"/>
        </w:rPr>
      </w:pPr>
    </w:p>
    <w:p w14:paraId="120A6EAD" w14:textId="55A9F8F5" w:rsidR="00BA403C" w:rsidRDefault="005E4C83" w:rsidP="00BA403C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E4C83">
        <w:rPr>
          <w:rFonts w:ascii="Times New Roman" w:hAnsi="Times New Roman" w:cs="Times New Roman"/>
          <w:sz w:val="24"/>
        </w:rPr>
        <w:t xml:space="preserve">O </w:t>
      </w:r>
      <w:r w:rsidR="001F436D" w:rsidRPr="005E4C83">
        <w:rPr>
          <w:rFonts w:ascii="Times New Roman" w:hAnsi="Times New Roman" w:cs="Times New Roman"/>
          <w:sz w:val="24"/>
        </w:rPr>
        <w:t>alheamento</w:t>
      </w:r>
      <w:r w:rsidRPr="005E4C83">
        <w:rPr>
          <w:rFonts w:ascii="Times New Roman" w:hAnsi="Times New Roman" w:cs="Times New Roman"/>
          <w:sz w:val="24"/>
        </w:rPr>
        <w:t xml:space="preserve"> do Estado à</w:t>
      </w:r>
      <w:r w:rsidR="001F436D">
        <w:rPr>
          <w:rFonts w:ascii="Times New Roman" w:hAnsi="Times New Roman" w:cs="Times New Roman"/>
          <w:sz w:val="24"/>
        </w:rPr>
        <w:t>s</w:t>
      </w:r>
      <w:r w:rsidRPr="005E4C83">
        <w:rPr>
          <w:rFonts w:ascii="Times New Roman" w:hAnsi="Times New Roman" w:cs="Times New Roman"/>
          <w:sz w:val="24"/>
        </w:rPr>
        <w:t xml:space="preserve"> questões cont</w:t>
      </w:r>
      <w:r w:rsidR="001F436D">
        <w:rPr>
          <w:rFonts w:ascii="Times New Roman" w:hAnsi="Times New Roman" w:cs="Times New Roman"/>
          <w:sz w:val="24"/>
        </w:rPr>
        <w:t>urbadas da sociedade sempre foi</w:t>
      </w:r>
      <w:r w:rsidRPr="005E4C83">
        <w:rPr>
          <w:rFonts w:ascii="Times New Roman" w:hAnsi="Times New Roman" w:cs="Times New Roman"/>
          <w:sz w:val="24"/>
        </w:rPr>
        <w:t xml:space="preserve"> um de seus piores defeitos. Saúde, educação, segurança pública e tantas outras áreas que requestam, dele, uma atuação enérgica e consistente, lideram a fila das críticas e ultra</w:t>
      </w:r>
      <w:r w:rsidR="00743A8B">
        <w:rPr>
          <w:rFonts w:ascii="Times New Roman" w:hAnsi="Times New Roman" w:cs="Times New Roman"/>
          <w:sz w:val="24"/>
        </w:rPr>
        <w:t>jantes omissões estatais. Atuar</w:t>
      </w:r>
      <w:r w:rsidRPr="005E4C83">
        <w:rPr>
          <w:rFonts w:ascii="Times New Roman" w:hAnsi="Times New Roman" w:cs="Times New Roman"/>
          <w:sz w:val="24"/>
        </w:rPr>
        <w:t xml:space="preserve"> não significa</w:t>
      </w:r>
      <w:r w:rsidR="001F436D">
        <w:rPr>
          <w:rFonts w:ascii="Times New Roman" w:hAnsi="Times New Roman" w:cs="Times New Roman"/>
          <w:sz w:val="24"/>
        </w:rPr>
        <w:t>, simplesmente,</w:t>
      </w:r>
      <w:r w:rsidRPr="005E4C83">
        <w:rPr>
          <w:rFonts w:ascii="Times New Roman" w:hAnsi="Times New Roman" w:cs="Times New Roman"/>
          <w:sz w:val="24"/>
        </w:rPr>
        <w:t xml:space="preserve"> deixar de </w:t>
      </w:r>
      <w:r w:rsidR="00743A8B">
        <w:rPr>
          <w:rFonts w:ascii="Times New Roman" w:hAnsi="Times New Roman" w:cs="Times New Roman"/>
          <w:sz w:val="24"/>
        </w:rPr>
        <w:t xml:space="preserve">ser </w:t>
      </w:r>
      <w:r w:rsidRPr="005E4C83">
        <w:rPr>
          <w:rFonts w:ascii="Times New Roman" w:hAnsi="Times New Roman" w:cs="Times New Roman"/>
          <w:sz w:val="24"/>
        </w:rPr>
        <w:t>omisso. A omissão caracteriza-se, também, por uma tutela notadamente deficiente.</w:t>
      </w:r>
    </w:p>
    <w:p w14:paraId="10E792DB" w14:textId="123B1298" w:rsidR="005E4C83" w:rsidRDefault="005E4C83" w:rsidP="005E4C8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741B8">
        <w:rPr>
          <w:rFonts w:ascii="Times New Roman" w:hAnsi="Times New Roman" w:cs="Times New Roman"/>
          <w:sz w:val="24"/>
        </w:rPr>
        <w:t>A ascensão de movimentos em prol dos direitos humanos, sobretudo nos derradeiros anos da primeira metade do século XX, guinara em âmbito mundial uma mudança radical nos modelos de civilização e sociabilidade. Mas não só isso, o ser humano, que antes era visto apenas como parte de uma nação, passara a ostentar identidade própria, sendo tal reconhecida pelo Estado e pela comunidade em geral.</w:t>
      </w:r>
    </w:p>
    <w:p w14:paraId="7F867A56" w14:textId="77777777" w:rsidR="00BA403C" w:rsidRDefault="00BA403C" w:rsidP="005E4C8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Curiosamente, Foucault, há décadas, pregava que a partir da segunda metade do século XVIII, </w:t>
      </w:r>
    </w:p>
    <w:p w14:paraId="178B84D0" w14:textId="77777777" w:rsidR="00BA403C" w:rsidRDefault="00BA403C" w:rsidP="00BA403C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144BEB0" w14:textId="2807DC8F" w:rsidR="00BA403C" w:rsidRPr="00BA403C" w:rsidRDefault="00BA403C" w:rsidP="00BA403C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BA403C">
        <w:rPr>
          <w:rFonts w:ascii="Times New Roman" w:hAnsi="Times New Roman" w:cs="Times New Roman"/>
          <w:sz w:val="20"/>
        </w:rPr>
        <w:t>[...] a população será o ponto em torno do qual se organizará aquilo que nos textos do século XVI se chamava de paciência do soberano, no sentido em que a população será o objeto que o governo deverá levar em consideração em suas observações, em seu saber, para conseguir governar efetivamente de modo racional e planejado</w:t>
      </w:r>
      <w:r>
        <w:rPr>
          <w:rFonts w:ascii="Times New Roman" w:hAnsi="Times New Roman" w:cs="Times New Roman"/>
          <w:sz w:val="20"/>
        </w:rPr>
        <w:t xml:space="preserve"> (FOUCAULT, 1985, p. 289-290)</w:t>
      </w:r>
      <w:r w:rsidRPr="00BA403C">
        <w:rPr>
          <w:rFonts w:ascii="Times New Roman" w:hAnsi="Times New Roman" w:cs="Times New Roman"/>
          <w:sz w:val="20"/>
        </w:rPr>
        <w:t>.</w:t>
      </w:r>
    </w:p>
    <w:p w14:paraId="6E0A2DCA" w14:textId="77777777" w:rsidR="00BA403C" w:rsidRDefault="00BA403C" w:rsidP="005E4C8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7F45139A" w14:textId="0EBECD2F" w:rsidR="005E4C83" w:rsidRDefault="00743A8B" w:rsidP="005E4C8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fato, a profecia se cumpriu</w:t>
      </w:r>
      <w:r w:rsidR="001246F3">
        <w:rPr>
          <w:rFonts w:ascii="Times New Roman" w:hAnsi="Times New Roman" w:cs="Times New Roman"/>
          <w:sz w:val="24"/>
        </w:rPr>
        <w:t>, ainda que com maior intensidade alguns séculos depois</w:t>
      </w:r>
      <w:r>
        <w:rPr>
          <w:rFonts w:ascii="Times New Roman" w:hAnsi="Times New Roman" w:cs="Times New Roman"/>
          <w:sz w:val="24"/>
        </w:rPr>
        <w:t>. Com o passar dos anos, n</w:t>
      </w:r>
      <w:r w:rsidR="005E4C83" w:rsidRPr="008741B8">
        <w:rPr>
          <w:rFonts w:ascii="Times New Roman" w:hAnsi="Times New Roman" w:cs="Times New Roman"/>
          <w:sz w:val="24"/>
        </w:rPr>
        <w:t xml:space="preserve">ão mais se sustentavam, por exemplo, os regimes </w:t>
      </w:r>
      <w:r w:rsidR="005E4C83" w:rsidRPr="008741B8">
        <w:rPr>
          <w:rFonts w:ascii="Times New Roman" w:hAnsi="Times New Roman" w:cs="Times New Roman"/>
          <w:sz w:val="24"/>
        </w:rPr>
        <w:lastRenderedPageBreak/>
        <w:t xml:space="preserve">totalitários que, a bel prazer e com poderes irrestritos, encabeçavam barbáries e chacinas por vezes ideológicas contra determinados grupos vulneráveis. </w:t>
      </w:r>
      <w:r w:rsidR="005E4C83">
        <w:rPr>
          <w:rFonts w:ascii="Times New Roman" w:hAnsi="Times New Roman" w:cs="Times New Roman"/>
          <w:sz w:val="24"/>
        </w:rPr>
        <w:t>Se, de uma banda, o século XX presenciou as piores incivilidades da história, de outra, não se pode negar, vivenciou o acender de uma chama, há tempos necessária e por vezes vindicada com sangue,</w:t>
      </w:r>
      <w:r>
        <w:rPr>
          <w:rFonts w:ascii="Times New Roman" w:hAnsi="Times New Roman" w:cs="Times New Roman"/>
          <w:sz w:val="24"/>
        </w:rPr>
        <w:t xml:space="preserve"> de intolerância à crueldade e à</w:t>
      </w:r>
      <w:r w:rsidR="005E4C83">
        <w:rPr>
          <w:rFonts w:ascii="Times New Roman" w:hAnsi="Times New Roman" w:cs="Times New Roman"/>
          <w:sz w:val="24"/>
        </w:rPr>
        <w:t xml:space="preserve"> desproteção aos direitos humanos.</w:t>
      </w:r>
    </w:p>
    <w:p w14:paraId="41AFCE30" w14:textId="7D173BD4" w:rsidR="00885D4B" w:rsidRDefault="00885D4B" w:rsidP="00885D4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 lições de Ingo </w:t>
      </w:r>
      <w:proofErr w:type="spellStart"/>
      <w:r>
        <w:rPr>
          <w:rFonts w:ascii="Times New Roman" w:hAnsi="Times New Roman" w:cs="Times New Roman"/>
          <w:sz w:val="24"/>
        </w:rPr>
        <w:t>Sarlet</w:t>
      </w:r>
      <w:proofErr w:type="spellEnd"/>
      <w:r>
        <w:rPr>
          <w:rFonts w:ascii="Times New Roman" w:hAnsi="Times New Roman" w:cs="Times New Roman"/>
          <w:sz w:val="24"/>
        </w:rPr>
        <w:t xml:space="preserve"> (2011, p. 37), “apenas ao longo do século XX e, ressalvada uma ou outra exceção, tão somente a partir da Segunda Guerra Mundial, a dignidade da pessoa humana passou a ser reconhecida expressamente nas Constituições, notadamente após ter sido consagrada pela Declaração Universal da ONU de 1948”.</w:t>
      </w:r>
    </w:p>
    <w:p w14:paraId="218D173F" w14:textId="354634E5" w:rsidR="004976DC" w:rsidRDefault="005E4C83" w:rsidP="00D25C3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Brasil, nessa esteira, não representa uma exceção. O ordenamento interno, aos poucos, reinventar</w:t>
      </w:r>
      <w:r w:rsidR="00973A01">
        <w:rPr>
          <w:rFonts w:ascii="Times New Roman" w:hAnsi="Times New Roman" w:cs="Times New Roman"/>
          <w:sz w:val="24"/>
        </w:rPr>
        <w:t>a-se sob um viés humanístico, a</w:t>
      </w:r>
      <w:r>
        <w:rPr>
          <w:rFonts w:ascii="Times New Roman" w:hAnsi="Times New Roman" w:cs="Times New Roman"/>
          <w:sz w:val="24"/>
        </w:rPr>
        <w:t xml:space="preserve"> fim de viabilizar uma completa e efetiva proteção à dignidade do ser humano. Legalmente, essa política de fato salta aos olhos dos cidadãos, basta ver o corpo garantista de que se reveste a Constituição Federal de 1988</w:t>
      </w:r>
      <w:r w:rsidR="001246F3">
        <w:rPr>
          <w:rFonts w:ascii="Times New Roman" w:hAnsi="Times New Roman" w:cs="Times New Roman"/>
          <w:sz w:val="24"/>
        </w:rPr>
        <w:t>, que trata a dignidade como fundamento da República Federativa do Brasil (CF, art. 1º, III)</w:t>
      </w:r>
      <w:r>
        <w:rPr>
          <w:rFonts w:ascii="Times New Roman" w:hAnsi="Times New Roman" w:cs="Times New Roman"/>
          <w:sz w:val="24"/>
        </w:rPr>
        <w:t>.</w:t>
      </w:r>
      <w:r w:rsidR="004976DC">
        <w:rPr>
          <w:rFonts w:ascii="Times New Roman" w:hAnsi="Times New Roman" w:cs="Times New Roman"/>
          <w:sz w:val="24"/>
        </w:rPr>
        <w:t xml:space="preserve"> </w:t>
      </w:r>
    </w:p>
    <w:p w14:paraId="514F8671" w14:textId="1E0A328C" w:rsidR="005E4C83" w:rsidRDefault="005E4C83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E4C83">
        <w:rPr>
          <w:rFonts w:ascii="Times New Roman" w:hAnsi="Times New Roman" w:cs="Times New Roman"/>
          <w:sz w:val="24"/>
        </w:rPr>
        <w:t xml:space="preserve">Como um farol que ilumina e orienta os caminhos de um marinheiro, a Carta Magna aponta as veredas pelas quais deverá transitar o legislador infraconstitucional. Este, inarredavelmente, deve envidar esforços à criação de mecanismos adequados e aptos a propiciar a efetivação dos direitos e garantias entabulados na ordem constitucional. </w:t>
      </w:r>
      <w:r w:rsidR="008D6F07">
        <w:rPr>
          <w:rFonts w:ascii="Times New Roman" w:hAnsi="Times New Roman" w:cs="Times New Roman"/>
          <w:sz w:val="24"/>
        </w:rPr>
        <w:t>Todavia, o direito sem poder é vazio. O poder sem direito é cego (MARTINEZ, 1993, p. 17).</w:t>
      </w:r>
    </w:p>
    <w:p w14:paraId="1A62A818" w14:textId="0ACDB032" w:rsidR="00E459F0" w:rsidRDefault="00E459F0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Apesar da inegável importância do texto constitucional, este, por vezes, estabelece premissas gerais de proteção aos cidadãos, que se aplicam </w:t>
      </w:r>
      <w:r w:rsidR="00743A8B">
        <w:rPr>
          <w:rFonts w:ascii="Times New Roman" w:hAnsi="Times New Roman" w:cs="Times New Roman"/>
          <w:sz w:val="24"/>
        </w:rPr>
        <w:t>indistintamente a todos,</w:t>
      </w:r>
      <w:r>
        <w:rPr>
          <w:rFonts w:ascii="Times New Roman" w:hAnsi="Times New Roman" w:cs="Times New Roman"/>
          <w:sz w:val="24"/>
        </w:rPr>
        <w:t xml:space="preserve"> como é o caso do princípio da dignidade da pessoa humana. Todos possuem o direito de ser tratados com dignidade, não </w:t>
      </w:r>
      <w:r w:rsidR="00743A8B">
        <w:rPr>
          <w:rFonts w:ascii="Times New Roman" w:hAnsi="Times New Roman" w:cs="Times New Roman"/>
          <w:sz w:val="24"/>
        </w:rPr>
        <w:t>sendo</w:t>
      </w:r>
      <w:r>
        <w:rPr>
          <w:rFonts w:ascii="Times New Roman" w:hAnsi="Times New Roman" w:cs="Times New Roman"/>
          <w:sz w:val="24"/>
        </w:rPr>
        <w:t xml:space="preserve"> uma garantia</w:t>
      </w:r>
      <w:r w:rsidR="00743A8B">
        <w:rPr>
          <w:rFonts w:ascii="Times New Roman" w:hAnsi="Times New Roman" w:cs="Times New Roman"/>
          <w:sz w:val="24"/>
        </w:rPr>
        <w:t xml:space="preserve"> exclusiva, </w:t>
      </w:r>
      <w:r>
        <w:rPr>
          <w:rFonts w:ascii="Times New Roman" w:hAnsi="Times New Roman" w:cs="Times New Roman"/>
          <w:sz w:val="24"/>
        </w:rPr>
        <w:t xml:space="preserve">por exemplo, de idosos ou empresários. </w:t>
      </w:r>
    </w:p>
    <w:p w14:paraId="2C0631C5" w14:textId="38C52056" w:rsidR="00E459F0" w:rsidRDefault="00E459F0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Entretanto, </w:t>
      </w:r>
      <w:r w:rsidR="002A16FB">
        <w:rPr>
          <w:rFonts w:ascii="Times New Roman" w:hAnsi="Times New Roman" w:cs="Times New Roman"/>
          <w:sz w:val="24"/>
        </w:rPr>
        <w:t xml:space="preserve">surgem </w:t>
      </w:r>
      <w:r>
        <w:rPr>
          <w:rFonts w:ascii="Times New Roman" w:hAnsi="Times New Roman" w:cs="Times New Roman"/>
          <w:sz w:val="24"/>
        </w:rPr>
        <w:t xml:space="preserve">algumas problemáticas </w:t>
      </w:r>
      <w:r w:rsidR="002A16FB">
        <w:rPr>
          <w:rFonts w:ascii="Times New Roman" w:hAnsi="Times New Roman" w:cs="Times New Roman"/>
          <w:sz w:val="24"/>
        </w:rPr>
        <w:t>em virtude dessa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3A8B">
        <w:rPr>
          <w:rFonts w:ascii="Times New Roman" w:hAnsi="Times New Roman" w:cs="Times New Roman"/>
          <w:sz w:val="24"/>
        </w:rPr>
        <w:t>genericidade</w:t>
      </w:r>
      <w:proofErr w:type="spellEnd"/>
      <w:r>
        <w:rPr>
          <w:rFonts w:ascii="Times New Roman" w:hAnsi="Times New Roman" w:cs="Times New Roman"/>
          <w:sz w:val="24"/>
        </w:rPr>
        <w:t>. A partir do momento em que o legislador constituinte estabelece um panorama geral de direitos e garantias, por outro lado, em razão das particularida</w:t>
      </w:r>
      <w:r w:rsidR="00743A8B">
        <w:rPr>
          <w:rFonts w:ascii="Times New Roman" w:hAnsi="Times New Roman" w:cs="Times New Roman"/>
          <w:sz w:val="24"/>
        </w:rPr>
        <w:t xml:space="preserve">des de determinados grupos, </w:t>
      </w:r>
      <w:r w:rsidR="00743A8B">
        <w:rPr>
          <w:rFonts w:ascii="Times New Roman" w:hAnsi="Times New Roman" w:cs="Times New Roman"/>
          <w:sz w:val="24"/>
        </w:rPr>
        <w:lastRenderedPageBreak/>
        <w:t>pode haver uma proteção defasada</w:t>
      </w:r>
      <w:r w:rsidR="002A16FB">
        <w:rPr>
          <w:rFonts w:ascii="Times New Roman" w:hAnsi="Times New Roman" w:cs="Times New Roman"/>
          <w:sz w:val="24"/>
        </w:rPr>
        <w:t xml:space="preserve"> e insuficiente</w:t>
      </w:r>
      <w:r w:rsidR="00743A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235A6">
        <w:rPr>
          <w:rFonts w:ascii="Times New Roman" w:hAnsi="Times New Roman" w:cs="Times New Roman"/>
          <w:sz w:val="24"/>
        </w:rPr>
        <w:t xml:space="preserve">Norberto Bobbio, em sua famigerada obra </w:t>
      </w:r>
      <w:r w:rsidR="00E235A6">
        <w:rPr>
          <w:rFonts w:ascii="Times New Roman" w:hAnsi="Times New Roman" w:cs="Times New Roman"/>
          <w:i/>
          <w:sz w:val="24"/>
        </w:rPr>
        <w:t>A Era dos Direitos</w:t>
      </w:r>
      <w:r w:rsidR="00E235A6">
        <w:rPr>
          <w:rFonts w:ascii="Times New Roman" w:hAnsi="Times New Roman" w:cs="Times New Roman"/>
          <w:sz w:val="24"/>
        </w:rPr>
        <w:t>, assinala que:</w:t>
      </w:r>
    </w:p>
    <w:p w14:paraId="7CD2D32B" w14:textId="77777777" w:rsidR="00E235A6" w:rsidRDefault="00E235A6" w:rsidP="00E235A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3EFC1082" w14:textId="5584053D" w:rsidR="00E235A6" w:rsidRPr="00E235A6" w:rsidRDefault="00E235A6" w:rsidP="00E235A6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E235A6">
        <w:rPr>
          <w:rFonts w:ascii="Times New Roman" w:hAnsi="Times New Roman" w:cs="Times New Roman"/>
          <w:sz w:val="20"/>
        </w:rPr>
        <w:t xml:space="preserve">Deve-se recordar que o mais forte argumento adotado pelos reacionários de todos os países contra os direitos do homem, particularmente contra os direitos sociais, não é a sua falta de fundamento, mas a sua </w:t>
      </w:r>
      <w:proofErr w:type="spellStart"/>
      <w:r w:rsidRPr="00E235A6">
        <w:rPr>
          <w:rFonts w:ascii="Times New Roman" w:hAnsi="Times New Roman" w:cs="Times New Roman"/>
          <w:sz w:val="20"/>
        </w:rPr>
        <w:t>inexeqüibilidade</w:t>
      </w:r>
      <w:proofErr w:type="spellEnd"/>
      <w:r w:rsidRPr="00E235A6">
        <w:rPr>
          <w:rFonts w:ascii="Times New Roman" w:hAnsi="Times New Roman" w:cs="Times New Roman"/>
          <w:sz w:val="20"/>
        </w:rPr>
        <w:t xml:space="preserve">. Quando se trata de enunciá-los, o acordo é obtido com relativa facilidade, independentemente do maior ou menor poder de convicção de seu </w:t>
      </w:r>
      <w:r>
        <w:rPr>
          <w:rFonts w:ascii="Times New Roman" w:hAnsi="Times New Roman" w:cs="Times New Roman"/>
          <w:sz w:val="20"/>
        </w:rPr>
        <w:t>fundamen</w:t>
      </w:r>
      <w:r w:rsidRPr="00E235A6">
        <w:rPr>
          <w:rFonts w:ascii="Times New Roman" w:hAnsi="Times New Roman" w:cs="Times New Roman"/>
          <w:sz w:val="20"/>
        </w:rPr>
        <w:t>to absoluto; quando se trata de passar à ação, ainda que o fundamento seja inquestionável, começam as reservas e as oposições</w:t>
      </w:r>
      <w:r>
        <w:rPr>
          <w:rFonts w:ascii="Times New Roman" w:hAnsi="Times New Roman" w:cs="Times New Roman"/>
          <w:sz w:val="20"/>
        </w:rPr>
        <w:t xml:space="preserve"> (BOBBIO, 1909, p. 15-16)</w:t>
      </w:r>
      <w:r w:rsidRPr="00E235A6">
        <w:rPr>
          <w:rFonts w:ascii="Times New Roman" w:hAnsi="Times New Roman" w:cs="Times New Roman"/>
          <w:sz w:val="20"/>
        </w:rPr>
        <w:t>.</w:t>
      </w:r>
    </w:p>
    <w:p w14:paraId="0F580C03" w14:textId="77777777" w:rsidR="00E235A6" w:rsidRDefault="00E235A6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3FD19A3E" w14:textId="153AA194" w:rsidR="00E235A6" w:rsidRDefault="00E235A6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Bem por isso que “o problema fundamental em relação aos direitos do homem, hoje, não é tanto o de </w:t>
      </w:r>
      <w:r>
        <w:rPr>
          <w:rFonts w:ascii="Times New Roman" w:hAnsi="Times New Roman" w:cs="Times New Roman"/>
          <w:i/>
          <w:sz w:val="24"/>
        </w:rPr>
        <w:t xml:space="preserve">justificá-los, </w:t>
      </w:r>
      <w:r>
        <w:rPr>
          <w:rFonts w:ascii="Times New Roman" w:hAnsi="Times New Roman" w:cs="Times New Roman"/>
          <w:sz w:val="24"/>
        </w:rPr>
        <w:t xml:space="preserve">mas o de </w:t>
      </w:r>
      <w:r>
        <w:rPr>
          <w:rFonts w:ascii="Times New Roman" w:hAnsi="Times New Roman" w:cs="Times New Roman"/>
          <w:i/>
          <w:sz w:val="24"/>
        </w:rPr>
        <w:t>protegê-los</w:t>
      </w:r>
      <w:r>
        <w:rPr>
          <w:rFonts w:ascii="Times New Roman" w:hAnsi="Times New Roman" w:cs="Times New Roman"/>
          <w:sz w:val="24"/>
        </w:rPr>
        <w:t>. Trata-se de um problema não filosófico, mas político” (BOBBIO, 1909, p. 16).</w:t>
      </w:r>
      <w:r w:rsidR="00935E19">
        <w:rPr>
          <w:rFonts w:ascii="Times New Roman" w:hAnsi="Times New Roman" w:cs="Times New Roman"/>
          <w:sz w:val="24"/>
        </w:rPr>
        <w:t xml:space="preserve"> O ponto nevrálgico da questão, então, não é enumerar os direitos fundamentais em um documento escrito, mas protegê-los no mundo dos fatos.</w:t>
      </w:r>
    </w:p>
    <w:p w14:paraId="0164C396" w14:textId="5EF71459" w:rsidR="0096097F" w:rsidRDefault="00F6630A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Nesses matizes</w:t>
      </w:r>
      <w:r w:rsidR="0096097F">
        <w:rPr>
          <w:rFonts w:ascii="Times New Roman" w:hAnsi="Times New Roman" w:cs="Times New Roman"/>
          <w:sz w:val="24"/>
        </w:rPr>
        <w:t>, poder-se-ia analis</w:t>
      </w:r>
      <w:r w:rsidR="00580909">
        <w:rPr>
          <w:rFonts w:ascii="Times New Roman" w:hAnsi="Times New Roman" w:cs="Times New Roman"/>
          <w:sz w:val="24"/>
        </w:rPr>
        <w:t>ar tal problemática sob inúmeros seguimentos</w:t>
      </w:r>
      <w:r w:rsidR="0096097F">
        <w:rPr>
          <w:rFonts w:ascii="Times New Roman" w:hAnsi="Times New Roman" w:cs="Times New Roman"/>
          <w:sz w:val="24"/>
        </w:rPr>
        <w:t>, mas o presente tr</w:t>
      </w:r>
      <w:r w:rsidR="00580909">
        <w:rPr>
          <w:rFonts w:ascii="Times New Roman" w:hAnsi="Times New Roman" w:cs="Times New Roman"/>
          <w:sz w:val="24"/>
        </w:rPr>
        <w:t>abalho concentra-se apenas na proteção, emprestada pelo Brasil, às mulheres ante um c</w:t>
      </w:r>
      <w:r w:rsidR="002B6000">
        <w:rPr>
          <w:rFonts w:ascii="Times New Roman" w:hAnsi="Times New Roman" w:cs="Times New Roman"/>
          <w:sz w:val="24"/>
        </w:rPr>
        <w:t>enário devastador de violência.</w:t>
      </w:r>
    </w:p>
    <w:p w14:paraId="597684F6" w14:textId="7049353F" w:rsidR="0099778B" w:rsidRDefault="0099778B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experiência </w:t>
      </w:r>
      <w:r w:rsidR="002B6000">
        <w:rPr>
          <w:rFonts w:ascii="Times New Roman" w:hAnsi="Times New Roman" w:cs="Times New Roman"/>
          <w:sz w:val="24"/>
        </w:rPr>
        <w:t>brasileira, neste quesito</w:t>
      </w:r>
      <w:r w:rsidR="00973A01">
        <w:rPr>
          <w:rFonts w:ascii="Times New Roman" w:hAnsi="Times New Roman" w:cs="Times New Roman"/>
          <w:sz w:val="24"/>
        </w:rPr>
        <w:t>, não serve de modelo a</w:t>
      </w:r>
      <w:r>
        <w:rPr>
          <w:rFonts w:ascii="Times New Roman" w:hAnsi="Times New Roman" w:cs="Times New Roman"/>
          <w:sz w:val="24"/>
        </w:rPr>
        <w:t xml:space="preserve"> ser seguido por outros países. </w:t>
      </w:r>
      <w:r w:rsidR="005334FB">
        <w:rPr>
          <w:rFonts w:ascii="Times New Roman" w:hAnsi="Times New Roman" w:cs="Times New Roman"/>
          <w:sz w:val="24"/>
        </w:rPr>
        <w:t>Apesar da eficácia jurídica das normas constitucionais, os anos vestibulares da Constituição de 1988 não alteraram o cenário lúgubre de violência contra as mulheres que, historicamente, se construiu em solo brasileiro.</w:t>
      </w:r>
    </w:p>
    <w:p w14:paraId="7CE727C7" w14:textId="26D33661" w:rsidR="00FC0514" w:rsidRDefault="00FC0514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ápice, no entanto, rebentou com Maria da Penha Maia Fernandes. </w:t>
      </w:r>
      <w:r w:rsidR="002E71C7">
        <w:rPr>
          <w:rFonts w:ascii="Times New Roman" w:hAnsi="Times New Roman" w:cs="Times New Roman"/>
          <w:sz w:val="24"/>
        </w:rPr>
        <w:t>Nas lições de BORGES (2014, p. 11):</w:t>
      </w:r>
    </w:p>
    <w:p w14:paraId="64D6FDCB" w14:textId="77777777" w:rsidR="002E71C7" w:rsidRDefault="002E71C7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0FD9F4B8" w14:textId="16E55453" w:rsidR="002E71C7" w:rsidRPr="002E71C7" w:rsidRDefault="002E71C7" w:rsidP="002E71C7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partir da década de 90, o Brasil já tinha assinado diversos documentos internacionais de combate à violência contra a mulher (Convenção Americana dos Direitos Humanos (1992), Convenção Interamericana para Prevenir, Punir e Erradicar a Violência contra a Mulher (1994), Plataforma de Ação da IV Conferência Mundial sobre as Mulheres (1995), Protocolo Facultativo à Convenção sobre a Eliminação de Todas as Formas de Discriminação (1999)). </w:t>
      </w:r>
      <w:r>
        <w:rPr>
          <w:rFonts w:ascii="Times New Roman" w:hAnsi="Times New Roman" w:cs="Times New Roman"/>
          <w:sz w:val="20"/>
        </w:rPr>
        <w:lastRenderedPageBreak/>
        <w:t>Todavia, ainda não havia no país uma legislação específica para casos de violência doméstica.</w:t>
      </w:r>
    </w:p>
    <w:p w14:paraId="5954E99E" w14:textId="77777777" w:rsidR="002E71C7" w:rsidRDefault="002E71C7" w:rsidP="002E71C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9932F89" w14:textId="5C2CBC7A" w:rsidR="002E71C7" w:rsidRDefault="00504876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Apesar da assinatura à </w:t>
      </w:r>
      <w:r w:rsidR="002E71C7">
        <w:rPr>
          <w:rFonts w:ascii="Times New Roman" w:hAnsi="Times New Roman" w:cs="Times New Roman"/>
          <w:sz w:val="24"/>
        </w:rPr>
        <w:t>tais documentos, aparentemente não se efetivou, no Brasil, um sistema legítimo de proteção às mulheres.</w:t>
      </w:r>
      <w:r>
        <w:rPr>
          <w:rFonts w:ascii="Times New Roman" w:hAnsi="Times New Roman" w:cs="Times New Roman"/>
          <w:sz w:val="24"/>
        </w:rPr>
        <w:t xml:space="preserve"> Os casos de violência doméstica circundam-se por inúmeras peculiaridades, a começar pelos estigmas enraizados em muitos servidores públicos quanto a não confiabilidade nas palavras da mulher que se queixa de violência. </w:t>
      </w:r>
    </w:p>
    <w:p w14:paraId="3B476B63" w14:textId="77777777" w:rsidR="00504876" w:rsidRDefault="00504876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3DEF915A" w14:textId="65CC6D9A" w:rsidR="00504876" w:rsidRPr="00504876" w:rsidRDefault="00504876" w:rsidP="00504876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Eles ignoram, por exemplo, que as inúmeras denúncias nas delegacias são tentativas de confiar no sistema legal de fazem parte do processo de ruptura do denominado ciclo da violência doméstica. A mulher agredida não é uma mulher irracional, que não sabe o que quer. É uma mulher que está buscando, por meio de vários mecanismos, mudar a situação de violência. Como consequência, o tratamento jurídico dispensado a estes casos será fundamental para a mudança da situação e para a confiabilidade futura no sistema (CAMPOS, 2007, p. 146)</w:t>
      </w:r>
    </w:p>
    <w:p w14:paraId="2AA8021D" w14:textId="77777777" w:rsidR="00504876" w:rsidRDefault="00504876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0A65D2E7" w14:textId="593E4F25" w:rsidR="00504876" w:rsidRDefault="00504876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Há pouco, mencionou-se alguns documentos internacionais assinados pelo Brasil em prol do combate à violência contra a mulher. Um deles, no entanto, ganhou maior notoriedade, qual seja, a Convenção Interamericana para Prevenir, Punir e Erradicar a Violência contra a Mulher (“Convenção do Belém do Pará”), aprovada pela Organização dos Estados Americanos. </w:t>
      </w:r>
      <w:r w:rsidR="004A3C72">
        <w:rPr>
          <w:rFonts w:ascii="Times New Roman" w:hAnsi="Times New Roman" w:cs="Times New Roman"/>
          <w:sz w:val="24"/>
        </w:rPr>
        <w:t>Prenuncia o art. 7º da referida Convenção: “[o]s Estados Partes condenam todas as formas de violência contra a mulher e convêm adotar, por todos os meios apropriados e sem demora, políticas destinadas a prevenir, punir e erradicar tal violência [...]”.</w:t>
      </w:r>
    </w:p>
    <w:p w14:paraId="4AB33D2A" w14:textId="110C289E" w:rsidR="004A3C72" w:rsidRDefault="004A3C72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Brasil, como um de seus signatários, não poderia negligenciar tal determinação. Maria da Penha Fernandes, por outro lado, viveu o lado lúgubre da negligência do Estado </w:t>
      </w:r>
      <w:r w:rsidR="003E2A8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obedecer a referida Convenção. </w:t>
      </w:r>
      <w:r w:rsidR="003E2A8C">
        <w:rPr>
          <w:rFonts w:ascii="Times New Roman" w:hAnsi="Times New Roman" w:cs="Times New Roman"/>
          <w:sz w:val="24"/>
        </w:rPr>
        <w:t xml:space="preserve">Na omissão do Brasil em reprimir, adequadamente, as violências experimentadas por Maria da Penha, sobreveio-lhe uma </w:t>
      </w:r>
      <w:r w:rsidR="00F069E5">
        <w:rPr>
          <w:rFonts w:ascii="Times New Roman" w:hAnsi="Times New Roman" w:cs="Times New Roman"/>
          <w:sz w:val="24"/>
        </w:rPr>
        <w:t>reprimenda</w:t>
      </w:r>
      <w:r w:rsidR="003E2A8C">
        <w:rPr>
          <w:rFonts w:ascii="Times New Roman" w:hAnsi="Times New Roman" w:cs="Times New Roman"/>
          <w:sz w:val="24"/>
        </w:rPr>
        <w:t xml:space="preserve"> por parte da CIDH. </w:t>
      </w:r>
      <w:r>
        <w:rPr>
          <w:rFonts w:ascii="Times New Roman" w:hAnsi="Times New Roman" w:cs="Times New Roman"/>
          <w:sz w:val="24"/>
        </w:rPr>
        <w:t>Em síntese:</w:t>
      </w:r>
    </w:p>
    <w:p w14:paraId="3B2C323E" w14:textId="77777777" w:rsidR="004A3C72" w:rsidRDefault="004A3C72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1ED64613" w14:textId="5EB70A62" w:rsidR="004A3C72" w:rsidRPr="004A3C72" w:rsidRDefault="004A3C72" w:rsidP="004A3C72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Foi tendo por base a Convenção de Belém do Pará que se deu a condenação do Brasil pela negligência e omissão ante a violência doméstica sofrida por Maria da Penha Fernandes, que fora vítima de tentativa de homicídio por duas vezes, sendo ambas perpetradas </w:t>
      </w:r>
      <w:r w:rsidR="003E2A8C">
        <w:rPr>
          <w:rFonts w:ascii="Times New Roman" w:hAnsi="Times New Roman" w:cs="Times New Roman"/>
          <w:sz w:val="20"/>
        </w:rPr>
        <w:t>por seu então companheiro. O autor dos crimes, ainda que julgado culpado pela justiça brasileira, permanecia em liberdade depois de 15 anos da realização do julgamento perante o Tribunal do Júri devido aos sucessivos recursos judiciais de que se utilizou. O caso foi levado à Comissão Interamericana de Direitos Humanos e a impunidade do agressor de Maria da Penha Fernandes deu causa à advertência sofrida pelo País</w:t>
      </w:r>
      <w:r w:rsidR="00726B33">
        <w:rPr>
          <w:rFonts w:ascii="Times New Roman" w:hAnsi="Times New Roman" w:cs="Times New Roman"/>
          <w:sz w:val="20"/>
        </w:rPr>
        <w:t xml:space="preserve"> (COUTO, 2016, p. 57)</w:t>
      </w:r>
      <w:r w:rsidR="003E2A8C">
        <w:rPr>
          <w:rFonts w:ascii="Times New Roman" w:hAnsi="Times New Roman" w:cs="Times New Roman"/>
          <w:sz w:val="20"/>
        </w:rPr>
        <w:t>.</w:t>
      </w:r>
    </w:p>
    <w:p w14:paraId="1D4AFF40" w14:textId="77777777" w:rsidR="004A3C72" w:rsidRDefault="004A3C72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612F0481" w14:textId="22F361F2" w:rsidR="004A3C72" w:rsidRDefault="003E2A8C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Está aí algo de que o Brasil não pode se orgulhar. De outra banda, merece destaque a importância do Direito Internacional na garantia dos direitos das mulheres, sobretudo no que toca à violência doméstica. Não fosse a CID</w:t>
      </w:r>
      <w:r w:rsidR="00726B33">
        <w:rPr>
          <w:rFonts w:ascii="Times New Roman" w:hAnsi="Times New Roman" w:cs="Times New Roman"/>
          <w:sz w:val="24"/>
        </w:rPr>
        <w:t>H, sabe-se lá em quais</w:t>
      </w:r>
      <w:r>
        <w:rPr>
          <w:rFonts w:ascii="Times New Roman" w:hAnsi="Times New Roman" w:cs="Times New Roman"/>
          <w:sz w:val="24"/>
        </w:rPr>
        <w:t xml:space="preserve"> condições as mulheres estariam vivendo em solo brasileiro. </w:t>
      </w:r>
    </w:p>
    <w:p w14:paraId="0CADBB7E" w14:textId="77777777" w:rsidR="003E2A8C" w:rsidRDefault="003E2A8C" w:rsidP="003E2A8C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FFE8239" w14:textId="1303FE48" w:rsidR="003E2A8C" w:rsidRPr="003E2A8C" w:rsidRDefault="003E2A8C" w:rsidP="003E2A8C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As recomendações da Comissão ao Brasil se deram em cinco sentidos: 1) completar o processamento penal do autor dos crimes contra Maria da Penha Fernandes; 2) investigar a responsabilidade pelos atrasos injustificados no processamento do autor e aplicar as medidas administrativas cabíveis; 3) assegurar reparações simbólicas e materiais à vítima; 4) adotar medidas para evitar a tolerância estatal e o tratamento discriminatório dado a mulheres vítimas de violência de gênero no País; e 5) apresentar à Comissão um relatório informando o cumprimento das demais recomendações no prazo de 60 dias (COUTO, 2016, p. 57)</w:t>
      </w:r>
    </w:p>
    <w:p w14:paraId="4635E329" w14:textId="77777777" w:rsidR="003E2A8C" w:rsidRDefault="003E2A8C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1C587F54" w14:textId="60BACAF0" w:rsidR="003E2A8C" w:rsidRDefault="00080F82" w:rsidP="008D6F0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essa repressão internacional</w:t>
      </w:r>
      <w:r w:rsidR="001855C3">
        <w:rPr>
          <w:rFonts w:ascii="Times New Roman" w:hAnsi="Times New Roman" w:cs="Times New Roman"/>
          <w:sz w:val="24"/>
        </w:rPr>
        <w:t>, nasce, no Brasil, a Lei nº 11.340, de 7 de agosto de 2006, popularmente conhecida como Lei Maria da Penha.</w:t>
      </w:r>
      <w:r>
        <w:rPr>
          <w:rFonts w:ascii="Times New Roman" w:hAnsi="Times New Roman" w:cs="Times New Roman"/>
          <w:sz w:val="24"/>
        </w:rPr>
        <w:t xml:space="preserve"> Representa, inegavelmente, um marco histórico na tutela dos direitos das mulheres. No entanto, o destaque perseguido por este trabalho é a omissão do Estado brasileiro na repressão à violência doméstica.</w:t>
      </w:r>
    </w:p>
    <w:p w14:paraId="60885340" w14:textId="061ED077" w:rsidR="008D6F07" w:rsidRDefault="007C3007" w:rsidP="00B4335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Tal lei não passa, em verdade, de uma resposta (não uma tutela preventiva) à </w:t>
      </w:r>
      <w:r w:rsidR="00F069E5">
        <w:rPr>
          <w:rFonts w:ascii="Times New Roman" w:hAnsi="Times New Roman" w:cs="Times New Roman"/>
          <w:sz w:val="24"/>
        </w:rPr>
        <w:t>reprimenda</w:t>
      </w:r>
      <w:r>
        <w:rPr>
          <w:rFonts w:ascii="Times New Roman" w:hAnsi="Times New Roman" w:cs="Times New Roman"/>
          <w:sz w:val="24"/>
        </w:rPr>
        <w:t xml:space="preserve"> imposta ao Brasil pela Comissão Interamericana de Direitos Humanos no caso nº 12.051/OEA, de Maria da Penha Fernandes. Sendo a raiz de tal </w:t>
      </w:r>
      <w:r w:rsidR="00F069E5">
        <w:rPr>
          <w:rFonts w:ascii="Times New Roman" w:hAnsi="Times New Roman" w:cs="Times New Roman"/>
          <w:sz w:val="24"/>
        </w:rPr>
        <w:t>reprimenda</w:t>
      </w:r>
      <w:r>
        <w:rPr>
          <w:rFonts w:ascii="Times New Roman" w:hAnsi="Times New Roman" w:cs="Times New Roman"/>
          <w:sz w:val="24"/>
        </w:rPr>
        <w:t xml:space="preserve"> um país negligente, não há, nem de longe, o que se orgulhar. </w:t>
      </w:r>
    </w:p>
    <w:p w14:paraId="405F45FE" w14:textId="220CF053" w:rsidR="002A16FB" w:rsidRDefault="002A16FB" w:rsidP="00B4335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656C6BD4" w14:textId="2E74BF0D" w:rsidR="002A16FB" w:rsidRPr="002A16FB" w:rsidRDefault="002A16FB" w:rsidP="002A16F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CONCLUSÃO</w:t>
      </w:r>
    </w:p>
    <w:p w14:paraId="1E96ADF8" w14:textId="159CD73E" w:rsidR="002A16FB" w:rsidRDefault="002A16FB" w:rsidP="00B4335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3CFA1853" w14:textId="79177945" w:rsidR="002A16FB" w:rsidRDefault="00D25C3F" w:rsidP="00B4335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Considerando as premissas acima levantadas</w:t>
      </w:r>
      <w:r w:rsidR="002A16FB">
        <w:rPr>
          <w:rFonts w:ascii="Times New Roman" w:hAnsi="Times New Roman" w:cs="Times New Roman"/>
          <w:sz w:val="24"/>
        </w:rPr>
        <w:t>, denota-se que o Brasil, apesar de alçar a dignidade da pessoa humana ao posto de fundamento da República, deixou de observá-la no que toca às mulheres. Não há dignidade em um cenário de leniência à violência doméstica.</w:t>
      </w:r>
      <w:r w:rsidR="00F87633">
        <w:rPr>
          <w:rFonts w:ascii="Times New Roman" w:hAnsi="Times New Roman" w:cs="Times New Roman"/>
          <w:sz w:val="24"/>
        </w:rPr>
        <w:t xml:space="preserve"> Daí a importância dos tratados internacionais, pois foi por meio de um deles que a omissão do Brasil no dever de </w:t>
      </w:r>
      <w:r w:rsidR="00F069E5">
        <w:rPr>
          <w:rFonts w:ascii="Times New Roman" w:hAnsi="Times New Roman" w:cs="Times New Roman"/>
          <w:sz w:val="24"/>
        </w:rPr>
        <w:t>coibir</w:t>
      </w:r>
      <w:r w:rsidR="00F87633">
        <w:rPr>
          <w:rFonts w:ascii="Times New Roman" w:hAnsi="Times New Roman" w:cs="Times New Roman"/>
          <w:sz w:val="24"/>
        </w:rPr>
        <w:t xml:space="preserve"> a violência doméstic</w:t>
      </w:r>
      <w:r w:rsidR="00F069E5">
        <w:rPr>
          <w:rFonts w:ascii="Times New Roman" w:hAnsi="Times New Roman" w:cs="Times New Roman"/>
          <w:sz w:val="24"/>
        </w:rPr>
        <w:t>a custou-lhe uma reprimenda perante a</w:t>
      </w:r>
      <w:r w:rsidR="00F87633">
        <w:rPr>
          <w:rFonts w:ascii="Times New Roman" w:hAnsi="Times New Roman" w:cs="Times New Roman"/>
          <w:sz w:val="24"/>
        </w:rPr>
        <w:t xml:space="preserve"> Comissão Interamericana de Direitos Humanos.</w:t>
      </w:r>
    </w:p>
    <w:p w14:paraId="5E978324" w14:textId="751ABABE" w:rsidR="00751BE9" w:rsidRDefault="00751BE9" w:rsidP="00B4335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 não só isso, muito em virtude de tal </w:t>
      </w:r>
      <w:r w:rsidR="00F069E5">
        <w:rPr>
          <w:rFonts w:ascii="Times New Roman" w:hAnsi="Times New Roman" w:cs="Times New Roman"/>
          <w:sz w:val="24"/>
        </w:rPr>
        <w:t>admoestação</w:t>
      </w:r>
      <w:r>
        <w:rPr>
          <w:rFonts w:ascii="Times New Roman" w:hAnsi="Times New Roman" w:cs="Times New Roman"/>
          <w:sz w:val="24"/>
        </w:rPr>
        <w:t xml:space="preserve">, hoje, no Brasil, as mulheres possuem uma legislação específica de proteção aos seus direitos, popularmente conhecida como Lei Maria da Penha. Portanto, se hoje o direito doméstico oferece uma proteção </w:t>
      </w:r>
      <w:r w:rsidR="00D25C3F">
        <w:rPr>
          <w:rFonts w:ascii="Times New Roman" w:hAnsi="Times New Roman" w:cs="Times New Roman"/>
          <w:sz w:val="24"/>
        </w:rPr>
        <w:t xml:space="preserve">digna </w:t>
      </w:r>
      <w:r>
        <w:rPr>
          <w:rFonts w:ascii="Times New Roman" w:hAnsi="Times New Roman" w:cs="Times New Roman"/>
          <w:sz w:val="24"/>
        </w:rPr>
        <w:t xml:space="preserve">às mulheres, não se dê mérito ao Estado brasileiro, mas aos tratados internacionais e </w:t>
      </w:r>
      <w:r w:rsidR="00D25C3F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eficácia jurídica das sentenças internacionais. </w:t>
      </w:r>
    </w:p>
    <w:p w14:paraId="383B3DA8" w14:textId="77777777" w:rsidR="00B4335F" w:rsidRDefault="00B4335F" w:rsidP="00B4335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68EEA1C1" w14:textId="241A666B" w:rsidR="008D6F07" w:rsidRDefault="008D6F07" w:rsidP="008D6F0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 BIBLIOGRÁFICAS</w:t>
      </w:r>
    </w:p>
    <w:p w14:paraId="70D83602" w14:textId="77777777" w:rsidR="00216897" w:rsidRDefault="00216897" w:rsidP="008D6F0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234A817" w14:textId="08CA271B" w:rsidR="00DF342A" w:rsidRDefault="00DF342A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BOBBIO, Norberto. </w:t>
      </w:r>
      <w:r>
        <w:rPr>
          <w:rFonts w:ascii="Times New Roman" w:hAnsi="Times New Roman" w:cs="Times New Roman"/>
          <w:i/>
          <w:sz w:val="24"/>
        </w:rPr>
        <w:t xml:space="preserve">A era dos direitos. </w:t>
      </w:r>
      <w:r>
        <w:rPr>
          <w:rFonts w:ascii="Times New Roman" w:hAnsi="Times New Roman" w:cs="Times New Roman"/>
          <w:sz w:val="24"/>
        </w:rPr>
        <w:t>1909. Trad. Carlos Nelson Coutinho; apresentação de Celso Lafer. Nova ed. Rio de Janeiro: Elsevier, 2004.</w:t>
      </w:r>
    </w:p>
    <w:p w14:paraId="2DB8F80A" w14:textId="77777777" w:rsidR="00726B33" w:rsidRDefault="00726B33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C1053CD" w14:textId="1FE6BC5D" w:rsidR="00726B33" w:rsidRDefault="00726B33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726B33">
        <w:rPr>
          <w:rFonts w:ascii="Times New Roman" w:hAnsi="Times New Roman" w:cs="Times New Roman"/>
          <w:sz w:val="24"/>
        </w:rPr>
        <w:t xml:space="preserve">BORGES, Bruna </w:t>
      </w:r>
      <w:proofErr w:type="spellStart"/>
      <w:r w:rsidRPr="00726B33">
        <w:rPr>
          <w:rFonts w:ascii="Times New Roman" w:hAnsi="Times New Roman" w:cs="Times New Roman"/>
          <w:sz w:val="24"/>
        </w:rPr>
        <w:t>Pugialli</w:t>
      </w:r>
      <w:proofErr w:type="spellEnd"/>
      <w:r w:rsidRPr="00726B33">
        <w:rPr>
          <w:rFonts w:ascii="Times New Roman" w:hAnsi="Times New Roman" w:cs="Times New Roman"/>
          <w:sz w:val="24"/>
        </w:rPr>
        <w:t xml:space="preserve"> da Silva. </w:t>
      </w:r>
      <w:r w:rsidRPr="00726B33">
        <w:rPr>
          <w:rFonts w:ascii="Times New Roman" w:hAnsi="Times New Roman" w:cs="Times New Roman"/>
          <w:bCs/>
          <w:i/>
          <w:sz w:val="24"/>
        </w:rPr>
        <w:t>Violência contra a mulher</w:t>
      </w:r>
      <w:r w:rsidRPr="00726B33">
        <w:rPr>
          <w:rFonts w:ascii="Times New Roman" w:hAnsi="Times New Roman" w:cs="Times New Roman"/>
          <w:sz w:val="24"/>
        </w:rPr>
        <w:t>: uma análise do caso brasileiro. 2014. Dissertação (Mestrado em Teoria Econômica) - Faculdade de Economia, Administração e Contabilidade, Universidade de São Paulo, São Paulo, 2014. doi:10.11606/D.12.2014.tde-03112014-174044. Acesso em: 2020-10-30.</w:t>
      </w:r>
    </w:p>
    <w:p w14:paraId="7BD58388" w14:textId="77777777" w:rsidR="007342A2" w:rsidRDefault="007342A2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923F0BE" w14:textId="1D30C5A8" w:rsidR="007342A2" w:rsidRPr="00DF342A" w:rsidRDefault="007342A2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7342A2">
        <w:rPr>
          <w:rFonts w:ascii="Times New Roman" w:hAnsi="Times New Roman" w:cs="Times New Roman"/>
          <w:sz w:val="24"/>
        </w:rPr>
        <w:t>BRASIL,</w:t>
      </w:r>
      <w:r w:rsidRPr="007342A2">
        <w:rPr>
          <w:rFonts w:ascii="Times New Roman" w:hAnsi="Times New Roman" w:cs="Times New Roman"/>
          <w:b/>
          <w:sz w:val="24"/>
        </w:rPr>
        <w:t xml:space="preserve"> </w:t>
      </w:r>
      <w:r w:rsidRPr="00F62176">
        <w:rPr>
          <w:rFonts w:ascii="Times New Roman" w:hAnsi="Times New Roman" w:cs="Times New Roman"/>
          <w:sz w:val="24"/>
        </w:rPr>
        <w:t>Lei nº 11.340, de 07 de agosto de 2002</w:t>
      </w:r>
      <w:r w:rsidRPr="007342A2">
        <w:rPr>
          <w:rFonts w:ascii="Times New Roman" w:hAnsi="Times New Roman" w:cs="Times New Roman"/>
          <w:b/>
          <w:sz w:val="24"/>
        </w:rPr>
        <w:t>.</w:t>
      </w:r>
      <w:r w:rsidR="00F62176">
        <w:rPr>
          <w:rFonts w:ascii="Times New Roman" w:hAnsi="Times New Roman" w:cs="Times New Roman"/>
          <w:b/>
          <w:sz w:val="24"/>
        </w:rPr>
        <w:t xml:space="preserve"> </w:t>
      </w:r>
      <w:r w:rsidR="00F62176">
        <w:rPr>
          <w:rFonts w:ascii="Times New Roman" w:hAnsi="Times New Roman" w:cs="Times New Roman"/>
          <w:i/>
          <w:sz w:val="24"/>
        </w:rPr>
        <w:t>Lei Maria da Penha.</w:t>
      </w:r>
      <w:r w:rsidRPr="007342A2">
        <w:rPr>
          <w:rFonts w:ascii="Times New Roman" w:hAnsi="Times New Roman" w:cs="Times New Roman"/>
          <w:b/>
          <w:sz w:val="24"/>
        </w:rPr>
        <w:t xml:space="preserve"> </w:t>
      </w:r>
      <w:r w:rsidRPr="007342A2">
        <w:rPr>
          <w:rFonts w:ascii="Times New Roman" w:hAnsi="Times New Roman" w:cs="Times New Roman"/>
          <w:sz w:val="24"/>
        </w:rPr>
        <w:t xml:space="preserve"> Disponível em: http://www.planalto.gov.br/ccivil_03/_ato2004-2006/2006/lei/l11340.htm. Acesso em: </w:t>
      </w:r>
      <w:r>
        <w:rPr>
          <w:rFonts w:ascii="Times New Roman" w:hAnsi="Times New Roman" w:cs="Times New Roman"/>
          <w:sz w:val="24"/>
        </w:rPr>
        <w:t>30</w:t>
      </w:r>
      <w:r w:rsidRPr="007342A2">
        <w:rPr>
          <w:rFonts w:ascii="Times New Roman" w:hAnsi="Times New Roman" w:cs="Times New Roman"/>
          <w:sz w:val="24"/>
        </w:rPr>
        <w:t xml:space="preserve"> out. 2020.</w:t>
      </w:r>
    </w:p>
    <w:p w14:paraId="50A52C85" w14:textId="77777777" w:rsidR="00BA403C" w:rsidRDefault="00BA403C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7CBEF7E4" w14:textId="3E632BA5" w:rsidR="00504876" w:rsidRDefault="00504876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CAMPOS, Carmen Hein de. Violência doméstica e direito penal crítico. </w:t>
      </w:r>
      <w:r>
        <w:rPr>
          <w:rFonts w:ascii="Times New Roman" w:hAnsi="Times New Roman" w:cs="Times New Roman"/>
          <w:i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 xml:space="preserve">JONAS, </w:t>
      </w:r>
      <w:proofErr w:type="spellStart"/>
      <w:r>
        <w:rPr>
          <w:rFonts w:ascii="Times New Roman" w:hAnsi="Times New Roman" w:cs="Times New Roman"/>
          <w:sz w:val="24"/>
        </w:rPr>
        <w:t>Eline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Violências Esculpidas. </w:t>
      </w:r>
      <w:r>
        <w:rPr>
          <w:rFonts w:ascii="Times New Roman" w:hAnsi="Times New Roman" w:cs="Times New Roman"/>
          <w:sz w:val="24"/>
        </w:rPr>
        <w:t>Goiânia: Editora da UCG, 2007.</w:t>
      </w:r>
    </w:p>
    <w:p w14:paraId="2F164D03" w14:textId="77777777" w:rsidR="00726B33" w:rsidRDefault="00726B33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059525CA" w14:textId="4EF312B1" w:rsidR="00726B33" w:rsidRDefault="00726B33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726B33">
        <w:rPr>
          <w:rFonts w:ascii="Times New Roman" w:hAnsi="Times New Roman" w:cs="Times New Roman"/>
          <w:sz w:val="24"/>
        </w:rPr>
        <w:lastRenderedPageBreak/>
        <w:t xml:space="preserve">COUTO, Maria Claudia </w:t>
      </w:r>
      <w:proofErr w:type="spellStart"/>
      <w:r w:rsidRPr="00726B33">
        <w:rPr>
          <w:rFonts w:ascii="Times New Roman" w:hAnsi="Times New Roman" w:cs="Times New Roman"/>
          <w:sz w:val="24"/>
        </w:rPr>
        <w:t>Girotto</w:t>
      </w:r>
      <w:proofErr w:type="spellEnd"/>
      <w:r w:rsidRPr="00726B33">
        <w:rPr>
          <w:rFonts w:ascii="Times New Roman" w:hAnsi="Times New Roman" w:cs="Times New Roman"/>
          <w:sz w:val="24"/>
        </w:rPr>
        <w:t xml:space="preserve"> do. </w:t>
      </w:r>
      <w:r w:rsidRPr="00726B33">
        <w:rPr>
          <w:rFonts w:ascii="Times New Roman" w:hAnsi="Times New Roman" w:cs="Times New Roman"/>
          <w:bCs/>
          <w:i/>
          <w:sz w:val="24"/>
        </w:rPr>
        <w:t>Lei Maria da Penha e princípio da subsidiariedade</w:t>
      </w:r>
      <w:r w:rsidRPr="00726B33">
        <w:rPr>
          <w:rFonts w:ascii="Times New Roman" w:hAnsi="Times New Roman" w:cs="Times New Roman"/>
          <w:sz w:val="24"/>
        </w:rPr>
        <w:t>: diálogo entre um direito penal mínimo e as demandas de proteção contra a violência de gênero no Brasil. 2016. Dissertação (Mestrado em Direito Penal) - Faculdade de Direito, Universidade de São Paulo, São Paulo, 2016. doi:10.11606/D.2.2016.tde-18112016-163414. Acesso em: 2020-10-30.</w:t>
      </w:r>
    </w:p>
    <w:p w14:paraId="7D8E400A" w14:textId="77777777" w:rsidR="00504876" w:rsidRDefault="00504876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6BCE3914" w14:textId="2ECDD8CE" w:rsidR="00BA403C" w:rsidRPr="00BA403C" w:rsidRDefault="00BA403C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FOUCAULT, Michel. </w:t>
      </w:r>
      <w:r>
        <w:rPr>
          <w:rFonts w:ascii="Times New Roman" w:hAnsi="Times New Roman" w:cs="Times New Roman"/>
          <w:i/>
          <w:sz w:val="24"/>
        </w:rPr>
        <w:t xml:space="preserve">Microfísica do poder. </w:t>
      </w:r>
      <w:r>
        <w:rPr>
          <w:rFonts w:ascii="Times New Roman" w:hAnsi="Times New Roman" w:cs="Times New Roman"/>
          <w:sz w:val="24"/>
        </w:rPr>
        <w:t xml:space="preserve">Org., </w:t>
      </w:r>
      <w:proofErr w:type="spellStart"/>
      <w:r>
        <w:rPr>
          <w:rFonts w:ascii="Times New Roman" w:hAnsi="Times New Roman" w:cs="Times New Roman"/>
          <w:sz w:val="24"/>
        </w:rPr>
        <w:t>introd</w:t>
      </w:r>
      <w:proofErr w:type="spellEnd"/>
      <w:r>
        <w:rPr>
          <w:rFonts w:ascii="Times New Roman" w:hAnsi="Times New Roman" w:cs="Times New Roman"/>
          <w:sz w:val="24"/>
        </w:rPr>
        <w:t>. e rev. técnica de Roberto Machado, 5.ª ed. Rio de Janeiro, Graal, 1985.</w:t>
      </w:r>
    </w:p>
    <w:p w14:paraId="6BA9CA99" w14:textId="77777777" w:rsidR="00BA403C" w:rsidRDefault="00BA403C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3D7E386" w14:textId="4BB97C94" w:rsidR="008D6F07" w:rsidRDefault="008D6F07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MARTINEZ, </w:t>
      </w:r>
      <w:proofErr w:type="spellStart"/>
      <w:r>
        <w:rPr>
          <w:rFonts w:ascii="Times New Roman" w:hAnsi="Times New Roman" w:cs="Times New Roman"/>
          <w:sz w:val="24"/>
        </w:rPr>
        <w:t>Gregorio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Peces</w:t>
      </w:r>
      <w:proofErr w:type="spellEnd"/>
      <w:r>
        <w:rPr>
          <w:rFonts w:ascii="Times New Roman" w:hAnsi="Times New Roman" w:cs="Times New Roman"/>
          <w:sz w:val="24"/>
        </w:rPr>
        <w:t xml:space="preserve">-Barba. </w:t>
      </w:r>
      <w:proofErr w:type="spellStart"/>
      <w:r>
        <w:rPr>
          <w:rFonts w:ascii="Times New Roman" w:hAnsi="Times New Roman" w:cs="Times New Roman"/>
          <w:i/>
          <w:sz w:val="24"/>
        </w:rPr>
        <w:t>Derecho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</w:rPr>
        <w:t>derechos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fundamentales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Madrid, Centro de </w:t>
      </w:r>
      <w:proofErr w:type="spellStart"/>
      <w:r>
        <w:rPr>
          <w:rFonts w:ascii="Times New Roman" w:hAnsi="Times New Roman" w:cs="Times New Roman"/>
          <w:sz w:val="24"/>
        </w:rPr>
        <w:t>Estudios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Constitucionales</w:t>
      </w:r>
      <w:proofErr w:type="spellEnd"/>
      <w:r>
        <w:rPr>
          <w:rFonts w:ascii="Times New Roman" w:hAnsi="Times New Roman" w:cs="Times New Roman"/>
          <w:sz w:val="24"/>
        </w:rPr>
        <w:t>, 1993.</w:t>
      </w:r>
    </w:p>
    <w:p w14:paraId="25ED2464" w14:textId="1599D604" w:rsidR="00216897" w:rsidRDefault="00216897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9B40815" w14:textId="38D62760" w:rsidR="00216897" w:rsidRPr="00216897" w:rsidRDefault="00216897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OEA. </w:t>
      </w:r>
      <w:r>
        <w:rPr>
          <w:rFonts w:ascii="Times New Roman" w:hAnsi="Times New Roman" w:cs="Times New Roman"/>
          <w:i/>
          <w:iCs/>
          <w:sz w:val="24"/>
        </w:rPr>
        <w:t xml:space="preserve">Convenção Interamericana para Prevenir, Punir e Erradicar a Violência contra a Mulher. </w:t>
      </w:r>
      <w:r>
        <w:rPr>
          <w:rFonts w:ascii="Times New Roman" w:hAnsi="Times New Roman" w:cs="Times New Roman"/>
          <w:sz w:val="24"/>
        </w:rPr>
        <w:t xml:space="preserve">1994. Disponível em: </w:t>
      </w:r>
      <w:r w:rsidRPr="00216897">
        <w:rPr>
          <w:rFonts w:ascii="Times New Roman" w:hAnsi="Times New Roman" w:cs="Times New Roman"/>
          <w:sz w:val="24"/>
        </w:rPr>
        <w:t>http://www.oas.org/juridico/portuguese/treaties/a-61.htm</w:t>
      </w:r>
      <w:r>
        <w:rPr>
          <w:rFonts w:ascii="Times New Roman" w:hAnsi="Times New Roman" w:cs="Times New Roman"/>
          <w:sz w:val="24"/>
        </w:rPr>
        <w:t>. Acesso em: 30 out. 2020.</w:t>
      </w:r>
    </w:p>
    <w:p w14:paraId="7CE5E920" w14:textId="77777777" w:rsidR="005D6EF6" w:rsidRPr="008D6F07" w:rsidRDefault="005D6EF6" w:rsidP="00E370C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DED8854" w14:textId="77777777" w:rsidR="00A86C82" w:rsidRPr="005E7C50" w:rsidRDefault="00A86C82" w:rsidP="00A86C82">
      <w:pPr>
        <w:jc w:val="center"/>
        <w:rPr>
          <w:rFonts w:ascii="Times New Roman" w:hAnsi="Times New Roman" w:cs="Times New Roman"/>
          <w:lang w:val="pt-PT"/>
        </w:rPr>
      </w:pPr>
    </w:p>
    <w:sectPr w:rsidR="00A86C82" w:rsidRPr="005E7C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CFB47" w14:textId="77777777" w:rsidR="00B01945" w:rsidRDefault="00B01945" w:rsidP="00A86C82">
      <w:pPr>
        <w:spacing w:after="0" w:line="240" w:lineRule="auto"/>
      </w:pPr>
      <w:r>
        <w:separator/>
      </w:r>
    </w:p>
  </w:endnote>
  <w:endnote w:type="continuationSeparator" w:id="0">
    <w:p w14:paraId="5E37FC49" w14:textId="77777777" w:rsidR="00B01945" w:rsidRDefault="00B01945" w:rsidP="00A8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93984" w14:textId="77777777" w:rsidR="00B01945" w:rsidRDefault="00B01945" w:rsidP="00A86C82">
      <w:pPr>
        <w:spacing w:after="0" w:line="240" w:lineRule="auto"/>
      </w:pPr>
      <w:r>
        <w:separator/>
      </w:r>
    </w:p>
  </w:footnote>
  <w:footnote w:type="continuationSeparator" w:id="0">
    <w:p w14:paraId="69ABAC19" w14:textId="77777777" w:rsidR="00B01945" w:rsidRDefault="00B01945" w:rsidP="00A8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99587" w14:textId="77777777" w:rsidR="00A86C82" w:rsidRDefault="00A86C82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B5072A" wp14:editId="74E08370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3A3CB3" w14:textId="77777777" w:rsidR="00A86C82" w:rsidRDefault="00A86C82">
    <w:pPr>
      <w:pStyle w:val="Header"/>
    </w:pPr>
  </w:p>
  <w:p w14:paraId="44378501" w14:textId="77777777" w:rsidR="00A86C82" w:rsidRDefault="00A86C82">
    <w:pPr>
      <w:pStyle w:val="Header"/>
    </w:pPr>
  </w:p>
  <w:p w14:paraId="20F6595F" w14:textId="32B916D1" w:rsidR="00A86C82" w:rsidRDefault="00D93BDA" w:rsidP="00D93BDA">
    <w:pPr>
      <w:pStyle w:val="Header"/>
      <w:tabs>
        <w:tab w:val="clear" w:pos="4513"/>
        <w:tab w:val="clear" w:pos="9026"/>
        <w:tab w:val="left" w:pos="2355"/>
      </w:tabs>
    </w:pPr>
    <w:r>
      <w:tab/>
    </w:r>
  </w:p>
  <w:p w14:paraId="25CF5B78" w14:textId="77777777" w:rsidR="00A86C82" w:rsidRDefault="00A86C82">
    <w:pPr>
      <w:pStyle w:val="Header"/>
    </w:pPr>
  </w:p>
  <w:p w14:paraId="1EF4C8C9" w14:textId="77777777" w:rsidR="00A86C82" w:rsidRDefault="00A86C82">
    <w:pPr>
      <w:pStyle w:val="Header"/>
    </w:pPr>
  </w:p>
  <w:p w14:paraId="2FC797B8" w14:textId="77777777" w:rsidR="00A86C82" w:rsidRDefault="00A86C82">
    <w:pPr>
      <w:pStyle w:val="Header"/>
    </w:pPr>
  </w:p>
  <w:p w14:paraId="17143960" w14:textId="77777777" w:rsidR="00A86C82" w:rsidRDefault="00A86C82" w:rsidP="00E14A86">
    <w:pPr>
      <w:pStyle w:val="Header"/>
      <w:tabs>
        <w:tab w:val="clear" w:pos="4513"/>
        <w:tab w:val="clear" w:pos="9026"/>
        <w:tab w:val="left" w:pos="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82"/>
    <w:rsid w:val="000038EB"/>
    <w:rsid w:val="00056FDF"/>
    <w:rsid w:val="0007184C"/>
    <w:rsid w:val="00080F82"/>
    <w:rsid w:val="0009351C"/>
    <w:rsid w:val="000A3801"/>
    <w:rsid w:val="000D2A7A"/>
    <w:rsid w:val="00123886"/>
    <w:rsid w:val="001246F3"/>
    <w:rsid w:val="0013025F"/>
    <w:rsid w:val="00136F34"/>
    <w:rsid w:val="00141442"/>
    <w:rsid w:val="00173172"/>
    <w:rsid w:val="001855C3"/>
    <w:rsid w:val="001C2CE1"/>
    <w:rsid w:val="001F436D"/>
    <w:rsid w:val="00216897"/>
    <w:rsid w:val="00221BE5"/>
    <w:rsid w:val="00230FF8"/>
    <w:rsid w:val="00235587"/>
    <w:rsid w:val="00244E35"/>
    <w:rsid w:val="002460AD"/>
    <w:rsid w:val="00251692"/>
    <w:rsid w:val="0026064B"/>
    <w:rsid w:val="00275D1E"/>
    <w:rsid w:val="002824C2"/>
    <w:rsid w:val="002A16FB"/>
    <w:rsid w:val="002A34EE"/>
    <w:rsid w:val="002A5B75"/>
    <w:rsid w:val="002B6000"/>
    <w:rsid w:val="002D2934"/>
    <w:rsid w:val="002E71C7"/>
    <w:rsid w:val="003053BB"/>
    <w:rsid w:val="00316019"/>
    <w:rsid w:val="00317DD6"/>
    <w:rsid w:val="0032488C"/>
    <w:rsid w:val="00334B02"/>
    <w:rsid w:val="003940F6"/>
    <w:rsid w:val="00397477"/>
    <w:rsid w:val="003A5D65"/>
    <w:rsid w:val="003B4876"/>
    <w:rsid w:val="003E0216"/>
    <w:rsid w:val="003E2A8C"/>
    <w:rsid w:val="003E4092"/>
    <w:rsid w:val="003E6768"/>
    <w:rsid w:val="00403103"/>
    <w:rsid w:val="00423E05"/>
    <w:rsid w:val="004330F9"/>
    <w:rsid w:val="004346B2"/>
    <w:rsid w:val="00453EFB"/>
    <w:rsid w:val="00467E58"/>
    <w:rsid w:val="0048442D"/>
    <w:rsid w:val="0049364B"/>
    <w:rsid w:val="004976DC"/>
    <w:rsid w:val="004A1ABB"/>
    <w:rsid w:val="004A3C72"/>
    <w:rsid w:val="00504876"/>
    <w:rsid w:val="005334FB"/>
    <w:rsid w:val="005632CA"/>
    <w:rsid w:val="00580909"/>
    <w:rsid w:val="00595427"/>
    <w:rsid w:val="005B34E1"/>
    <w:rsid w:val="005D6EF6"/>
    <w:rsid w:val="005E4C83"/>
    <w:rsid w:val="005E7749"/>
    <w:rsid w:val="005E7C50"/>
    <w:rsid w:val="005F774C"/>
    <w:rsid w:val="00633E8F"/>
    <w:rsid w:val="006473E9"/>
    <w:rsid w:val="00657C21"/>
    <w:rsid w:val="00672D33"/>
    <w:rsid w:val="00680A32"/>
    <w:rsid w:val="00683C89"/>
    <w:rsid w:val="006C3D75"/>
    <w:rsid w:val="006D56F5"/>
    <w:rsid w:val="00710FB8"/>
    <w:rsid w:val="00726B33"/>
    <w:rsid w:val="007342A2"/>
    <w:rsid w:val="00743A8B"/>
    <w:rsid w:val="00751BE9"/>
    <w:rsid w:val="00792B79"/>
    <w:rsid w:val="007B3535"/>
    <w:rsid w:val="007C3007"/>
    <w:rsid w:val="007C7D12"/>
    <w:rsid w:val="007E4BDE"/>
    <w:rsid w:val="00800943"/>
    <w:rsid w:val="00815DD8"/>
    <w:rsid w:val="008706B1"/>
    <w:rsid w:val="00885D4B"/>
    <w:rsid w:val="008A3A19"/>
    <w:rsid w:val="008D6F07"/>
    <w:rsid w:val="008E62BE"/>
    <w:rsid w:val="009104E1"/>
    <w:rsid w:val="00914220"/>
    <w:rsid w:val="009277C0"/>
    <w:rsid w:val="00935E19"/>
    <w:rsid w:val="0096097F"/>
    <w:rsid w:val="00973A01"/>
    <w:rsid w:val="009818B0"/>
    <w:rsid w:val="00985B08"/>
    <w:rsid w:val="0099778B"/>
    <w:rsid w:val="009B29DB"/>
    <w:rsid w:val="009B3D48"/>
    <w:rsid w:val="009B72BF"/>
    <w:rsid w:val="009E1A9F"/>
    <w:rsid w:val="009E447A"/>
    <w:rsid w:val="009F5730"/>
    <w:rsid w:val="00A06C80"/>
    <w:rsid w:val="00A20E4B"/>
    <w:rsid w:val="00A320F3"/>
    <w:rsid w:val="00A86C82"/>
    <w:rsid w:val="00B01945"/>
    <w:rsid w:val="00B32CF0"/>
    <w:rsid w:val="00B4335F"/>
    <w:rsid w:val="00B527F5"/>
    <w:rsid w:val="00B62A60"/>
    <w:rsid w:val="00B675BE"/>
    <w:rsid w:val="00BA403C"/>
    <w:rsid w:val="00BA7F1F"/>
    <w:rsid w:val="00BB6720"/>
    <w:rsid w:val="00BC1A48"/>
    <w:rsid w:val="00BE6C4A"/>
    <w:rsid w:val="00C370E4"/>
    <w:rsid w:val="00CB525C"/>
    <w:rsid w:val="00CC1746"/>
    <w:rsid w:val="00CC3629"/>
    <w:rsid w:val="00CC758A"/>
    <w:rsid w:val="00CD06BD"/>
    <w:rsid w:val="00D25C3F"/>
    <w:rsid w:val="00D317DE"/>
    <w:rsid w:val="00D35FE4"/>
    <w:rsid w:val="00D57E32"/>
    <w:rsid w:val="00D61F36"/>
    <w:rsid w:val="00D93BDA"/>
    <w:rsid w:val="00DF342A"/>
    <w:rsid w:val="00E22D20"/>
    <w:rsid w:val="00E235A6"/>
    <w:rsid w:val="00E370C3"/>
    <w:rsid w:val="00E43786"/>
    <w:rsid w:val="00E459F0"/>
    <w:rsid w:val="00ED4AA7"/>
    <w:rsid w:val="00EE1BA6"/>
    <w:rsid w:val="00F069E5"/>
    <w:rsid w:val="00F34450"/>
    <w:rsid w:val="00F444D0"/>
    <w:rsid w:val="00F62176"/>
    <w:rsid w:val="00F6630A"/>
    <w:rsid w:val="00F81D2B"/>
    <w:rsid w:val="00F83F4E"/>
    <w:rsid w:val="00F87633"/>
    <w:rsid w:val="00F96AB1"/>
    <w:rsid w:val="00FC0514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D90F1"/>
  <w15:chartTrackingRefBased/>
  <w15:docId w15:val="{897915DD-49C6-4CC3-A333-3D1F3D74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82"/>
  </w:style>
  <w:style w:type="character" w:styleId="Hyperlink">
    <w:name w:val="Hyperlink"/>
    <w:basedOn w:val="DefaultParagraphFont"/>
    <w:uiPriority w:val="99"/>
    <w:unhideWhenUsed/>
    <w:rsid w:val="00D35F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35F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D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D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DD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93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AB2E-0F25-4233-B41B-642B85DE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1941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Aliança</dc:creator>
  <cp:keywords/>
  <dc:description/>
  <cp:lastModifiedBy>Amanda Reis</cp:lastModifiedBy>
  <cp:revision>44</cp:revision>
  <dcterms:created xsi:type="dcterms:W3CDTF">2020-10-29T13:15:00Z</dcterms:created>
  <dcterms:modified xsi:type="dcterms:W3CDTF">2020-11-17T19:50:00Z</dcterms:modified>
</cp:coreProperties>
</file>