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br w:type="textWrapping"/>
        <w:t xml:space="preserve">Membrana de polisulfona com nanopartículas de dióxido de titânio para tratamento de águas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Camila Alves Schimidel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Rayanne Penha Wandenkolken Lima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Cleocir José Dalmaschio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Eloi Alves da Silva Filho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Espírito Santo – Vitória, 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camilaschimidel@gmail.com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RESUMO: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s membranas são amplamente aplicadas em indústrias, principalmente em tratamento de água, por ser um processo de separação eficiente e de alta qualidade.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[1]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adição de componentes inorgânicos à solução polimérica tem se tornado uma prática bastante utilizada na preparação de membranas híbridas,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melhorar a estabilidade química, térmica, </w:t>
      </w:r>
      <w:r w:rsidDel="00000000" w:rsidR="00000000" w:rsidRPr="00000000">
        <w:rPr>
          <w:rFonts w:ascii="Arial" w:cs="Arial" w:eastAsia="Arial" w:hAnsi="Arial"/>
          <w:rtl w:val="0"/>
        </w:rPr>
        <w:t xml:space="preserve">permea</w:t>
      </w:r>
      <w:r w:rsidDel="00000000" w:rsidR="00000000" w:rsidRPr="00000000">
        <w:rPr>
          <w:rFonts w:ascii="Arial" w:cs="Arial" w:eastAsia="Arial" w:hAnsi="Arial"/>
          <w:rtl w:val="0"/>
        </w:rPr>
        <w:t xml:space="preserve">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mecânica e resistência a incrustações.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[2]</w:t>
      </w:r>
      <w:r w:rsidDel="00000000" w:rsidR="00000000" w:rsidRPr="00000000">
        <w:rPr>
          <w:rFonts w:ascii="Arial" w:cs="Arial" w:eastAsia="Arial" w:hAnsi="Arial"/>
          <w:rtl w:val="0"/>
        </w:rPr>
        <w:t xml:space="preserve"> No presente estudo, o principal objetivo foi estudar a influência das nanopartículas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dióxido de titânio (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TiO</w:t>
      </w:r>
      <w:r w:rsidDel="00000000" w:rsidR="00000000" w:rsidRPr="00000000">
        <w:rPr>
          <w:rFonts w:ascii="Arial" w:cs="Arial" w:eastAsia="Arial" w:hAnsi="Arial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rtl w:val="0"/>
        </w:rPr>
        <w:t xml:space="preserve">nas propriedades das membranas de polisulfona (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PSf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rtl w:val="0"/>
        </w:rPr>
        <w:t xml:space="preserve"> As nanopartículas de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TiO</w:t>
      </w:r>
      <w:r w:rsidDel="00000000" w:rsidR="00000000" w:rsidRPr="00000000">
        <w:rPr>
          <w:rFonts w:ascii="Arial" w:cs="Arial" w:eastAsia="Arial" w:hAnsi="Arial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foram preparadas pelo método solvotérmico, utilizando o precursor isopropóxido de titânio em álcool benzílico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As membranas foram </w:t>
      </w:r>
      <w:r w:rsidDel="00000000" w:rsidR="00000000" w:rsidRPr="00000000">
        <w:rPr>
          <w:rFonts w:ascii="Arial" w:cs="Arial" w:eastAsia="Arial" w:hAnsi="Arial"/>
          <w:rtl w:val="0"/>
        </w:rPr>
        <w:t xml:space="preserve">preparadas pelo método de inversão de fases 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caracterizadas por difração de raios-X (DRX), espectroscopia na região do infravermelho com transformada de Fourier (FTIR) e análise dinâmico-mecânica (DMA). Os resultados do estudo indicaram alterações nos padrões de DRX em picos adicionais nos valores 25,44</w:t>
      </w:r>
      <w:r w:rsidDel="00000000" w:rsidR="00000000" w:rsidRPr="00000000">
        <w:rPr>
          <w:rFonts w:ascii="Arial" w:cs="Arial" w:eastAsia="Arial" w:hAnsi="Arial"/>
          <w:highlight w:val="whit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correspondentes ao plano do TiO</w:t>
      </w:r>
      <w:r w:rsidDel="00000000" w:rsidR="00000000" w:rsidRPr="00000000">
        <w:rPr>
          <w:rFonts w:ascii="Arial" w:cs="Arial" w:eastAsia="Arial" w:hAnsi="Arial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na fase anatase.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Nos espectros de infravermelho das membranas híbridas pode-se observar as bandas referentes à polisulfona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Por meio da DMA ficou evidenciado o aumento do módulo de Young em função do aumento da concentração do óxido na composição da membrana, o módulo da membrana de Psf pura e das acrescidas de óxido de titânio de 1%, 3% e 5% m/m, onde os respectivos valores foram 2,97; 3,43; 4,55 e 4,82 Mpa para isotermas de 30°C. A adição do óxido resultou no </w:t>
      </w:r>
      <w:r w:rsidDel="00000000" w:rsidR="00000000" w:rsidRPr="00000000">
        <w:rPr>
          <w:rFonts w:ascii="Arial" w:cs="Arial" w:eastAsia="Arial" w:hAnsi="Arial"/>
          <w:rtl w:val="0"/>
        </w:rPr>
        <w:t xml:space="preserve">aumento da rigidez nas membranas.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Palavras- 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DRX, FTIR, DMA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[1] ZHANG, Xiwang; WANG, David K.; DINIZ DA COSTA, João C. Recent progresses on fabrication of photocatalytic membranes for water treatment. Catalysis Today, v. 230, p. 47–54, 2014.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[2] MOLINARI, R.; LAVORATO, C.; ARGURIO, P. Recent progress of photocatalytic membrane reactors in water treatment and in synthesis of organic compounds. A review. Catalysis Today, v. 281, p. 144–164, 2017.</w:t>
      </w:r>
    </w:p>
    <w:sectPr>
      <w:headerReference r:id="rId7" w:type="default"/>
      <w:footerReference r:id="rId8" w:type="default"/>
      <w:pgSz w:h="16838" w:w="11906"/>
      <w:pgMar w:bottom="1418" w:top="594" w:left="1418" w:right="1418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14ª Semana de Polímeros Professora Eloísa Mano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06,07 e 08 de outubro de 2020</w: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de Macromoléculas/ UFRJ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816"/>
        <w:tab w:val="right" w:pos="10206"/>
      </w:tabs>
      <w:spacing w:after="0" w:before="0" w:line="240" w:lineRule="auto"/>
      <w:ind w:left="-567" w:right="-1136" w:firstLine="0"/>
      <w:jc w:val="center"/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-814704</wp:posOffset>
          </wp:positionH>
          <wp:positionV relativeFrom="paragraph">
            <wp:posOffset>-4444</wp:posOffset>
          </wp:positionV>
          <wp:extent cx="762000" cy="914400"/>
          <wp:effectExtent b="0" l="0" r="0" t="0"/>
          <wp:wrapTopAndBottom distB="0" distT="0"/>
          <wp:docPr id="3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1728470</wp:posOffset>
          </wp:positionH>
          <wp:positionV relativeFrom="paragraph">
            <wp:posOffset>-4444</wp:posOffset>
          </wp:positionV>
          <wp:extent cx="2145030" cy="1076325"/>
          <wp:effectExtent b="0" l="0" r="0" t="0"/>
          <wp:wrapNone/>
          <wp:docPr descr="Uma imagem contendo texto, screenshot, desenho&#10;&#10;Descrição gerada automaticamente" id="29" name="image1.png"/>
          <a:graphic>
            <a:graphicData uri="http://schemas.openxmlformats.org/drawingml/2006/picture">
              <pic:pic>
                <pic:nvPicPr>
                  <pic:cNvPr descr="Uma imagem contendo texto, screenshot, desenh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b="0" l="0" r="0" t="0"/>
          <wp:wrapTopAndBottom distB="0" distT="0"/>
          <wp:docPr descr="C:\Users\Matheus\Desktop\complementar_principal_pauta_diversidade.png" id="30" name="image2.png"/>
          <a:graphic>
            <a:graphicData uri="http://schemas.openxmlformats.org/drawingml/2006/picture">
              <pic:pic>
                <pic:nvPicPr>
                  <pic:cNvPr descr="C:\Users\Matheus\Desktop\complementar_principal_pauta_diversidade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de-DE"/>
      </w:rPr>
    </w:rPrDefault>
    <w:pPrDefault>
      <w:pPr>
        <w:spacing w:line="3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7D8F"/>
    <w:pPr>
      <w:spacing w:after="0" w:line="320" w:lineRule="exact"/>
      <w:jc w:val="both"/>
    </w:pPr>
    <w:rPr>
      <w:rFonts w:ascii="Times" w:cs="Times New Roman" w:eastAsia="Times New Roman" w:hAnsi="Times"/>
      <w:sz w:val="24"/>
      <w:szCs w:val="20"/>
      <w:lang w:val="de-D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455D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 w:val="1"/>
    <w:rsid w:val="002455D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 w:val="1"/>
    <w:qFormat w:val="1"/>
    <w:rsid w:val="00D17DDE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E7198"/>
    <w:pPr>
      <w:spacing w:line="240" w:lineRule="auto"/>
    </w:pPr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E719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E7198"/>
    <w:rPr>
      <w:rFonts w:ascii="Segoe UI" w:cs="Segoe UI" w:hAnsi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hAnsi="Courier New"/>
      <w:sz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6B2926"/>
    <w:rPr>
      <w:rFonts w:ascii="Courier New" w:cs="Courier New" w:eastAsia="Times New Roman" w:hAnsi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66A0A"/>
    <w:rPr>
      <w:color w:val="0000ff"/>
      <w:u w:val="single"/>
    </w:rPr>
  </w:style>
  <w:style w:type="paragraph" w:styleId="00abstracttitle" w:customStyle="1">
    <w:name w:val="00_abstract_title"/>
    <w:rsid w:val="00367D8F"/>
    <w:pPr>
      <w:spacing w:line="480" w:lineRule="exact"/>
      <w:jc w:val="center"/>
    </w:pPr>
    <w:rPr>
      <w:rFonts w:ascii="Times" w:cs="Times New Roman" w:eastAsia="Times New Roman" w:hAnsi="Times"/>
      <w:b w:val="1"/>
      <w:sz w:val="36"/>
      <w:szCs w:val="20"/>
      <w:lang w:val="de-DE"/>
    </w:rPr>
  </w:style>
  <w:style w:type="paragraph" w:styleId="00abstractbody" w:customStyle="1">
    <w:name w:val="00_abstract_body"/>
    <w:rsid w:val="00367D8F"/>
    <w:pPr>
      <w:spacing w:after="0" w:before="120" w:line="320" w:lineRule="exact"/>
      <w:jc w:val="both"/>
    </w:pPr>
    <w:rPr>
      <w:rFonts w:ascii="Times" w:cs="Times New Roman" w:eastAsia="Times New Roman" w:hAnsi="Times"/>
      <w:sz w:val="24"/>
      <w:szCs w:val="20"/>
      <w:lang w:val="de-DE"/>
    </w:rPr>
  </w:style>
  <w:style w:type="character" w:styleId="Forte">
    <w:name w:val="Strong"/>
    <w:qFormat w:val="1"/>
    <w:rsid w:val="00367D8F"/>
    <w:rPr>
      <w:b w:val="1"/>
      <w:bCs w:val="1"/>
    </w:rPr>
  </w:style>
  <w:style w:type="paragraph" w:styleId="00abstractauthors" w:customStyle="1">
    <w:name w:val="00_abstract_authors"/>
    <w:rsid w:val="00367D8F"/>
    <w:pPr>
      <w:spacing w:after="120" w:line="320" w:lineRule="exact"/>
      <w:jc w:val="center"/>
    </w:pPr>
    <w:rPr>
      <w:rFonts w:ascii="Times" w:cs="Times New Roman" w:eastAsia="Times New Roman" w:hAnsi="Times"/>
      <w:sz w:val="24"/>
      <w:szCs w:val="20"/>
      <w:lang w:val="de-DE"/>
    </w:rPr>
  </w:style>
  <w:style w:type="paragraph" w:styleId="00abstractaffiliation" w:customStyle="1">
    <w:name w:val="00_abstract_affiliation"/>
    <w:rsid w:val="00367D8F"/>
    <w:pPr>
      <w:spacing w:after="0" w:line="320" w:lineRule="exact"/>
      <w:jc w:val="center"/>
    </w:pPr>
    <w:rPr>
      <w:rFonts w:ascii="Times" w:cs="Times New Roman" w:eastAsia="Times New Roman" w:hAnsi="Times"/>
      <w:i w:val="1"/>
      <w:sz w:val="20"/>
      <w:szCs w:val="20"/>
      <w:lang w:val="de-DE"/>
    </w:rPr>
  </w:style>
  <w:style w:type="paragraph" w:styleId="00abstractreferences" w:customStyle="1">
    <w:name w:val="00_abstract_references"/>
    <w:rsid w:val="00367D8F"/>
    <w:pPr>
      <w:spacing w:after="0" w:before="60" w:line="240" w:lineRule="exact"/>
      <w:ind w:left="454" w:hanging="454"/>
      <w:jc w:val="both"/>
    </w:pPr>
    <w:rPr>
      <w:rFonts w:ascii="Times" w:cs="Times New Roman" w:eastAsia="Times New Roman" w:hAnsi="Times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eastAsia="pt-BR" w:val="en-US"/>
    </w:rPr>
  </w:style>
  <w:style w:type="character" w:styleId="CorpodetextoChar" w:customStyle="1">
    <w:name w:val="Corpo de texto Char"/>
    <w:basedOn w:val="Fontepargpadro"/>
    <w:link w:val="Corpodetexto"/>
    <w:rsid w:val="00367D8F"/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2F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2FDA"/>
    <w:rPr>
      <w:rFonts w:ascii="Times" w:cs="Times New Roman" w:eastAsia="Times New Roman" w:hAnsi="Times"/>
      <w:b w:val="1"/>
      <w:bCs w:val="1"/>
      <w:sz w:val="20"/>
      <w:szCs w:val="20"/>
      <w:lang w:val="de-DE"/>
    </w:rPr>
  </w:style>
  <w:style w:type="paragraph" w:styleId="TAMainText" w:customStyle="1">
    <w:name w:val="TA_Main_Text"/>
    <w:basedOn w:val="Normal"/>
    <w:rsid w:val="000D7EDA"/>
    <w:pPr>
      <w:suppressAutoHyphens w:val="1"/>
      <w:spacing w:line="240" w:lineRule="exact"/>
      <w:ind w:firstLine="202"/>
    </w:pPr>
    <w:rPr>
      <w:rFonts w:cs="Times"/>
      <w:sz w:val="20"/>
      <w:lang w:eastAsia="zh-CN" w:val="en-US"/>
    </w:rPr>
  </w:style>
  <w:style w:type="paragraph" w:styleId="Default" w:customStyle="1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tyle4" w:customStyle="1">
    <w:name w:val="style4"/>
    <w:basedOn w:val="Normal"/>
    <w:rsid w:val="005A230A"/>
    <w:pPr>
      <w:spacing w:after="100" w:afterAutospacing="1" w:before="100" w:beforeAutospacing="1" w:line="360" w:lineRule="auto"/>
    </w:pPr>
    <w:rPr>
      <w:rFonts w:ascii="Arial" w:hAnsi="Arial"/>
      <w:b w:val="1"/>
      <w:bCs w:val="1"/>
      <w:sz w:val="21"/>
      <w:szCs w:val="21"/>
      <w:lang w:eastAsia="pt-BR" w:val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2059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122059"/>
    <w:pPr>
      <w:widowControl w:val="0"/>
      <w:suppressAutoHyphens w:val="1"/>
      <w:spacing w:line="360" w:lineRule="auto"/>
      <w:ind w:left="720"/>
      <w:contextualSpacing w:val="1"/>
    </w:pPr>
    <w:rPr>
      <w:rFonts w:ascii="Arial" w:cs="Mangal" w:eastAsia="DejaVu Sans" w:hAnsi="Arial"/>
      <w:kern w:val="2"/>
      <w:szCs w:val="21"/>
      <w:lang w:bidi="hi-IN" w:eastAsia="hi-I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kz+eWT15nkGfH/Ym52KMpwU0pQ==">AMUW2mVxOGv/ISLMeaT5Clt6hqXkofMKo/Ay2XUJIY2OvzIzsDeg1s+i3NNAELJtPT3j+cTitUX/ba7s+WNX/wPjkXc7NiPxc6yS2oqvq79yZDCotPM0FLc=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2020-09-06T15:03:00Z</dcterms:created>
  <dc:creator>Matheus Alves</dc:creator>
</cp:coreProperties>
</file>