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</w:r>
    </w:p>
    <w:p>
      <w:pPr>
        <w:pStyle w:val="Normal"/>
        <w:jc w:val="center"/>
        <w:rPr>
          <w:rFonts w:ascii="Times New Roman" w:hAnsi="Times New Roman"/>
          <w:bCs/>
          <w:color w:val="FF0000"/>
          <w:sz w:val="20"/>
          <w:szCs w:val="20"/>
        </w:rPr>
      </w:pPr>
      <w:r>
        <w:rPr>
          <w:rFonts w:cs="Open Sans" w:ascii="Open Sans" w:hAnsi="Open Sans"/>
          <w:b/>
          <w:sz w:val="28"/>
          <w:szCs w:val="28"/>
        </w:rPr>
        <w:t xml:space="preserve">DESENVOLVIMENTO DE ENSAIO MOLECULAR PARA DETECÇÃO DO GENE QUE CODIFICA A TOXINA ESTAFILOCÓCICA DO CHOQUE TÓXICO (TSST- 1) A PARTIR DE AMOSTRAS DE LEITE SEM CULTURA MICROBIOLÓGICA </w:t>
      </w:r>
      <w:r>
        <w:rPr>
          <w:rFonts w:cs="Open Sans" w:ascii="Open Sans" w:hAnsi="Open Sans"/>
          <w:bCs/>
          <w:i/>
          <w:iCs/>
          <w:sz w:val="28"/>
          <w:szCs w:val="28"/>
        </w:rPr>
        <w:t>Staphylococcus</w:t>
      </w:r>
      <w:r>
        <w:rPr>
          <w:rFonts w:cs="Open Sans" w:ascii="Open Sans" w:hAnsi="Open Sans"/>
          <w:b/>
          <w:sz w:val="28"/>
          <w:szCs w:val="28"/>
        </w:rPr>
        <w:t>-ESPECÍFICA</w:t>
      </w:r>
    </w:p>
    <w:p>
      <w:pPr>
        <w:pStyle w:val="Normal"/>
        <w:ind w:right="97" w:hanging="0"/>
        <w:jc w:val="both"/>
        <w:rPr>
          <w:rFonts w:ascii="Open Sans" w:hAnsi="Open Sans" w:cs="Open Sans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Área Temática: CIÊNCIAS AGRÁRIAS</w:t>
      </w:r>
      <w:r>
        <w:rPr>
          <w:rFonts w:eastAsia="Times New Roman" w:cs="Open Sans" w:ascii="Open Sans" w:hAnsi="Open Sans"/>
          <w:b/>
          <w:color w:val="000000"/>
          <w:sz w:val="24"/>
          <w:szCs w:val="24"/>
        </w:rPr>
        <w:t>.</w:t>
      </w:r>
    </w:p>
    <w:p>
      <w:pPr>
        <w:pStyle w:val="Normal"/>
        <w:tabs>
          <w:tab w:val="clear" w:pos="720"/>
          <w:tab w:val="right" w:pos="8307" w:leader="none"/>
        </w:tabs>
        <w:spacing w:lineRule="auto" w:line="276"/>
        <w:ind w:left="2" w:hanging="4"/>
        <w:jc w:val="center"/>
        <w:rPr>
          <w:rFonts w:ascii="Open Sans" w:hAnsi="Open Sans" w:eastAsia="Open Sans" w:cs="Open Sans"/>
          <w:b/>
          <w:b/>
          <w:sz w:val="44"/>
          <w:szCs w:val="44"/>
        </w:rPr>
      </w:pPr>
      <w:r>
        <w:rPr>
          <w:rFonts w:eastAsia="Open Sans" w:cs="Open Sans" w:ascii="Open Sans" w:hAnsi="Open Sans"/>
          <w:b/>
          <w:sz w:val="44"/>
          <w:szCs w:val="44"/>
        </w:rPr>
      </w:r>
    </w:p>
    <w:p>
      <w:pPr>
        <w:pStyle w:val="Normal"/>
        <w:spacing w:lineRule="auto" w:line="276"/>
        <w:ind w:left="1" w:hanging="3"/>
        <w:jc w:val="right"/>
        <w:rPr>
          <w:rFonts w:ascii="Open Sans" w:hAnsi="Open Sans" w:eastAsia="Open Sans" w:cs="Open Sans"/>
          <w:sz w:val="28"/>
          <w:szCs w:val="28"/>
        </w:rPr>
      </w:pPr>
      <w:r>
        <w:rPr>
          <w:rFonts w:eastAsia="Open Sans" w:cs="Open Sans" w:ascii="Open Sans" w:hAnsi="Open Sans"/>
          <w:sz w:val="28"/>
          <w:szCs w:val="28"/>
        </w:rPr>
      </w:r>
    </w:p>
    <w:p>
      <w:pPr>
        <w:pStyle w:val="Normal"/>
        <w:spacing w:lineRule="auto" w:line="276"/>
        <w:ind w:left="1" w:hanging="3"/>
        <w:jc w:val="center"/>
        <w:rPr>
          <w:rFonts w:ascii="Open Sans" w:hAnsi="Open Sans" w:eastAsia="Open Sans" w:cs="Open Sans"/>
          <w:b/>
          <w:b/>
          <w:sz w:val="28"/>
          <w:szCs w:val="28"/>
        </w:rPr>
      </w:pPr>
      <w:r>
        <w:rPr>
          <w:rFonts w:eastAsia="Open Sans" w:cs="Open Sans" w:ascii="Open Sans" w:hAnsi="Open Sans"/>
          <w:b/>
          <w:sz w:val="28"/>
          <w:szCs w:val="28"/>
        </w:rPr>
        <w:t>Autores</w:t>
      </w:r>
    </w:p>
    <w:p>
      <w:pPr>
        <w:pStyle w:val="Normal"/>
        <w:spacing w:lineRule="auto" w:line="276"/>
        <w:ind w:left="1" w:hanging="3"/>
        <w:rPr>
          <w:rFonts w:ascii="Open Sans" w:hAnsi="Open Sans" w:eastAsia="Open Sans" w:cs="Open Sans"/>
          <w:sz w:val="20"/>
          <w:szCs w:val="20"/>
        </w:rPr>
      </w:pPr>
      <w:r>
        <w:rPr>
          <w:rFonts w:eastAsia="Open Sans" w:cs="Open Sans" w:ascii="Open Sans" w:hAnsi="Open Sans"/>
          <w:sz w:val="20"/>
          <w:szCs w:val="20"/>
        </w:rPr>
        <w:t xml:space="preserve">Maria Eduarda Seixas Cruz Barros, UFNT, </w:t>
      </w:r>
      <w:hyperlink r:id="rId2">
        <w:r>
          <w:rPr>
            <w:rStyle w:val="LinkdaInternet"/>
            <w:rFonts w:eastAsia="Open Sans" w:cs="Open Sans" w:ascii="Open Sans" w:hAnsi="Open Sans"/>
            <w:sz w:val="20"/>
            <w:szCs w:val="20"/>
          </w:rPr>
          <w:t>maria.barros@ufnt.edu.br</w:t>
        </w:r>
      </w:hyperlink>
    </w:p>
    <w:p>
      <w:pPr>
        <w:pStyle w:val="Normal"/>
        <w:spacing w:lineRule="auto" w:line="276"/>
        <w:ind w:left="1" w:hanging="3"/>
        <w:rPr>
          <w:rFonts w:ascii="Open Sans" w:hAnsi="Open Sans" w:eastAsia="Open Sans" w:cs="Open Sans"/>
          <w:sz w:val="20"/>
          <w:szCs w:val="20"/>
        </w:rPr>
      </w:pPr>
      <w:hyperlink r:id="rId3">
        <w:r>
          <w:rPr>
            <w:rFonts w:eastAsia="Open Sans" w:cs="Open Sans" w:ascii="Open Sans" w:hAnsi="Open Sans"/>
            <w:sz w:val="20"/>
            <w:szCs w:val="20"/>
          </w:rPr>
          <w:t xml:space="preserve">José Carlos Ribeiro Júnior, UFNT, </w:t>
        </w:r>
      </w:hyperlink>
      <w:hyperlink r:id="rId4">
        <w:r>
          <w:rPr>
            <w:rStyle w:val="LinkdaInternet"/>
            <w:rFonts w:eastAsia="Open Sans" w:cs="Open Sans" w:ascii="Open Sans" w:hAnsi="Open Sans"/>
            <w:sz w:val="20"/>
            <w:szCs w:val="20"/>
          </w:rPr>
          <w:t>jcribeiro@uft.edu.br</w:t>
        </w:r>
      </w:hyperlink>
      <w:r>
        <w:rPr>
          <w:rFonts w:eastAsia="Open Sans" w:cs="Open Sans" w:ascii="Open Sans" w:hAnsi="Open Sans"/>
          <w:sz w:val="20"/>
          <w:szCs w:val="20"/>
        </w:rPr>
        <w:t xml:space="preserve"> </w:t>
      </w:r>
    </w:p>
    <w:p>
      <w:pPr>
        <w:pStyle w:val="Normal"/>
        <w:spacing w:lineRule="auto" w:line="276"/>
        <w:ind w:left="1" w:hanging="3"/>
        <w:jc w:val="center"/>
        <w:rPr>
          <w:rFonts w:ascii="Open Sans" w:hAnsi="Open Sans" w:eastAsia="Open Sans" w:cs="Open Sans"/>
          <w:sz w:val="28"/>
          <w:szCs w:val="28"/>
        </w:rPr>
      </w:pPr>
      <w:r>
        <w:rPr>
          <w:rFonts w:eastAsia="Open Sans" w:cs="Open Sans" w:ascii="Open Sans" w:hAnsi="Open Sans"/>
          <w:sz w:val="28"/>
          <w:szCs w:val="28"/>
        </w:rPr>
      </w:r>
    </w:p>
    <w:p>
      <w:pPr>
        <w:pStyle w:val="Normal"/>
        <w:numPr>
          <w:ilvl w:val="0"/>
          <w:numId w:val="1"/>
        </w:numPr>
        <w:spacing w:lineRule="auto" w:line="240" w:before="0" w:after="80"/>
        <w:ind w:left="1" w:hanging="3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  <w:t>Resumo</w:t>
      </w:r>
    </w:p>
    <w:p>
      <w:pPr>
        <w:pStyle w:val="Normal"/>
        <w:spacing w:lineRule="auto" w:line="360"/>
        <w:jc w:val="both"/>
        <w:rPr>
          <w:rFonts w:ascii="Open Sans" w:hAnsi="Open Sans" w:eastAsia="Open Sans" w:cs="Open Sans"/>
          <w:sz w:val="20"/>
          <w:szCs w:val="20"/>
        </w:rPr>
      </w:pPr>
      <w:r>
        <w:rPr>
          <w:rFonts w:eastAsia="Open Sans" w:cs="Open Sans" w:ascii="Open Sans" w:hAnsi="Open Sans"/>
          <w:sz w:val="20"/>
          <w:szCs w:val="20"/>
        </w:rPr>
      </w:r>
    </w:p>
    <w:p>
      <w:pPr>
        <w:pStyle w:val="Normal"/>
        <w:spacing w:lineRule="auto" w:line="360"/>
        <w:jc w:val="both"/>
        <w:rPr>
          <w:rFonts w:ascii="Open Sans" w:hAnsi="Open Sans" w:eastAsia="Open Sans" w:cs="Open Sans"/>
          <w:sz w:val="20"/>
          <w:szCs w:val="20"/>
        </w:rPr>
      </w:pPr>
      <w:r>
        <w:rPr>
          <w:rFonts w:eastAsia="Open Sans" w:cs="Open Sans" w:ascii="Open Sans" w:hAnsi="Open Sans"/>
          <w:sz w:val="20"/>
          <w:szCs w:val="20"/>
        </w:rPr>
        <w:t xml:space="preserve">Em alimentos, patógenos como </w:t>
      </w:r>
      <w:r>
        <w:rPr>
          <w:rFonts w:eastAsia="Open Sans" w:cs="Open Sans" w:ascii="Open Sans" w:hAnsi="Open Sans"/>
          <w:i/>
          <w:iCs/>
          <w:sz w:val="20"/>
          <w:szCs w:val="20"/>
        </w:rPr>
        <w:t>Staphylococcus aureus</w:t>
      </w:r>
      <w:r>
        <w:rPr>
          <w:rFonts w:eastAsia="Open Sans" w:cs="Open Sans" w:ascii="Open Sans" w:hAnsi="Open Sans"/>
          <w:sz w:val="20"/>
          <w:szCs w:val="20"/>
        </w:rPr>
        <w:t xml:space="preserve"> podem produzir toxinas estafilocócicas, como a do choque tóxico (TSST-1), que podem comprometer a segurança para o consumo mesmo nos derivados tratados termicamente.</w:t>
      </w:r>
      <w:r>
        <w:rPr>
          <w:rFonts w:cs="Open Sans" w:ascii="Open Sans" w:hAnsi="Open Sans"/>
          <w:sz w:val="20"/>
          <w:szCs w:val="20"/>
        </w:rPr>
        <w:t xml:space="preserve"> </w:t>
      </w:r>
      <w:r>
        <w:rPr>
          <w:rFonts w:eastAsia="Open Sans" w:cs="Open Sans" w:ascii="Open Sans" w:hAnsi="Open Sans"/>
          <w:sz w:val="20"/>
          <w:szCs w:val="20"/>
        </w:rPr>
        <w:t xml:space="preserve">O objetivo deste estudo foi validar um ensaio biomolecular para detecção do gene </w:t>
      </w:r>
      <w:r>
        <w:rPr>
          <w:rFonts w:eastAsia="Open Sans" w:cs="Open Sans" w:ascii="Open Sans" w:hAnsi="Open Sans"/>
          <w:i/>
          <w:iCs/>
          <w:sz w:val="20"/>
          <w:szCs w:val="20"/>
        </w:rPr>
        <w:t>tst</w:t>
      </w:r>
      <w:r>
        <w:rPr>
          <w:rFonts w:eastAsia="Open Sans" w:cs="Open Sans" w:ascii="Open Sans" w:hAnsi="Open Sans"/>
          <w:sz w:val="20"/>
          <w:szCs w:val="20"/>
        </w:rPr>
        <w:t xml:space="preserve">, que codifica a síntese da TSST-1, em amostras de leite independentemente de cultura microbiológica específica. Um isolado sabidamente positivo para o gene </w:t>
      </w:r>
      <w:r>
        <w:rPr>
          <w:rFonts w:eastAsia="Open Sans" w:cs="Open Sans" w:ascii="Open Sans" w:hAnsi="Open Sans"/>
          <w:i/>
          <w:iCs/>
          <w:sz w:val="20"/>
          <w:szCs w:val="20"/>
        </w:rPr>
        <w:t xml:space="preserve">tst </w:t>
      </w:r>
      <w:r>
        <w:rPr>
          <w:rFonts w:eastAsia="Open Sans" w:cs="Open Sans" w:ascii="Open Sans" w:hAnsi="Open Sans"/>
          <w:sz w:val="20"/>
          <w:szCs w:val="20"/>
        </w:rPr>
        <w:t xml:space="preserve">foi preparado até a concentração 2 da escala de McFarland. Esse inóculo foi decimal e sequencialmente diluído até a concentração </w:t>
      </w:r>
      <w:r>
        <w:rPr/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10</m:t>
            </m:r>
          </m:e>
          <m:sup>
            <m:r>
              <w:rPr>
                <w:rFonts w:ascii="Cambria Math" w:hAnsi="Cambria Math"/>
              </w:rPr>
              <m:t xml:space="preserve">−</m:t>
            </m:r>
            <m:r>
              <w:rPr>
                <w:rFonts w:ascii="Cambria Math" w:hAnsi="Cambria Math"/>
              </w:rPr>
              <m:t xml:space="preserve">10</m:t>
            </m:r>
          </m:sup>
        </m:sSup>
      </m:oMath>
      <w:r>
        <w:rPr>
          <w:rFonts w:eastAsia="Open Sans" w:cs="Open Sans" w:ascii="Open Sans" w:hAnsi="Open Sans"/>
          <w:sz w:val="20"/>
          <w:szCs w:val="20"/>
        </w:rPr>
        <w:t xml:space="preserve">. As diluições foram plaqueadas em duplicata pelo método </w:t>
      </w:r>
      <w:r>
        <w:rPr>
          <w:rFonts w:eastAsia="Open Sans" w:cs="Open Sans" w:ascii="Open Sans" w:hAnsi="Open Sans"/>
          <w:i/>
          <w:iCs/>
          <w:sz w:val="20"/>
          <w:szCs w:val="20"/>
        </w:rPr>
        <w:t>pour plate</w:t>
      </w:r>
      <w:r>
        <w:rPr>
          <w:rFonts w:eastAsia="Open Sans" w:cs="Open Sans" w:ascii="Open Sans" w:hAnsi="Open Sans"/>
          <w:sz w:val="20"/>
          <w:szCs w:val="20"/>
        </w:rPr>
        <w:t xml:space="preserve"> em ágar padrão para contagem e o resultado determinado em 3,1 x </w:t>
      </w:r>
      <w:r>
        <w:rPr/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10</m:t>
            </m:r>
          </m:e>
          <m:sup>
            <m:r>
              <w:rPr>
                <w:rFonts w:ascii="Cambria Math" w:hAnsi="Cambria Math"/>
              </w:rPr>
              <m:t xml:space="preserve">8</m:t>
            </m:r>
          </m:sup>
        </m:sSup>
      </m:oMath>
      <w:r>
        <w:rPr>
          <w:rFonts w:eastAsia="Open Sans" w:cs="Open Sans" w:ascii="Open Sans" w:hAnsi="Open Sans"/>
          <w:sz w:val="20"/>
          <w:szCs w:val="20"/>
        </w:rPr>
        <w:t xml:space="preserve"> UFC/mL. Um mL de cada diluição foi submetido à extração de DNA e PCR para o gene </w:t>
      </w:r>
      <w:r>
        <w:rPr>
          <w:rFonts w:eastAsia="Open Sans" w:cs="Open Sans" w:ascii="Open Sans" w:hAnsi="Open Sans"/>
          <w:i/>
          <w:iCs/>
          <w:sz w:val="20"/>
          <w:szCs w:val="20"/>
        </w:rPr>
        <w:t>tst</w:t>
      </w:r>
      <w:r>
        <w:rPr>
          <w:rFonts w:eastAsia="Open Sans" w:cs="Open Sans" w:ascii="Open Sans" w:hAnsi="Open Sans"/>
          <w:sz w:val="20"/>
          <w:szCs w:val="20"/>
        </w:rPr>
        <w:t xml:space="preserve">, de forma a determinar a sensibilidade analítica do ensaio molecular. Paralelamente, uma alíquota de 1 mL do inóculo na concentração 2 da escala de McFarland foi adicionado à 99 mL de leite em pó desnatado reconstituído a 10% estéril. A PCR qualitativa detectou até 3,1 isolados por mL (1 mL da diluição </w:t>
      </w:r>
      <w:r>
        <w:rPr/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10</m:t>
            </m:r>
          </m:e>
          <m:sup>
            <m:r>
              <w:rPr>
                <w:rFonts w:ascii="Cambria Math" w:hAnsi="Cambria Math"/>
              </w:rPr>
              <m:t xml:space="preserve">−</m:t>
            </m:r>
            <m:r>
              <w:rPr>
                <w:rFonts w:ascii="Cambria Math" w:hAnsi="Cambria Math"/>
              </w:rPr>
              <m:t xml:space="preserve">8</m:t>
            </m:r>
          </m:sup>
        </m:sSup>
      </m:oMath>
      <w:r>
        <w:rPr>
          <w:rFonts w:eastAsia="Open Sans" w:cs="Open Sans" w:ascii="Open Sans" w:hAnsi="Open Sans"/>
          <w:sz w:val="20"/>
          <w:szCs w:val="20"/>
        </w:rPr>
        <w:t xml:space="preserve">). O leite inoculado também foi diluído e a contagem foi de 2,6 x </w:t>
      </w:r>
      <w:r>
        <w:rPr/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10</m:t>
            </m:r>
          </m:e>
          <m:sup>
            <m:r>
              <w:rPr>
                <w:rFonts w:ascii="Cambria Math" w:hAnsi="Cambria Math"/>
              </w:rPr>
              <m:t xml:space="preserve">7</m:t>
            </m:r>
          </m:sup>
        </m:sSup>
      </m:oMath>
      <w:r>
        <w:rPr>
          <w:rFonts w:eastAsia="Open Sans" w:cs="Open Sans" w:ascii="Open Sans" w:hAnsi="Open Sans"/>
          <w:sz w:val="20"/>
          <w:szCs w:val="20"/>
        </w:rPr>
        <w:t xml:space="preserve"> UFC/mL após o plaqueamento. As diluições do leite também foram submetidas à PCR para o gene </w:t>
      </w:r>
      <w:r>
        <w:rPr>
          <w:rFonts w:eastAsia="Open Sans" w:cs="Open Sans" w:ascii="Open Sans" w:hAnsi="Open Sans"/>
          <w:i/>
          <w:iCs/>
          <w:sz w:val="20"/>
          <w:szCs w:val="20"/>
        </w:rPr>
        <w:t>tst,</w:t>
      </w:r>
      <w:r>
        <w:rPr>
          <w:rFonts w:eastAsia="Open Sans" w:cs="Open Sans" w:ascii="Open Sans" w:hAnsi="Open Sans"/>
          <w:sz w:val="20"/>
          <w:szCs w:val="20"/>
        </w:rPr>
        <w:t xml:space="preserve"> para o qual foi determinada a sensibilidade de 2,6x </w:t>
      </w:r>
      <w:r>
        <w:rPr/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10</m:t>
            </m:r>
          </m:e>
          <m:sup>
            <m:r>
              <w:rPr>
                <w:rFonts w:ascii="Cambria Math" w:hAnsi="Cambria Math"/>
              </w:rPr>
              <m:t xml:space="preserve">4</m:t>
            </m:r>
          </m:sup>
        </m:sSup>
      </m:oMath>
      <w:r>
        <w:rPr>
          <w:rFonts w:eastAsia="Open Sans" w:cs="Open Sans" w:ascii="Open Sans" w:hAnsi="Open Sans"/>
          <w:sz w:val="20"/>
          <w:szCs w:val="20"/>
        </w:rPr>
        <w:t xml:space="preserve"> UFC/Ml. A pesquisa molecular do gene </w:t>
      </w:r>
      <w:r>
        <w:rPr>
          <w:rFonts w:eastAsia="Open Sans" w:cs="Open Sans" w:ascii="Open Sans" w:hAnsi="Open Sans"/>
          <w:i/>
          <w:iCs/>
          <w:sz w:val="20"/>
          <w:szCs w:val="20"/>
        </w:rPr>
        <w:t>tst</w:t>
      </w:r>
      <w:r>
        <w:rPr>
          <w:rFonts w:eastAsia="Open Sans" w:cs="Open Sans" w:ascii="Open Sans" w:hAnsi="Open Sans"/>
          <w:sz w:val="20"/>
          <w:szCs w:val="20"/>
        </w:rPr>
        <w:t xml:space="preserve"> de </w:t>
      </w:r>
      <w:r>
        <w:rPr>
          <w:rFonts w:eastAsia="Open Sans" w:cs="Open Sans" w:ascii="Open Sans" w:hAnsi="Open Sans"/>
          <w:i/>
          <w:iCs/>
          <w:sz w:val="20"/>
          <w:szCs w:val="20"/>
        </w:rPr>
        <w:t>S. aureus</w:t>
      </w:r>
      <w:r>
        <w:rPr>
          <w:rFonts w:eastAsia="Open Sans" w:cs="Open Sans" w:ascii="Open Sans" w:hAnsi="Open Sans"/>
          <w:sz w:val="20"/>
          <w:szCs w:val="20"/>
        </w:rPr>
        <w:t xml:space="preserve"> em amostras de leite apresentará resultados positivos somente se este estiver presente em grandes quantificações. Interferências da matriz de extração foram identificadas e alternativas como o pré-enriquecimento da amostra podem ser eficazes para o diagnóstico direto do patógeno.</w:t>
      </w:r>
    </w:p>
    <w:p>
      <w:pPr>
        <w:pStyle w:val="Normal"/>
        <w:spacing w:lineRule="auto" w:line="360" w:before="0" w:after="0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  <w:b/>
          <w:bCs/>
        </w:rPr>
        <w:t>Palavras-chave:</w:t>
      </w:r>
      <w:r>
        <w:rPr>
          <w:rFonts w:eastAsia="Open Sans" w:cs="Open Sans" w:ascii="Open Sans" w:hAnsi="Open Sans"/>
        </w:rPr>
        <w:t xml:space="preserve"> Microbiologia, </w:t>
      </w:r>
      <w:r>
        <w:rPr>
          <w:rFonts w:eastAsia="Open Sans" w:cs="Open Sans" w:ascii="Open Sans" w:hAnsi="Open Sans"/>
          <w:i/>
          <w:iCs/>
        </w:rPr>
        <w:t>Staphylococcus aureus</w:t>
      </w:r>
      <w:r>
        <w:rPr>
          <w:rFonts w:eastAsia="Open Sans" w:cs="Open Sans" w:ascii="Open Sans" w:hAnsi="Open Sans"/>
        </w:rPr>
        <w:t>, toxina estafilocócica.</w:t>
      </w:r>
    </w:p>
    <w:p>
      <w:pPr>
        <w:pStyle w:val="Normal"/>
        <w:tabs>
          <w:tab w:val="clear" w:pos="720"/>
          <w:tab w:val="left" w:pos="1120" w:leader="none"/>
        </w:tabs>
        <w:spacing w:lineRule="auto" w:line="240" w:before="0" w:after="80"/>
        <w:ind w:left="1" w:hanging="0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</w:r>
    </w:p>
    <w:p>
      <w:pPr>
        <w:pStyle w:val="Normal"/>
        <w:numPr>
          <w:ilvl w:val="0"/>
          <w:numId w:val="1"/>
        </w:numPr>
        <w:spacing w:lineRule="auto" w:line="240" w:before="0" w:after="80"/>
        <w:ind w:left="1" w:hanging="3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  <w:t>Introdução</w:t>
      </w:r>
    </w:p>
    <w:p>
      <w:pPr>
        <w:pStyle w:val="Normal"/>
        <w:spacing w:lineRule="auto" w:line="240" w:before="0" w:after="0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"/>
        <w:spacing w:lineRule="auto" w:line="360" w:before="0" w:after="0"/>
        <w:ind w:firstLine="720"/>
        <w:jc w:val="both"/>
        <w:rPr>
          <w:rFonts w:ascii="Open Sans" w:hAnsi="Open Sans" w:eastAsia="Open Sans" w:cs="Open Sans"/>
          <w:sz w:val="20"/>
          <w:szCs w:val="20"/>
        </w:rPr>
      </w:pPr>
      <w:r>
        <w:rPr>
          <w:rFonts w:eastAsia="Open Sans" w:cs="Open Sans" w:ascii="Open Sans" w:hAnsi="Open Sans"/>
          <w:sz w:val="20"/>
          <w:szCs w:val="20"/>
        </w:rPr>
        <w:t xml:space="preserve">O presente trabalho foi desenvolvido no período de outubro de 2023 a outubro de 2024 no Laboratório de Microbiologia de Alimentos da Universidade Federal do Norte do Tocantins, com o auxílio de toda a equipe, incluindo estagiários, técnica e professor responsável. Na microbiologia de alimentos, a PCR tem sido uma ferramenta essencial para o diagnóstico de toxinfecções, afecções que podem acometer tanto humanos quanto animais a partir da ingestão das toxinas em alimentos contaminados por bactérias patogênicas, em especial a Toxina Estafilocócica do Choque Tóxico (TSST-1). Para o desenvolvimento do projeto, foi realizada cultura e isolamento de </w:t>
      </w:r>
      <w:r>
        <w:rPr>
          <w:rFonts w:eastAsia="Open Sans" w:cs="Open Sans" w:ascii="Open Sans" w:hAnsi="Open Sans"/>
          <w:i/>
          <w:iCs/>
          <w:sz w:val="20"/>
          <w:szCs w:val="20"/>
        </w:rPr>
        <w:t xml:space="preserve">Sthaphylococcus aureus </w:t>
      </w:r>
      <w:r>
        <w:rPr>
          <w:rFonts w:eastAsia="Open Sans" w:cs="Open Sans" w:ascii="Open Sans" w:hAnsi="Open Sans"/>
          <w:sz w:val="20"/>
          <w:szCs w:val="20"/>
        </w:rPr>
        <w:t>seguida da diluição para posterior avaliação em PCR. A PCR apresenta na atualidade alta relevância diagnóstica, fato que demonstra a necessidade de estudos sobre a sua eficácia e no qual se fundamenta a execução desta pesquisa.</w:t>
      </w:r>
    </w:p>
    <w:p>
      <w:pPr>
        <w:pStyle w:val="Normal"/>
        <w:spacing w:lineRule="auto" w:line="240" w:before="0" w:after="0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"/>
        <w:numPr>
          <w:ilvl w:val="0"/>
          <w:numId w:val="1"/>
        </w:numPr>
        <w:spacing w:lineRule="auto" w:line="240" w:before="0" w:after="80"/>
        <w:ind w:left="1" w:hanging="3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  <w:t>Objetivos</w:t>
      </w:r>
    </w:p>
    <w:p>
      <w:pPr>
        <w:pStyle w:val="Normal"/>
        <w:spacing w:lineRule="auto" w:line="276"/>
        <w:jc w:val="both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"/>
        <w:spacing w:lineRule="auto" w:line="276"/>
        <w:jc w:val="both"/>
        <w:rPr>
          <w:rFonts w:ascii="Open Sans" w:hAnsi="Open Sans" w:cs="Open Sans"/>
          <w:b/>
          <w:b/>
          <w:bCs/>
          <w:sz w:val="20"/>
          <w:szCs w:val="20"/>
        </w:rPr>
      </w:pPr>
      <w:r>
        <w:rPr>
          <w:rFonts w:cs="Open Sans" w:ascii="Open Sans" w:hAnsi="Open Sans"/>
          <w:b/>
          <w:bCs/>
          <w:sz w:val="20"/>
          <w:szCs w:val="20"/>
        </w:rPr>
        <w:t>Objetivo geral</w:t>
      </w:r>
    </w:p>
    <w:p>
      <w:pPr>
        <w:pStyle w:val="Normal"/>
        <w:spacing w:lineRule="auto" w:line="360"/>
        <w:ind w:firstLine="720"/>
        <w:jc w:val="both"/>
        <w:rPr>
          <w:rFonts w:ascii="Open Sans" w:hAnsi="Open Sans" w:cs="Open Sans"/>
          <w:sz w:val="20"/>
          <w:szCs w:val="20"/>
        </w:rPr>
      </w:pPr>
      <w:r>
        <w:rPr>
          <w:rFonts w:cs="Open Sans" w:ascii="Open Sans" w:hAnsi="Open Sans"/>
          <w:sz w:val="20"/>
          <w:szCs w:val="20"/>
        </w:rPr>
        <w:t xml:space="preserve">O presente trabalho teve por objetivo de desenvolver um ensaio biomolecular sensível e específico para a pesquisa direta do gene que codifica a TSST-1 em amostras de leite fluido independentemente da cultura microbiológica específica para </w:t>
      </w:r>
      <w:r>
        <w:rPr>
          <w:rFonts w:cs="Open Sans" w:ascii="Open Sans" w:hAnsi="Open Sans"/>
          <w:i/>
          <w:iCs/>
          <w:sz w:val="20"/>
          <w:szCs w:val="20"/>
        </w:rPr>
        <w:t>S. aureus</w:t>
      </w:r>
      <w:r>
        <w:rPr>
          <w:rFonts w:cs="Open Sans" w:ascii="Open Sans" w:hAnsi="Open Sans"/>
          <w:sz w:val="20"/>
          <w:szCs w:val="20"/>
        </w:rPr>
        <w:t>.</w:t>
      </w:r>
    </w:p>
    <w:p>
      <w:pPr>
        <w:pStyle w:val="Normal"/>
        <w:spacing w:lineRule="auto" w:line="360"/>
        <w:jc w:val="both"/>
        <w:rPr>
          <w:rFonts w:ascii="Open Sans" w:hAnsi="Open Sans" w:cs="Open Sans"/>
          <w:b/>
          <w:b/>
          <w:bCs/>
          <w:sz w:val="20"/>
          <w:szCs w:val="20"/>
        </w:rPr>
      </w:pPr>
      <w:r>
        <w:rPr>
          <w:rFonts w:cs="Open Sans" w:ascii="Open Sans" w:hAnsi="Open Sans"/>
          <w:b/>
          <w:bCs/>
          <w:sz w:val="20"/>
          <w:szCs w:val="20"/>
        </w:rPr>
        <w:t>Objetivos específicos</w:t>
      </w:r>
    </w:p>
    <w:p>
      <w:pPr>
        <w:pStyle w:val="Normal"/>
        <w:spacing w:lineRule="auto" w:line="360"/>
        <w:jc w:val="both"/>
        <w:rPr>
          <w:rFonts w:ascii="Open Sans" w:hAnsi="Open Sans" w:cs="Open Sans"/>
          <w:sz w:val="20"/>
          <w:szCs w:val="20"/>
        </w:rPr>
      </w:pPr>
      <w:r>
        <w:rPr>
          <w:rFonts w:cs="Open Sans" w:ascii="Open Sans" w:hAnsi="Open Sans"/>
          <w:sz w:val="20"/>
          <w:szCs w:val="20"/>
        </w:rPr>
        <w:t xml:space="preserve">Verificar a sensibilidade analítica da PCR clássica para a detecção do gene </w:t>
      </w:r>
      <w:r>
        <w:rPr>
          <w:rFonts w:cs="Open Sans" w:ascii="Open Sans" w:hAnsi="Open Sans"/>
          <w:i/>
          <w:iCs/>
          <w:sz w:val="20"/>
          <w:szCs w:val="20"/>
        </w:rPr>
        <w:t>tst</w:t>
      </w:r>
      <w:r>
        <w:rPr>
          <w:rFonts w:cs="Open Sans" w:ascii="Open Sans" w:hAnsi="Open Sans"/>
          <w:sz w:val="20"/>
          <w:szCs w:val="20"/>
        </w:rPr>
        <w:t xml:space="preserve"> em concentrações conhecidas de </w:t>
      </w:r>
      <w:r>
        <w:rPr>
          <w:rFonts w:cs="Open Sans" w:ascii="Open Sans" w:hAnsi="Open Sans"/>
          <w:i/>
          <w:iCs/>
          <w:sz w:val="20"/>
          <w:szCs w:val="20"/>
        </w:rPr>
        <w:t>S. aureus</w:t>
      </w:r>
      <w:r>
        <w:rPr>
          <w:rFonts w:cs="Open Sans" w:ascii="Open Sans" w:hAnsi="Open Sans"/>
          <w:sz w:val="20"/>
          <w:szCs w:val="20"/>
        </w:rPr>
        <w:t xml:space="preserve"> positivos para TSST-1;</w:t>
      </w:r>
    </w:p>
    <w:p>
      <w:pPr>
        <w:pStyle w:val="Normal"/>
        <w:spacing w:lineRule="auto" w:line="360"/>
        <w:jc w:val="both"/>
        <w:rPr>
          <w:rFonts w:ascii="Open Sans" w:hAnsi="Open Sans" w:cs="Open Sans"/>
          <w:sz w:val="20"/>
          <w:szCs w:val="20"/>
        </w:rPr>
      </w:pPr>
      <w:r>
        <w:rPr>
          <w:rFonts w:cs="Open Sans" w:ascii="Open Sans" w:hAnsi="Open Sans"/>
          <w:sz w:val="20"/>
          <w:szCs w:val="20"/>
        </w:rPr>
        <w:t>Extrair o gDNA total de amostras de leite previamente e após ao pré-enriquecimento inespecífico;</w:t>
      </w:r>
    </w:p>
    <w:p>
      <w:pPr>
        <w:pStyle w:val="Normal"/>
        <w:spacing w:lineRule="auto" w:line="360"/>
        <w:jc w:val="both"/>
        <w:rPr>
          <w:rFonts w:ascii="Open Sans" w:hAnsi="Open Sans" w:cs="Open Sans"/>
          <w:sz w:val="20"/>
          <w:szCs w:val="20"/>
        </w:rPr>
      </w:pPr>
      <w:r>
        <w:rPr>
          <w:rFonts w:cs="Open Sans" w:ascii="Open Sans" w:hAnsi="Open Sans"/>
          <w:sz w:val="20"/>
          <w:szCs w:val="20"/>
        </w:rPr>
        <w:t xml:space="preserve">Verificar a sensibilidade da PCR para o gene </w:t>
      </w:r>
      <w:r>
        <w:rPr>
          <w:rFonts w:cs="Open Sans" w:ascii="Open Sans" w:hAnsi="Open Sans"/>
          <w:i/>
          <w:iCs/>
          <w:sz w:val="20"/>
          <w:szCs w:val="20"/>
        </w:rPr>
        <w:t xml:space="preserve">tst </w:t>
      </w:r>
      <w:r>
        <w:rPr>
          <w:rFonts w:cs="Open Sans" w:ascii="Open Sans" w:hAnsi="Open Sans"/>
          <w:sz w:val="20"/>
          <w:szCs w:val="20"/>
        </w:rPr>
        <w:t xml:space="preserve">na detecção de </w:t>
      </w:r>
      <w:r>
        <w:rPr>
          <w:rFonts w:cs="Open Sans" w:ascii="Open Sans" w:hAnsi="Open Sans"/>
          <w:i/>
          <w:iCs/>
          <w:sz w:val="20"/>
          <w:szCs w:val="20"/>
        </w:rPr>
        <w:t>S. aureus</w:t>
      </w:r>
      <w:r>
        <w:rPr>
          <w:rFonts w:cs="Open Sans" w:ascii="Open Sans" w:hAnsi="Open Sans"/>
          <w:sz w:val="20"/>
          <w:szCs w:val="20"/>
        </w:rPr>
        <w:t xml:space="preserve"> produtor de TSST-1 em amostras de leite antes e após o pré-enriquecimento;</w:t>
      </w:r>
    </w:p>
    <w:p>
      <w:pPr>
        <w:pStyle w:val="Normal"/>
        <w:spacing w:lineRule="auto" w:line="360"/>
        <w:jc w:val="both"/>
        <w:rPr>
          <w:rFonts w:ascii="Open Sans" w:hAnsi="Open Sans" w:cs="Open Sans"/>
          <w:sz w:val="20"/>
          <w:szCs w:val="20"/>
        </w:rPr>
      </w:pPr>
      <w:r>
        <w:rPr>
          <w:rFonts w:cs="Open Sans" w:ascii="Open Sans" w:hAnsi="Open Sans"/>
          <w:sz w:val="20"/>
          <w:szCs w:val="20"/>
        </w:rPr>
        <w:t>Determinar possíveis interferentes da matriz de extração (leite total) na eficiência da PCR qualitativa; e,</w:t>
      </w:r>
    </w:p>
    <w:p>
      <w:pPr>
        <w:pStyle w:val="Normal"/>
        <w:spacing w:lineRule="auto" w:line="360"/>
        <w:jc w:val="both"/>
        <w:rPr>
          <w:rFonts w:ascii="Open Sans" w:hAnsi="Open Sans" w:cs="Open Sans"/>
          <w:sz w:val="20"/>
          <w:szCs w:val="20"/>
        </w:rPr>
      </w:pPr>
      <w:r>
        <w:rPr>
          <w:rFonts w:cs="Open Sans" w:ascii="Open Sans" w:hAnsi="Open Sans"/>
          <w:sz w:val="20"/>
          <w:szCs w:val="20"/>
        </w:rPr>
        <w:t>Disponibilizar o ensaio molecular para a investigação de surtos de intoxicações alimentares para os serviços de saúde regionais.</w:t>
      </w:r>
    </w:p>
    <w:p>
      <w:pPr>
        <w:pStyle w:val="Normal"/>
        <w:spacing w:lineRule="auto" w:line="240" w:before="0" w:after="0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"/>
        <w:spacing w:lineRule="auto" w:line="240" w:before="0" w:after="0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"/>
        <w:spacing w:lineRule="auto" w:line="240" w:before="0" w:after="0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"/>
        <w:numPr>
          <w:ilvl w:val="0"/>
          <w:numId w:val="1"/>
        </w:numPr>
        <w:spacing w:lineRule="auto" w:line="240" w:before="0" w:after="80"/>
        <w:ind w:left="1" w:hanging="3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  <w:t>Metodologia</w:t>
      </w:r>
    </w:p>
    <w:p>
      <w:pPr>
        <w:pStyle w:val="Normal"/>
        <w:numPr>
          <w:ilvl w:val="0"/>
          <w:numId w:val="0"/>
        </w:numPr>
        <w:spacing w:lineRule="auto" w:line="240" w:before="0" w:after="80"/>
        <w:ind w:left="1" w:hanging="0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</w:r>
    </w:p>
    <w:p>
      <w:pPr>
        <w:pStyle w:val="Normal"/>
        <w:spacing w:lineRule="auto" w:line="360"/>
        <w:ind w:hanging="0"/>
        <w:jc w:val="both"/>
        <w:rPr>
          <w:rFonts w:ascii="Open Sans" w:hAnsi="Open Sans" w:cs="Open Sans"/>
          <w:sz w:val="20"/>
          <w:szCs w:val="20"/>
        </w:rPr>
      </w:pPr>
      <w:r>
        <w:rPr>
          <w:rFonts w:cs="Open Sans" w:ascii="Open Sans" w:hAnsi="Open Sans"/>
          <w:sz w:val="20"/>
          <w:szCs w:val="20"/>
        </w:rPr>
        <w:tab/>
        <w:t xml:space="preserve">Uma cepa de </w:t>
      </w:r>
      <w:r>
        <w:rPr>
          <w:rFonts w:cs="Open Sans" w:ascii="Open Sans" w:hAnsi="Open Sans"/>
          <w:i/>
          <w:iCs/>
          <w:sz w:val="20"/>
          <w:szCs w:val="20"/>
        </w:rPr>
        <w:t xml:space="preserve">S. aureus </w:t>
      </w:r>
      <w:r>
        <w:rPr>
          <w:rFonts w:cs="Open Sans" w:ascii="Open Sans" w:hAnsi="Open Sans"/>
          <w:sz w:val="20"/>
          <w:szCs w:val="20"/>
        </w:rPr>
        <w:t xml:space="preserve">sabidamente positiva para o gene </w:t>
      </w:r>
      <w:r>
        <w:rPr>
          <w:rFonts w:cs="Open Sans" w:ascii="Open Sans" w:hAnsi="Open Sans"/>
          <w:i/>
          <w:iCs/>
          <w:sz w:val="20"/>
          <w:szCs w:val="20"/>
        </w:rPr>
        <w:t xml:space="preserve">tst </w:t>
      </w:r>
      <w:r>
        <w:rPr>
          <w:rFonts w:cs="Open Sans" w:ascii="Open Sans" w:hAnsi="Open Sans"/>
          <w:sz w:val="20"/>
          <w:szCs w:val="20"/>
        </w:rPr>
        <w:t xml:space="preserve">depositada no biorrepositório do Laboratório de Microbiologia de Alimentos da UFNT foi recuperada do estoque glicerinado a – 20ºC em caldo BHI (Acumedia, Baltmore, USA) por 24h a 35ºC. A amostra foi purificada por repiques sucessivos em ágar padrão para contagem (PCA) (Acumedia) seguida da inoculação até o ponto 2 da escala de McFarland para estimativa de concentração em 2 log UFC/mL. </w:t>
      </w:r>
    </w:p>
    <w:p>
      <w:pPr>
        <w:pStyle w:val="Normal"/>
        <w:spacing w:lineRule="auto" w:line="360"/>
        <w:ind w:firstLine="720"/>
        <w:jc w:val="both"/>
        <w:rPr>
          <w:rFonts w:ascii="Open Sans" w:hAnsi="Open Sans" w:cs="Open Sans"/>
          <w:sz w:val="20"/>
          <w:szCs w:val="20"/>
        </w:rPr>
      </w:pPr>
      <w:r>
        <w:rPr>
          <w:rFonts w:cs="Open Sans" w:ascii="Open Sans" w:hAnsi="Open Sans"/>
          <w:sz w:val="20"/>
          <w:szCs w:val="20"/>
        </w:rPr>
        <w:t>Essa solução foi decimal e sequencialmente diluída em salina (0,85%) peptonada (0,001%) até a 10</w:t>
      </w:r>
      <w:r>
        <w:rPr>
          <w:rFonts w:cs="Open Sans" w:ascii="Open Sans" w:hAnsi="Open Sans"/>
          <w:sz w:val="20"/>
          <w:szCs w:val="20"/>
          <w:vertAlign w:val="superscript"/>
        </w:rPr>
        <w:t>-10</w:t>
      </w:r>
      <w:r>
        <w:rPr>
          <w:rFonts w:cs="Open Sans" w:ascii="Open Sans" w:hAnsi="Open Sans"/>
          <w:sz w:val="20"/>
          <w:szCs w:val="20"/>
        </w:rPr>
        <w:t xml:space="preserve">. De cada diluição foram retiradas alíquotas de 1 mL imediatamente submetidas à extração de gDNA conforme o protocolo de Ribeiro Júnior et al. (2016). Simultânea e paralelamente, outra alíquota de 1mL de cada uma dessas diluições foi semeada em </w:t>
      </w:r>
      <w:r>
        <w:rPr>
          <w:rFonts w:cs="Open Sans" w:ascii="Open Sans" w:hAnsi="Open Sans"/>
          <w:i/>
          <w:iCs/>
          <w:sz w:val="20"/>
          <w:szCs w:val="20"/>
        </w:rPr>
        <w:t>pour-plate</w:t>
      </w:r>
      <w:r>
        <w:rPr>
          <w:rFonts w:cs="Open Sans" w:ascii="Open Sans" w:hAnsi="Open Sans"/>
          <w:sz w:val="20"/>
          <w:szCs w:val="20"/>
        </w:rPr>
        <w:t xml:space="preserve"> em duplicata em ágar PCA, incubada por 48h a 35ºC para determinação da contagem em UFC/mL indicativa de cada concentração de gDNA extraído. </w:t>
      </w:r>
    </w:p>
    <w:p>
      <w:pPr>
        <w:pStyle w:val="Normal"/>
        <w:spacing w:lineRule="auto" w:line="360"/>
        <w:ind w:firstLine="720"/>
        <w:jc w:val="both"/>
        <w:rPr>
          <w:rFonts w:ascii="Open Sans" w:hAnsi="Open Sans" w:cs="Open Sans"/>
          <w:sz w:val="20"/>
          <w:szCs w:val="20"/>
        </w:rPr>
      </w:pPr>
      <w:r>
        <w:rPr>
          <w:rFonts w:cs="Open Sans" w:ascii="Open Sans" w:hAnsi="Open Sans"/>
          <w:sz w:val="20"/>
          <w:szCs w:val="20"/>
        </w:rPr>
        <w:t xml:space="preserve">Cada amostra de gDNA da curva padrão anteriormente descrita foi avaliada em PCR qualitativa para o gene </w:t>
      </w:r>
      <w:r>
        <w:rPr>
          <w:rFonts w:cs="Open Sans" w:ascii="Open Sans" w:hAnsi="Open Sans"/>
          <w:i/>
          <w:iCs/>
          <w:sz w:val="20"/>
          <w:szCs w:val="20"/>
        </w:rPr>
        <w:t>tst</w:t>
      </w:r>
      <w:r>
        <w:rPr>
          <w:rFonts w:cs="Open Sans" w:ascii="Open Sans" w:hAnsi="Open Sans"/>
          <w:sz w:val="20"/>
          <w:szCs w:val="20"/>
        </w:rPr>
        <w:t xml:space="preserve">. A PCR foi executada com a seguinte constituição: 2 μL do produto da extração como DNA </w:t>
      </w:r>
      <w:r>
        <w:rPr>
          <w:rFonts w:cs="Open Sans" w:ascii="Open Sans" w:hAnsi="Open Sans"/>
          <w:i/>
          <w:iCs/>
          <w:sz w:val="20"/>
          <w:szCs w:val="20"/>
        </w:rPr>
        <w:t>target</w:t>
      </w:r>
      <w:r>
        <w:rPr>
          <w:rFonts w:cs="Open Sans" w:ascii="Open Sans" w:hAnsi="Open Sans"/>
          <w:sz w:val="20"/>
          <w:szCs w:val="20"/>
        </w:rPr>
        <w:t>, 100 nM de cada dNTP, 2,5 μL de tampão 10x, 75 mmol/L de MgCl</w:t>
      </w:r>
      <w:r>
        <w:rPr>
          <w:rFonts w:cs="Open Sans" w:ascii="Open Sans" w:hAnsi="Open Sans"/>
          <w:sz w:val="20"/>
          <w:szCs w:val="20"/>
          <w:vertAlign w:val="subscript"/>
        </w:rPr>
        <w:t>2</w:t>
      </w:r>
      <w:r>
        <w:rPr>
          <w:rFonts w:cs="Open Sans" w:ascii="Open Sans" w:hAnsi="Open Sans"/>
          <w:sz w:val="20"/>
          <w:szCs w:val="20"/>
        </w:rPr>
        <w:t>, 20 pmol/L de cada primer, 2.5 U de Platinum Taq DNA polymerase</w:t>
      </w:r>
      <w:r>
        <w:rPr>
          <w:rFonts w:cs="Open Sans" w:ascii="Open Sans" w:hAnsi="Open Sans"/>
          <w:sz w:val="20"/>
          <w:szCs w:val="20"/>
          <w:vertAlign w:val="superscript"/>
        </w:rPr>
        <w:t>®</w:t>
      </w:r>
      <w:r>
        <w:rPr>
          <w:rFonts w:cs="Open Sans" w:ascii="Open Sans" w:hAnsi="Open Sans"/>
          <w:sz w:val="20"/>
          <w:szCs w:val="20"/>
        </w:rPr>
        <w:t xml:space="preserve"> (Invitrogen, Carlsbad, CA) e água ultrapura para completar o volume final de 25 μL. Foram utilizados os oligonucleotídeos iniciadores descritos por Mehrotra, Wang e Johnson (2000) para o gene </w:t>
      </w:r>
      <w:r>
        <w:rPr>
          <w:rFonts w:cs="Open Sans" w:ascii="Open Sans" w:hAnsi="Open Sans"/>
          <w:i/>
          <w:iCs/>
          <w:sz w:val="20"/>
          <w:szCs w:val="20"/>
        </w:rPr>
        <w:t>tst</w:t>
      </w:r>
      <w:r>
        <w:rPr>
          <w:rFonts w:cs="Open Sans" w:ascii="Open Sans" w:hAnsi="Open Sans"/>
          <w:sz w:val="20"/>
          <w:szCs w:val="20"/>
        </w:rPr>
        <w:t xml:space="preserve"> (Foward: 5’-ACCCCTGTTCCCTTATCATC–3’ e Reverse: 5’- TTTTCAGTATTTGTAACGCC-3’) que determinam um </w:t>
      </w:r>
      <w:r>
        <w:rPr>
          <w:rFonts w:cs="Open Sans" w:ascii="Open Sans" w:hAnsi="Open Sans"/>
          <w:i/>
          <w:iCs/>
          <w:sz w:val="20"/>
          <w:szCs w:val="20"/>
        </w:rPr>
        <w:t>amplicon</w:t>
      </w:r>
      <w:r>
        <w:rPr>
          <w:rFonts w:cs="Open Sans" w:ascii="Open Sans" w:hAnsi="Open Sans"/>
          <w:sz w:val="20"/>
          <w:szCs w:val="20"/>
        </w:rPr>
        <w:t xml:space="preserve"> de 326 pb. </w:t>
      </w:r>
    </w:p>
    <w:p>
      <w:pPr>
        <w:pStyle w:val="Normal"/>
        <w:spacing w:lineRule="auto" w:line="360"/>
        <w:ind w:firstLine="720"/>
        <w:jc w:val="both"/>
        <w:rPr>
          <w:rFonts w:ascii="Open Sans" w:hAnsi="Open Sans" w:cs="Open Sans"/>
          <w:sz w:val="20"/>
          <w:szCs w:val="20"/>
        </w:rPr>
      </w:pPr>
      <w:r>
        <w:rPr>
          <w:rFonts w:cs="Open Sans" w:ascii="Open Sans" w:hAnsi="Open Sans"/>
          <w:sz w:val="20"/>
          <w:szCs w:val="20"/>
        </w:rPr>
        <w:t xml:space="preserve">Foram utilizadas as seguintes condições de amplificação: 94ºC por 5 minutos, 35 ciclos de desnaturação a 92ºC por 2 minutos, anelamento a 57ºC por 1 minuto e extensão a 72ºC por 1 minuto, e um ciclo de extensão final a 72ºC por 7 minutos. Todas essas condições já foram validadas intra e interlaboratorial para esse ensaio. Os produtos da PCR foram eletroforizados em gel de agarose ultrapura (ThermoFisher Scientific, SP, BRL) a 2,5% por 50 minutos a 90V, corados em brometo de etídio por 20 minutos a 20 mg/mL e documentados sob luz ultravioleta. Os dados de resultados da PCR foram correlacionados com os resultados das contagens em UFC/mL pelo índice de correlação analítica no software SAS, determinando a sensibilidade da PCR em UFC/mL. </w:t>
      </w:r>
    </w:p>
    <w:p>
      <w:pPr>
        <w:pStyle w:val="Normal"/>
        <w:numPr>
          <w:ilvl w:val="0"/>
          <w:numId w:val="1"/>
        </w:numPr>
        <w:spacing w:lineRule="auto" w:line="240" w:before="0" w:after="80"/>
        <w:ind w:left="1" w:hanging="3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  <w:t xml:space="preserve">Resultados </w:t>
      </w:r>
    </w:p>
    <w:p>
      <w:pPr>
        <w:pStyle w:val="Normal"/>
        <w:numPr>
          <w:ilvl w:val="0"/>
          <w:numId w:val="0"/>
        </w:numPr>
        <w:spacing w:lineRule="auto" w:line="240" w:before="0" w:after="80"/>
        <w:ind w:left="1" w:hanging="0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</w:r>
    </w:p>
    <w:p>
      <w:pPr>
        <w:pStyle w:val="Normal"/>
        <w:spacing w:lineRule="auto" w:line="360"/>
        <w:ind w:hanging="0"/>
        <w:jc w:val="both"/>
        <w:rPr>
          <w:rFonts w:ascii="Open Sans" w:hAnsi="Open Sans" w:cs="Open Sans"/>
          <w:sz w:val="20"/>
          <w:szCs w:val="20"/>
        </w:rPr>
      </w:pPr>
      <w:r>
        <w:rPr>
          <w:rFonts w:cs="Open Sans" w:ascii="Open Sans" w:hAnsi="Open Sans"/>
          <w:sz w:val="20"/>
          <w:szCs w:val="20"/>
        </w:rPr>
        <w:tab/>
        <w:t>Os resultados obtidos pelo PCR demonstraram que, nas soluções salinas contendo o inóculo diluído, a sensibilidade foi de 3,1 isolados por ml (1ml da diluição 10</w:t>
      </w:r>
      <w:r>
        <w:rPr>
          <w:rFonts w:cs="Open Sans" w:ascii="Open Sans" w:hAnsi="Open Sans"/>
          <w:sz w:val="20"/>
          <w:szCs w:val="20"/>
          <w:vertAlign w:val="superscript"/>
        </w:rPr>
        <w:t>-8</w:t>
      </w:r>
      <w:r>
        <w:rPr>
          <w:rFonts w:cs="Open Sans" w:ascii="Open Sans" w:hAnsi="Open Sans"/>
          <w:sz w:val="20"/>
          <w:szCs w:val="20"/>
        </w:rPr>
        <w:t xml:space="preserve">) para a detecção do gene </w:t>
      </w:r>
      <w:r>
        <w:rPr>
          <w:rFonts w:cs="Open Sans" w:ascii="Open Sans" w:hAnsi="Open Sans"/>
          <w:i/>
          <w:iCs/>
          <w:sz w:val="20"/>
          <w:szCs w:val="20"/>
        </w:rPr>
        <w:t>tst</w:t>
      </w:r>
      <w:r>
        <w:rPr>
          <w:rFonts w:cs="Open Sans" w:ascii="Open Sans" w:hAnsi="Open Sans"/>
          <w:sz w:val="20"/>
          <w:szCs w:val="20"/>
        </w:rPr>
        <w:t>, conforme Fig.1. Enquanto no leite inoculado a sensibilidade observada foi de, no mínimo, 2,6x10</w:t>
      </w:r>
      <w:r>
        <w:rPr>
          <w:rFonts w:cs="Open Sans" w:ascii="Open Sans" w:hAnsi="Open Sans"/>
          <w:sz w:val="20"/>
          <w:szCs w:val="20"/>
          <w:vertAlign w:val="superscript"/>
        </w:rPr>
        <w:t>7</w:t>
      </w:r>
      <w:r>
        <w:rPr>
          <w:rFonts w:cs="Open Sans" w:ascii="Open Sans" w:hAnsi="Open Sans"/>
          <w:sz w:val="20"/>
          <w:szCs w:val="20"/>
        </w:rPr>
        <w:t xml:space="preserve"> UFC/ml, para a detecção deste mesmo gene. As diluições do leite também foram submetidas à PCR para o gene </w:t>
      </w:r>
      <w:r>
        <w:rPr>
          <w:rFonts w:cs="Open Sans" w:ascii="Open Sans" w:hAnsi="Open Sans"/>
          <w:i/>
          <w:iCs/>
          <w:sz w:val="20"/>
          <w:szCs w:val="20"/>
        </w:rPr>
        <w:t>tst</w:t>
      </w:r>
      <w:r>
        <w:rPr>
          <w:rFonts w:cs="Open Sans" w:ascii="Open Sans" w:hAnsi="Open Sans"/>
          <w:sz w:val="20"/>
          <w:szCs w:val="20"/>
        </w:rPr>
        <w:t>, para o qual foi determinada a sensibilidade de 2,6 x 10</w:t>
      </w:r>
      <w:r>
        <w:rPr>
          <w:rFonts w:cs="Open Sans" w:ascii="Open Sans" w:hAnsi="Open Sans"/>
          <w:sz w:val="20"/>
          <w:szCs w:val="20"/>
          <w:vertAlign w:val="superscript"/>
        </w:rPr>
        <w:t>4</w:t>
      </w:r>
      <w:r>
        <w:rPr>
          <w:rFonts w:cs="Open Sans" w:ascii="Open Sans" w:hAnsi="Open Sans"/>
          <w:sz w:val="20"/>
          <w:szCs w:val="20"/>
        </w:rPr>
        <w:t xml:space="preserve"> UFC</w:t>
      </w:r>
      <w:r>
        <w:rPr>
          <w:rFonts w:cs="Open Sans" w:ascii="Open Sans" w:hAnsi="Open Sans"/>
          <w:b/>
          <w:bCs/>
          <w:sz w:val="16"/>
          <w:szCs w:val="16"/>
        </w:rPr>
        <w:t xml:space="preserve"> </w:t>
      </w:r>
      <w:r>
        <w:rPr>
          <w:rFonts w:cs="Open Sans" w:ascii="Open Sans" w:hAnsi="Open Sans"/>
          <w:sz w:val="20"/>
          <w:szCs w:val="20"/>
        </w:rPr>
        <w:t>/mL (Fig. 2).</w:t>
      </w:r>
    </w:p>
    <w:p>
      <w:pPr>
        <w:pStyle w:val="Normal"/>
        <w:spacing w:lineRule="auto" w:line="360" w:before="0" w:after="0"/>
        <w:ind w:hanging="2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  <w:drawing>
          <wp:anchor behindDoc="1" distT="0" distB="0" distL="0" distR="0" simplePos="0" locked="0" layoutInCell="0" allowOverlap="1" relativeHeight="9">
            <wp:simplePos x="0" y="0"/>
            <wp:positionH relativeFrom="column">
              <wp:posOffset>857885</wp:posOffset>
            </wp:positionH>
            <wp:positionV relativeFrom="paragraph">
              <wp:posOffset>-67945</wp:posOffset>
            </wp:positionV>
            <wp:extent cx="3550285" cy="1762125"/>
            <wp:effectExtent l="0" t="0" r="0" b="0"/>
            <wp:wrapNone/>
            <wp:docPr id="1" name="Imagem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80"/>
        <w:ind w:left="1" w:hanging="0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80"/>
        <w:ind w:left="1" w:hanging="0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80"/>
        <w:ind w:left="1" w:hanging="0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80"/>
        <w:ind w:left="1" w:hanging="0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80"/>
        <w:ind w:left="1" w:hanging="0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</w:r>
    </w:p>
    <w:p>
      <w:pPr>
        <w:pStyle w:val="Normal"/>
        <w:ind w:left="1418" w:right="1558" w:hanging="0"/>
        <w:jc w:val="both"/>
        <w:rPr>
          <w:rFonts w:ascii="Open Sans" w:hAnsi="Open Sans" w:cs="Open Sans"/>
          <w:b/>
          <w:b/>
          <w:bCs/>
          <w:sz w:val="16"/>
          <w:szCs w:val="16"/>
        </w:rPr>
      </w:pPr>
      <w:r>
        <w:rPr>
          <w:rFonts w:cs="Open Sans" w:ascii="Open Sans" w:hAnsi="Open Sans"/>
          <w:b/>
          <w:bCs/>
          <w:sz w:val="16"/>
          <w:szCs w:val="16"/>
        </w:rPr>
        <w:t>Figura 1.</w:t>
      </w:r>
      <w:r>
        <w:rPr>
          <w:rFonts w:cs="Open Sans" w:ascii="Open Sans" w:hAnsi="Open Sans"/>
          <w:sz w:val="16"/>
          <w:szCs w:val="16"/>
        </w:rPr>
        <w:t xml:space="preserve"> Sensibilidade da PCR para pesquisa do inóculo decimal e  sequencialmente reduzindo a intensidade até concentração detectável de 3,1 UFC/mL.</w:t>
      </w:r>
    </w:p>
    <w:p>
      <w:pPr>
        <w:pStyle w:val="Normal"/>
        <w:spacing w:lineRule="auto" w:line="240" w:before="0" w:after="80"/>
        <w:ind w:left="1" w:hanging="0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  <w:drawing>
          <wp:anchor behindDoc="0" distT="0" distB="0" distL="114300" distR="114300" simplePos="0" locked="0" layoutInCell="0" allowOverlap="1" relativeHeight="10">
            <wp:simplePos x="0" y="0"/>
            <wp:positionH relativeFrom="column">
              <wp:posOffset>893445</wp:posOffset>
            </wp:positionH>
            <wp:positionV relativeFrom="paragraph">
              <wp:posOffset>78105</wp:posOffset>
            </wp:positionV>
            <wp:extent cx="3514725" cy="2181860"/>
            <wp:effectExtent l="0" t="0" r="0" b="0"/>
            <wp:wrapThrough wrapText="bothSides">
              <wp:wrapPolygon edited="0">
                <wp:start x="-40" y="0"/>
                <wp:lineTo x="-40" y="21368"/>
                <wp:lineTo x="21476" y="21368"/>
                <wp:lineTo x="21476" y="0"/>
                <wp:lineTo x="-40" y="0"/>
              </wp:wrapPolygon>
            </wp:wrapThrough>
            <wp:docPr id="2" name="Imagem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80"/>
        <w:ind w:left="1" w:hanging="0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80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80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80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80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80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80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</w:r>
    </w:p>
    <w:p>
      <w:pPr>
        <w:pStyle w:val="Normal"/>
        <w:tabs>
          <w:tab w:val="clear" w:pos="720"/>
          <w:tab w:val="left" w:pos="6804" w:leader="none"/>
        </w:tabs>
        <w:ind w:left="1418" w:right="1558" w:hanging="0"/>
        <w:jc w:val="both"/>
        <w:rPr>
          <w:rFonts w:ascii="Open Sans" w:hAnsi="Open Sans" w:cs="Open Sans"/>
          <w:sz w:val="16"/>
          <w:szCs w:val="16"/>
        </w:rPr>
      </w:pPr>
      <w:r>
        <w:rPr>
          <w:rFonts w:cs="Open Sans" w:ascii="Open Sans" w:hAnsi="Open Sans"/>
          <w:b/>
          <w:bCs/>
          <w:sz w:val="18"/>
          <w:szCs w:val="18"/>
        </w:rPr>
        <w:t>Figura 2.</w:t>
      </w:r>
      <w:r>
        <w:rPr>
          <w:rFonts w:cs="Open Sans" w:ascii="Open Sans" w:hAnsi="Open Sans"/>
          <w:sz w:val="18"/>
          <w:szCs w:val="18"/>
        </w:rPr>
        <w:t xml:space="preserve"> Sensibilidade da PCR para pesquisa do gene tst em leite inoculado com S. aureus até a concentração detectável de 2,6 x 104 UFC/mL.</w:t>
      </w:r>
    </w:p>
    <w:p>
      <w:pPr>
        <w:pStyle w:val="Normal"/>
        <w:spacing w:lineRule="auto" w:line="360"/>
        <w:ind w:firstLine="720"/>
        <w:jc w:val="both"/>
        <w:rPr>
          <w:rFonts w:ascii="Open Sans" w:hAnsi="Open Sans" w:cs="Open Sans"/>
          <w:sz w:val="20"/>
          <w:szCs w:val="20"/>
        </w:rPr>
      </w:pPr>
      <w:r>
        <w:rPr>
          <w:rFonts w:cs="Open Sans" w:ascii="Open Sans" w:hAnsi="Open Sans"/>
          <w:sz w:val="20"/>
          <w:szCs w:val="20"/>
        </w:rPr>
        <w:t xml:space="preserve">Tais dados revelaram que a pesquisa molecular do gene tst de </w:t>
      </w:r>
      <w:r>
        <w:rPr>
          <w:rFonts w:cs="Open Sans" w:ascii="Open Sans" w:hAnsi="Open Sans"/>
          <w:i/>
          <w:iCs/>
          <w:sz w:val="20"/>
          <w:szCs w:val="20"/>
        </w:rPr>
        <w:t>Staphylococcus</w:t>
      </w:r>
      <w:r>
        <w:rPr>
          <w:rFonts w:cs="Open Sans" w:ascii="Open Sans" w:hAnsi="Open Sans"/>
          <w:sz w:val="20"/>
          <w:szCs w:val="20"/>
        </w:rPr>
        <w:t xml:space="preserve"> aureus em amostras de leite apresentará resultados positivos somente se este estiver presente em grandes quantificações.  Assim, de acordo com os valores obtidos, conclui-se que não é confiável a utilização do PCR para detecção do gene </w:t>
      </w:r>
      <w:r>
        <w:rPr>
          <w:rFonts w:cs="Open Sans" w:ascii="Open Sans" w:hAnsi="Open Sans"/>
          <w:i/>
          <w:iCs/>
          <w:sz w:val="20"/>
          <w:szCs w:val="20"/>
        </w:rPr>
        <w:t>tst</w:t>
      </w:r>
      <w:r>
        <w:rPr>
          <w:rFonts w:cs="Open Sans" w:ascii="Open Sans" w:hAnsi="Open Sans"/>
          <w:sz w:val="20"/>
          <w:szCs w:val="20"/>
        </w:rPr>
        <w:t xml:space="preserve"> em amostras de leite, pois sua sensibilidade não é suficiente, sendo necessária uma quantidade de UFC/ml ainda maior do que aquela capaz de instalar um quadro de intoxicação ao consumidor, para sua devida identificação. Essa realidade é justificada no fato de que o leite possui, em sua composição, fatores capazes de inibir o PCR. Aslam et al. (2003) sugeriram que a gordura do leite poderia cobrir a superfície bacteriana e dificultar a lise celular, desse modo diminuiria a sensibilidade da reação de PCR. Além disso, tem sido relatado que os componentes dos alimentos, dos meios de cultura e dos reagentes utilizados na extração de DNA podem inibir a reação de PCR ou a enzima </w:t>
      </w:r>
      <w:r>
        <w:rPr>
          <w:rFonts w:cs="Open Sans" w:ascii="Open Sans" w:hAnsi="Open Sans"/>
          <w:i/>
          <w:iCs/>
          <w:sz w:val="20"/>
          <w:szCs w:val="20"/>
        </w:rPr>
        <w:t>Taq</w:t>
      </w:r>
      <w:r>
        <w:rPr>
          <w:rFonts w:cs="Open Sans" w:ascii="Open Sans" w:hAnsi="Open Sans"/>
          <w:sz w:val="20"/>
          <w:szCs w:val="20"/>
        </w:rPr>
        <w:t> DNA polimerase, causando decréscimo na sensibilidade da técnica ou até mesmo gerando resultados falso-negativos (Fluit et al., 1993; Manzano et al., 1998; Nogva et al., 2000; Aznar e Alarcón, 2003).</w:t>
      </w:r>
    </w:p>
    <w:p>
      <w:pPr>
        <w:pStyle w:val="Normal"/>
        <w:spacing w:lineRule="auto" w:line="360"/>
        <w:ind w:firstLine="720"/>
        <w:jc w:val="both"/>
        <w:rPr>
          <w:rFonts w:ascii="Open Sans" w:hAnsi="Open Sans" w:cs="Open Sans"/>
          <w:sz w:val="20"/>
          <w:szCs w:val="20"/>
        </w:rPr>
      </w:pPr>
      <w:r>
        <w:rPr/>
      </w:r>
    </w:p>
    <w:p>
      <w:pPr>
        <w:pStyle w:val="Normal"/>
        <w:spacing w:lineRule="auto" w:line="360"/>
        <w:ind w:firstLine="720"/>
        <w:jc w:val="both"/>
        <w:rPr>
          <w:rFonts w:ascii="Open Sans" w:hAnsi="Open Sans" w:cs="Open Sans"/>
          <w:sz w:val="20"/>
          <w:szCs w:val="20"/>
        </w:rPr>
      </w:pPr>
      <w:r>
        <w:rPr/>
      </w:r>
    </w:p>
    <w:p>
      <w:pPr>
        <w:pStyle w:val="Normal"/>
        <w:numPr>
          <w:ilvl w:val="0"/>
          <w:numId w:val="1"/>
        </w:numPr>
        <w:spacing w:lineRule="auto" w:line="240" w:before="0" w:after="80"/>
        <w:ind w:left="1" w:hanging="3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  <w:t>Considerações finais</w:t>
      </w:r>
    </w:p>
    <w:p>
      <w:pPr>
        <w:pStyle w:val="Normal"/>
        <w:spacing w:lineRule="auto" w:line="240" w:before="0" w:after="80"/>
        <w:ind w:left="1" w:hanging="0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</w:r>
    </w:p>
    <w:p>
      <w:pPr>
        <w:pStyle w:val="Normal"/>
        <w:spacing w:lineRule="auto" w:line="360" w:before="0" w:after="0"/>
        <w:ind w:hanging="2"/>
        <w:jc w:val="both"/>
        <w:rPr>
          <w:rFonts w:ascii="Open Sans" w:hAnsi="Open Sans" w:eastAsia="Open Sans" w:cs="Open Sans"/>
          <w:sz w:val="20"/>
          <w:szCs w:val="20"/>
        </w:rPr>
      </w:pPr>
      <w:r>
        <w:rPr>
          <w:rFonts w:eastAsia="Open Sans" w:cs="Open Sans" w:ascii="Open Sans" w:hAnsi="Open Sans"/>
          <w:sz w:val="20"/>
          <w:szCs w:val="20"/>
        </w:rPr>
        <w:tab/>
        <w:tab/>
        <w:t xml:space="preserve">Diante dos resultados obtidos, foi possível concluir que a técnica de PCR apresenta limitações quanto a quantificação do gene </w:t>
      </w:r>
      <w:r>
        <w:rPr>
          <w:rFonts w:eastAsia="Open Sans" w:cs="Open Sans" w:ascii="Open Sans" w:hAnsi="Open Sans"/>
          <w:i/>
          <w:iCs/>
          <w:sz w:val="20"/>
          <w:szCs w:val="20"/>
        </w:rPr>
        <w:t xml:space="preserve">tst </w:t>
      </w:r>
      <w:r>
        <w:rPr>
          <w:rFonts w:eastAsia="Open Sans" w:cs="Open Sans" w:ascii="Open Sans" w:hAnsi="Open Sans"/>
          <w:sz w:val="20"/>
          <w:szCs w:val="20"/>
        </w:rPr>
        <w:t xml:space="preserve">de </w:t>
      </w:r>
      <w:r>
        <w:rPr>
          <w:rFonts w:eastAsia="Open Sans" w:cs="Open Sans" w:ascii="Open Sans" w:hAnsi="Open Sans"/>
          <w:i/>
          <w:iCs/>
          <w:sz w:val="20"/>
          <w:szCs w:val="20"/>
        </w:rPr>
        <w:t xml:space="preserve">S. Aureus, </w:t>
      </w:r>
      <w:r>
        <w:rPr>
          <w:rFonts w:eastAsia="Open Sans" w:cs="Open Sans" w:ascii="Open Sans" w:hAnsi="Open Sans"/>
          <w:sz w:val="20"/>
          <w:szCs w:val="20"/>
        </w:rPr>
        <w:t>estabelecendo resultados satisfatórios somente se este estiver presente em grandes quantificações. Uma alternativa para essa problemática pode ser o pré-enriquecimento da amostra para o diagnóstico direto do patógeno.</w:t>
      </w:r>
    </w:p>
    <w:p>
      <w:pPr>
        <w:pStyle w:val="Normal"/>
        <w:spacing w:lineRule="auto" w:line="240" w:before="0" w:after="0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"/>
        <w:numPr>
          <w:ilvl w:val="0"/>
          <w:numId w:val="1"/>
        </w:numPr>
        <w:spacing w:lineRule="auto" w:line="240" w:before="0" w:after="80"/>
        <w:ind w:left="1" w:hanging="3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  <w:t>Referências Bibliográficas</w:t>
      </w:r>
    </w:p>
    <w:p>
      <w:pPr>
        <w:pStyle w:val="Normal"/>
        <w:spacing w:lineRule="auto" w:line="240" w:before="0" w:after="80"/>
        <w:ind w:left="1" w:hanging="0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</w:r>
    </w:p>
    <w:p>
      <w:pPr>
        <w:pStyle w:val="Normal"/>
        <w:spacing w:lineRule="auto" w:line="240"/>
        <w:jc w:val="both"/>
        <w:rPr>
          <w:lang w:val="en-US"/>
        </w:rPr>
      </w:pPr>
      <w:r>
        <w:rPr>
          <w:lang w:val="en-US"/>
        </w:rPr>
        <w:t xml:space="preserve">ASLAM, M.; HOGAN, J.; SMITH, K.L. </w:t>
      </w:r>
      <w:r>
        <w:rPr>
          <w:b/>
          <w:bCs/>
          <w:lang w:val="en-US"/>
        </w:rPr>
        <w:t>Development of a PCR-based assay to detect Shiga toxin-producing </w:t>
      </w:r>
      <w:r>
        <w:rPr>
          <w:b/>
          <w:bCs/>
          <w:i/>
          <w:iCs/>
          <w:lang w:val="en-US"/>
        </w:rPr>
        <w:t>Escherichia coli</w:t>
      </w:r>
      <w:r>
        <w:rPr>
          <w:b/>
          <w:bCs/>
          <w:lang w:val="en-US"/>
        </w:rPr>
        <w:t>, </w:t>
      </w:r>
      <w:r>
        <w:rPr>
          <w:b/>
          <w:bCs/>
          <w:i/>
          <w:iCs/>
          <w:lang w:val="en-US"/>
        </w:rPr>
        <w:t>Listeria monocytogenes</w:t>
      </w:r>
      <w:r>
        <w:rPr>
          <w:b/>
          <w:bCs/>
          <w:lang w:val="en-US"/>
        </w:rPr>
        <w:t>, and </w:t>
      </w:r>
      <w:r>
        <w:rPr>
          <w:b/>
          <w:bCs/>
          <w:i/>
          <w:iCs/>
          <w:lang w:val="en-US"/>
        </w:rPr>
        <w:t>Salmonella</w:t>
      </w:r>
      <w:r>
        <w:rPr>
          <w:b/>
          <w:bCs/>
          <w:lang w:val="en-US"/>
        </w:rPr>
        <w:t> in milk.</w:t>
      </w:r>
      <w:r>
        <w:rPr>
          <w:lang w:val="en-US"/>
        </w:rPr>
        <w:t> </w:t>
      </w:r>
      <w:r>
        <w:rPr>
          <w:i/>
          <w:iCs/>
          <w:lang w:val="en-US"/>
        </w:rPr>
        <w:t>Food Microbiol.</w:t>
      </w:r>
      <w:r>
        <w:rPr>
          <w:lang w:val="en-US"/>
        </w:rPr>
        <w:t>, v.20, p.345-350, 2003.</w:t>
      </w:r>
    </w:p>
    <w:p>
      <w:pPr>
        <w:pStyle w:val="Normal"/>
        <w:spacing w:lineRule="auto" w:line="240"/>
        <w:jc w:val="both"/>
        <w:rPr>
          <w:lang w:val="en-US"/>
        </w:rPr>
      </w:pPr>
      <w:r>
        <w:rPr>
          <w:rFonts w:cs="Arial"/>
          <w:lang w:val="en-US"/>
        </w:rPr>
        <w:t>AZNAR, R.; ALARCÓN, B</w:t>
      </w:r>
      <w:r>
        <w:rPr>
          <w:rFonts w:cs="Arial"/>
          <w:b/>
          <w:bCs/>
          <w:lang w:val="en-US"/>
        </w:rPr>
        <w:t>. PCR detection of </w:t>
      </w:r>
      <w:r>
        <w:rPr>
          <w:rFonts w:cs="Arial"/>
          <w:b/>
          <w:bCs/>
          <w:i/>
          <w:iCs/>
          <w:lang w:val="en-US"/>
        </w:rPr>
        <w:t>Listeria monocytogenes</w:t>
      </w:r>
      <w:r>
        <w:rPr>
          <w:rFonts w:cs="Arial"/>
          <w:b/>
          <w:bCs/>
          <w:lang w:val="en-US"/>
        </w:rPr>
        <w:t>: a study of multiple factors affecting sensitivity.</w:t>
      </w:r>
      <w:r>
        <w:rPr>
          <w:rFonts w:cs="Arial"/>
          <w:lang w:val="en-US"/>
        </w:rPr>
        <w:t> </w:t>
      </w:r>
      <w:r>
        <w:rPr>
          <w:rFonts w:cs="Arial"/>
          <w:i/>
          <w:iCs/>
          <w:lang w:val="en-US"/>
        </w:rPr>
        <w:t>J. Appl. Microbiol.</w:t>
      </w:r>
      <w:r>
        <w:rPr>
          <w:rFonts w:cs="Arial"/>
          <w:lang w:val="en-US"/>
        </w:rPr>
        <w:t>, v.95, p.958-966, 2003.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cs="Arial"/>
          <w:lang w:val="en-US"/>
        </w:rPr>
      </w:pPr>
      <w:r>
        <w:rPr>
          <w:rFonts w:cs="Arial"/>
          <w:lang w:val="en-US"/>
        </w:rPr>
        <w:t xml:space="preserve">BERGDOLL, M.S. </w:t>
      </w:r>
      <w:r>
        <w:rPr>
          <w:rFonts w:cs="Arial"/>
          <w:b/>
          <w:bCs/>
          <w:lang w:val="en-US"/>
        </w:rPr>
        <w:t>Staphylococcal food poisoning</w:t>
      </w:r>
      <w:r>
        <w:rPr>
          <w:rFonts w:cs="Arial"/>
          <w:i/>
          <w:iCs/>
          <w:lang w:val="en-US"/>
        </w:rPr>
        <w:t>.</w:t>
      </w:r>
      <w:r>
        <w:rPr>
          <w:rFonts w:cs="Arial"/>
          <w:lang w:val="en-US"/>
        </w:rPr>
        <w:t> In: CLIVER, D.O. (Ed.). </w:t>
      </w:r>
      <w:r>
        <w:rPr>
          <w:rFonts w:cs="Arial"/>
          <w:i/>
          <w:iCs/>
          <w:lang w:val="en-US"/>
        </w:rPr>
        <w:t>Foodborne diseases</w:t>
      </w:r>
      <w:r>
        <w:rPr>
          <w:rFonts w:cs="Arial"/>
          <w:lang w:val="en-US"/>
        </w:rPr>
        <w:t> San Diego: Academic, 1990. p.86-106.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cs="Arial"/>
          <w:lang w:val="en-US"/>
        </w:rPr>
      </w:pPr>
      <w:r>
        <w:rPr>
          <w:rFonts w:cs="Arial"/>
          <w:lang w:val="en-US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cs="Arial"/>
          <w:lang w:val="en-US"/>
        </w:rPr>
      </w:pPr>
      <w:r>
        <w:rPr>
          <w:rFonts w:cs="Arial"/>
          <w:lang w:val="en-US"/>
        </w:rPr>
        <w:t>BERGDOLL, M.S</w:t>
      </w:r>
      <w:r>
        <w:rPr>
          <w:rFonts w:cs="Arial"/>
          <w:b/>
          <w:bCs/>
          <w:lang w:val="en-US"/>
        </w:rPr>
        <w:t xml:space="preserve">. </w:t>
      </w:r>
      <w:r>
        <w:rPr>
          <w:rFonts w:cs="Arial"/>
          <w:b/>
          <w:bCs/>
          <w:i/>
          <w:iCs/>
          <w:lang w:val="en-US"/>
        </w:rPr>
        <w:t>Staphylococcus aureus</w:t>
      </w:r>
      <w:r>
        <w:rPr>
          <w:rFonts w:cs="Arial"/>
          <w:b/>
          <w:bCs/>
          <w:lang w:val="en-US"/>
        </w:rPr>
        <w:t> In: Foodborne bacterial pathogens</w:t>
      </w:r>
      <w:r>
        <w:rPr>
          <w:rFonts w:cs="Arial"/>
          <w:i/>
          <w:iCs/>
          <w:lang w:val="en-US"/>
        </w:rPr>
        <w:t>.</w:t>
      </w:r>
      <w:r>
        <w:rPr>
          <w:rFonts w:cs="Arial"/>
          <w:lang w:val="en-US"/>
        </w:rPr>
        <w:t> New York: Marcel Dekker, 1989. p.463-523.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cs="Arial"/>
          <w:lang w:val="en-US"/>
        </w:rPr>
      </w:pPr>
      <w:r>
        <w:rPr>
          <w:rFonts w:cs="Arial"/>
          <w:lang w:val="en-US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cs="Arial"/>
        </w:rPr>
      </w:pPr>
      <w:r>
        <w:rPr>
          <w:rFonts w:cs="Arial"/>
          <w:lang w:val="en-US"/>
        </w:rPr>
        <w:t xml:space="preserve">CHESNEY, P.J. </w:t>
      </w:r>
      <w:r>
        <w:rPr>
          <w:rFonts w:cs="Arial"/>
          <w:b/>
          <w:bCs/>
          <w:lang w:val="en-US"/>
        </w:rPr>
        <w:t>Clinical aspects and spectrum of illness of toxic shock syndrome: overview.</w:t>
      </w:r>
      <w:r>
        <w:rPr>
          <w:rFonts w:cs="Arial"/>
          <w:lang w:val="en-US"/>
        </w:rPr>
        <w:t> </w:t>
      </w:r>
      <w:r>
        <w:rPr>
          <w:rFonts w:cs="Arial"/>
          <w:i/>
          <w:iCs/>
        </w:rPr>
        <w:t>Rev. Inf. Dis.</w:t>
      </w:r>
      <w:r>
        <w:rPr>
          <w:rFonts w:cs="Arial"/>
        </w:rPr>
        <w:t>, v.11, p.51-57, 1989.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color w:val="000000"/>
          <w:lang w:val="en-US"/>
        </w:rPr>
      </w:pPr>
      <w:r>
        <w:rPr>
          <w:color w:val="000000"/>
        </w:rPr>
        <w:t xml:space="preserve">COSTA, Mônica; SANTIAGO, Lopes. Universidade Federal de Minas Gerais, Instituto de Ciências Biológicas, Departamento de Microbiologia, </w:t>
      </w:r>
      <w:r>
        <w:rPr>
          <w:b/>
          <w:bCs/>
          <w:color w:val="000000"/>
        </w:rPr>
        <w:t>Pesquisa de Staphylococcus Coagulase Positiva Produtor da Toxina 1 da Síndrome do Choque Tóxico (TSST-1) em Amostras de Queijo Minas Artesanal.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 xml:space="preserve">[s.l.: s.n.], 2019.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cs="Arial"/>
          <w:lang w:val="en-US"/>
        </w:rPr>
      </w:pPr>
      <w:r>
        <w:rPr>
          <w:rFonts w:cs="Arial"/>
          <w:lang w:val="en-US"/>
        </w:rPr>
      </w:r>
    </w:p>
    <w:p>
      <w:pPr>
        <w:pStyle w:val="Normal"/>
        <w:spacing w:lineRule="auto" w:line="240"/>
        <w:jc w:val="both"/>
        <w:rPr>
          <w:lang w:val="en-US"/>
        </w:rPr>
      </w:pPr>
      <w:r>
        <w:rPr>
          <w:lang w:val="en-US"/>
        </w:rPr>
        <w:t xml:space="preserve">FLUIT, A.C.; TORENSMA, R.; VISSER, M.J.C. et al. </w:t>
      </w:r>
      <w:r>
        <w:rPr>
          <w:b/>
          <w:bCs/>
          <w:lang w:val="en-US"/>
        </w:rPr>
        <w:t>Detection of </w:t>
      </w:r>
      <w:r>
        <w:rPr>
          <w:b/>
          <w:bCs/>
          <w:i/>
          <w:iCs/>
          <w:lang w:val="en-US"/>
        </w:rPr>
        <w:t>Listeria monocytogenes</w:t>
      </w:r>
      <w:r>
        <w:rPr>
          <w:b/>
          <w:bCs/>
          <w:lang w:val="en-US"/>
        </w:rPr>
        <w:t> in cheese with the magnetic immuno-polymerase chain reaction assay.</w:t>
      </w:r>
      <w:r>
        <w:rPr>
          <w:lang w:val="en-US"/>
        </w:rPr>
        <w:t> </w:t>
      </w:r>
      <w:r>
        <w:rPr>
          <w:i/>
          <w:iCs/>
          <w:lang w:val="en-US"/>
        </w:rPr>
        <w:t>Appl. Environ. Microbiol</w:t>
      </w:r>
      <w:r>
        <w:rPr>
          <w:lang w:val="en-US"/>
        </w:rPr>
        <w:t>, v.59, p.1289-1293, 1993.</w:t>
      </w:r>
    </w:p>
    <w:p>
      <w:pPr>
        <w:pStyle w:val="Normal"/>
        <w:spacing w:lineRule="auto" w:line="240"/>
        <w:jc w:val="both"/>
        <w:rPr>
          <w:lang w:val="en-US"/>
        </w:rPr>
      </w:pPr>
      <w:r>
        <w:rPr>
          <w:lang w:val="en-US"/>
        </w:rPr>
        <w:t>MANZANO, M.; COCOLIN, L.; CANTONI, C. et al</w:t>
      </w:r>
      <w:r>
        <w:rPr>
          <w:b/>
          <w:bCs/>
          <w:lang w:val="en-US"/>
        </w:rPr>
        <w:t>. A rapid method for the identification and partial serotyping of </w:t>
      </w:r>
      <w:r>
        <w:rPr>
          <w:b/>
          <w:bCs/>
          <w:i/>
          <w:iCs/>
          <w:lang w:val="en-US"/>
        </w:rPr>
        <w:t>Listeria monocytogenes</w:t>
      </w:r>
      <w:r>
        <w:rPr>
          <w:b/>
          <w:bCs/>
          <w:lang w:val="en-US"/>
        </w:rPr>
        <w:t> in food by PCR and restriction enzyme analysis</w:t>
      </w:r>
      <w:r>
        <w:rPr>
          <w:lang w:val="en-US"/>
        </w:rPr>
        <w:t>. </w:t>
      </w:r>
      <w:r>
        <w:rPr>
          <w:i/>
          <w:iCs/>
          <w:lang w:val="en-US"/>
        </w:rPr>
        <w:t>Int. J. Food Microbiol.</w:t>
      </w:r>
      <w:r>
        <w:rPr>
          <w:lang w:val="en-US"/>
        </w:rPr>
        <w:t>, v.42, p.207-212, 1998.</w:t>
      </w:r>
    </w:p>
    <w:p>
      <w:pPr>
        <w:pStyle w:val="Normal"/>
        <w:spacing w:lineRule="auto" w:line="240"/>
        <w:jc w:val="both"/>
        <w:rPr/>
      </w:pPr>
      <w:r>
        <w:rPr>
          <w:lang w:val="en-US"/>
        </w:rPr>
        <w:t xml:space="preserve">McVey, Scott. </w:t>
      </w:r>
      <w:r>
        <w:rPr>
          <w:b/>
          <w:bCs/>
          <w:lang w:val="en-US"/>
        </w:rPr>
        <w:t>Microbiologia veterinária</w:t>
      </w:r>
      <w:r>
        <w:rPr>
          <w:lang w:val="en-US"/>
        </w:rPr>
        <w:t xml:space="preserve">/Scott McVey, Melissa Kennedy, M. M. Chengappa </w:t>
      </w:r>
      <w:r>
        <w:rPr/>
        <w:t>;</w:t>
      </w:r>
      <w:r>
        <w:rPr>
          <w:lang w:val="en-US"/>
        </w:rPr>
        <w:t xml:space="preserve"> tradução José Jurandir Fagliari. </w:t>
      </w:r>
      <w:r>
        <w:rPr/>
        <w:softHyphen/>
        <w:t xml:space="preserve"> 3. ed. </w:t>
        <w:softHyphen/>
        <w:t xml:space="preserve"> Rio de Janeiro: Guanabara Koogan, 2016.</w:t>
      </w:r>
    </w:p>
    <w:p>
      <w:pPr>
        <w:pStyle w:val="Normal"/>
        <w:spacing w:lineRule="auto" w:line="240"/>
        <w:jc w:val="both"/>
        <w:rPr>
          <w:color w:val="000000"/>
        </w:rPr>
      </w:pPr>
      <w:r>
        <w:rPr>
          <w:b/>
          <w:bCs/>
          <w:color w:val="000000"/>
        </w:rPr>
        <w:t>Microbiologia veterinária e doenças infecciosas</w:t>
      </w:r>
      <w:r>
        <w:rPr>
          <w:color w:val="000000"/>
        </w:rPr>
        <w:t xml:space="preserve"> / P. J. Quinn, B. K. ... [et al.]; tradução Lúcia Helena Niederauer Weiss, Rita Denise Niederauer Weiss. – Dados eletrônicos. – Porto Alegre: Artmed, 2007.</w:t>
      </w:r>
    </w:p>
    <w:p>
      <w:pPr>
        <w:pStyle w:val="Normal"/>
        <w:spacing w:lineRule="auto" w:line="240"/>
        <w:jc w:val="both"/>
        <w:rPr>
          <w:rFonts w:cs="" w:cstheme="minorBidi"/>
          <w:color w:val="000000"/>
          <w:lang w:val="en-US"/>
        </w:rPr>
      </w:pPr>
      <w:r>
        <w:rPr>
          <w:rFonts w:cs="Arial"/>
          <w:lang w:val="en-US"/>
        </w:rPr>
        <w:t xml:space="preserve">NOGVA, H.K.; RUDI, K.; NATERSTAD, K. et al. </w:t>
      </w:r>
      <w:r>
        <w:rPr>
          <w:rFonts w:cs="Arial"/>
          <w:b/>
          <w:bCs/>
          <w:lang w:val="en-US"/>
        </w:rPr>
        <w:t>Application of 5'-nuclease PCR for quantitative detection of </w:t>
      </w:r>
      <w:r>
        <w:rPr>
          <w:rFonts w:cs="Arial"/>
          <w:b/>
          <w:bCs/>
          <w:i/>
          <w:iCs/>
          <w:lang w:val="en-US"/>
        </w:rPr>
        <w:t>Listeria monocytogenes</w:t>
      </w:r>
      <w:r>
        <w:rPr>
          <w:rFonts w:cs="Arial"/>
          <w:b/>
          <w:bCs/>
          <w:lang w:val="en-US"/>
        </w:rPr>
        <w:t> in pure cultures, water, skim milk, and unpasteurized whole milk</w:t>
      </w:r>
      <w:r>
        <w:rPr>
          <w:rFonts w:cs="Arial"/>
          <w:lang w:val="en-US"/>
        </w:rPr>
        <w:t>. </w:t>
      </w:r>
      <w:r>
        <w:rPr>
          <w:rFonts w:cs="Arial"/>
          <w:i/>
          <w:iCs/>
          <w:lang w:val="en-US"/>
        </w:rPr>
        <w:t>Appl. Environ. Microbiol.</w:t>
      </w:r>
      <w:r>
        <w:rPr>
          <w:rFonts w:cs="Arial"/>
          <w:lang w:val="en-US"/>
        </w:rPr>
        <w:t>, v.66, p.4266-4271, 2000.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cs="Arial"/>
        </w:rPr>
      </w:pPr>
      <w:r>
        <w:rPr>
          <w:rFonts w:cs="Arial"/>
          <w:lang w:val="en-US"/>
        </w:rPr>
        <w:t xml:space="preserve">PELISSER, M. R.; KLEIN, C. S.; ASCOLI, K. R.; ZOTTI, T. R.; ARISI, A. C. M. </w:t>
      </w:r>
      <w:r>
        <w:rPr>
          <w:rFonts w:cs="Arial"/>
          <w:b/>
          <w:bCs/>
          <w:lang w:val="en-US"/>
        </w:rPr>
        <w:t>Ocurrence of Staphylococcus aureus and multiplex PCR detection of classic enterotoxin genes in cheese and meat products.</w:t>
      </w:r>
      <w:r>
        <w:rPr>
          <w:rFonts w:cs="Arial"/>
          <w:lang w:val="en-US"/>
        </w:rPr>
        <w:t xml:space="preserve"> </w:t>
      </w:r>
      <w:r>
        <w:rPr>
          <w:rFonts w:cs="Arial"/>
        </w:rPr>
        <w:t>Brazilian Journal of Microbiology, v. 40, n. 1, p. 145-148, 2009.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shd w:val="clear" w:color="auto" w:fill="FFFFFF"/>
        <w:spacing w:lineRule="auto" w:line="240"/>
        <w:jc w:val="both"/>
        <w:rPr>
          <w:lang w:val="en-US"/>
        </w:rPr>
      </w:pPr>
      <w:r>
        <w:rPr/>
        <w:t xml:space="preserve">Ribeiro Junior, J. C., Tamanini, R., Soares, B. F., de Oliveira, A. M., de Godoi Silva, F., da Silva, F. F., Augusto, N. A., &amp; Beloti, V. (2016). </w:t>
      </w:r>
      <w:r>
        <w:rPr>
          <w:b/>
          <w:bCs/>
          <w:lang w:val="en-US"/>
        </w:rPr>
        <w:t>Efficiency of boiling and four other methods for genomic DNA extraction of deteriorating spore-forming bacteria from milk</w:t>
      </w:r>
      <w:r>
        <w:rPr>
          <w:lang w:val="en-US"/>
        </w:rPr>
        <w:t>. Semina: Ciências Agrárias, 37(5), 3069-3078.</w:t>
      </w:r>
    </w:p>
    <w:p>
      <w:pPr>
        <w:pStyle w:val="Normal"/>
        <w:spacing w:lineRule="auto" w:line="240" w:before="0" w:after="0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RODRÍGUEZ, A.; GORDILLO, R.; ANDRADE, M. J.; CÓRDOBA, J. J.; RODRÍGUEZ, M. </w:t>
      </w:r>
      <w:r>
        <w:rPr>
          <w:b/>
          <w:bCs/>
          <w:color w:val="000000"/>
          <w:lang w:val="en-US"/>
        </w:rPr>
        <w:t>Development of an efficient real-time PCR assay to quantify enterotoxin-producing staphylococci in meat products.</w:t>
      </w:r>
      <w:r>
        <w:rPr>
          <w:color w:val="000000"/>
          <w:lang w:val="en-US"/>
        </w:rPr>
        <w:t xml:space="preserve"> Food Control, v. 60, p. 302-308, 2016.</w:t>
      </w:r>
    </w:p>
    <w:p>
      <w:pPr>
        <w:pStyle w:val="Normal"/>
        <w:spacing w:lineRule="auto" w:line="240" w:before="0" w:after="0"/>
        <w:jc w:val="both"/>
        <w:rPr>
          <w:color w:val="000000"/>
          <w:lang w:val="en-US"/>
        </w:rPr>
      </w:pPr>
      <w:r>
        <w:rPr>
          <w:color w:val="000000"/>
          <w:lang w:val="en-US"/>
        </w:rPr>
      </w:r>
    </w:p>
    <w:p>
      <w:pPr>
        <w:pStyle w:val="Normal"/>
        <w:spacing w:lineRule="auto" w:line="240"/>
        <w:jc w:val="both"/>
        <w:rPr>
          <w:lang w:val="en-US"/>
        </w:rPr>
      </w:pPr>
      <w:r>
        <w:rPr>
          <w:lang w:val="en-US"/>
        </w:rPr>
        <w:t xml:space="preserve">TEUBER, M. </w:t>
      </w:r>
      <w:r>
        <w:rPr>
          <w:b/>
          <w:bCs/>
          <w:lang w:val="en-US"/>
        </w:rPr>
        <w:t>Microbiologycal problems facing the dairy industry</w:t>
      </w:r>
      <w:r>
        <w:rPr>
          <w:lang w:val="en-US"/>
        </w:rPr>
        <w:t>. </w:t>
      </w:r>
      <w:r>
        <w:rPr>
          <w:i/>
          <w:iCs/>
          <w:lang w:val="en-US"/>
        </w:rPr>
        <w:t>Bull. Int. Dairy Fed.</w:t>
      </w:r>
      <w:r>
        <w:rPr>
          <w:lang w:val="en-US"/>
        </w:rPr>
        <w:t>, n.276, p.6-9, 19.</w:t>
      </w:r>
    </w:p>
    <w:p>
      <w:pPr>
        <w:pStyle w:val="Normal"/>
        <w:spacing w:lineRule="auto" w:line="240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spacing w:lineRule="auto" w:line="240" w:before="0" w:after="80"/>
        <w:jc w:val="both"/>
        <w:rPr>
          <w:rFonts w:ascii="Open Sans" w:hAnsi="Open Sans" w:eastAsia="Open Sans" w:cs="Open Sans"/>
          <w:b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  <w:t>VIII.   Agradecimentos</w:t>
      </w:r>
    </w:p>
    <w:p>
      <w:pPr>
        <w:pStyle w:val="Normal"/>
        <w:spacing w:lineRule="auto" w:line="276"/>
        <w:jc w:val="both"/>
        <w:rPr>
          <w:rFonts w:ascii="Open Sans" w:hAnsi="Open Sans" w:cs="Open Sans"/>
          <w:sz w:val="20"/>
          <w:szCs w:val="20"/>
        </w:rPr>
      </w:pPr>
      <w:r>
        <w:rPr>
          <w:rFonts w:cs="Open Sans" w:ascii="Open Sans" w:hAnsi="Open Sans"/>
          <w:sz w:val="20"/>
          <w:szCs w:val="20"/>
        </w:rPr>
        <w:tab/>
      </w:r>
    </w:p>
    <w:p>
      <w:pPr>
        <w:pStyle w:val="Normal"/>
        <w:spacing w:lineRule="auto" w:line="276" w:before="0" w:after="160"/>
        <w:jc w:val="both"/>
        <w:rPr>
          <w:rFonts w:ascii="Open Sans" w:hAnsi="Open Sans" w:cs="Open Sans"/>
          <w:sz w:val="20"/>
          <w:szCs w:val="20"/>
        </w:rPr>
      </w:pPr>
      <w:r>
        <w:rPr>
          <w:rFonts w:cs="Open Sans" w:ascii="Open Sans" w:hAnsi="Open Sans"/>
          <w:sz w:val="20"/>
          <w:szCs w:val="20"/>
        </w:rPr>
        <w:tab/>
        <w:t>Agradeço às instituições responsáveis pelo subsídio desta pesquisa e de muitas outras, a Fundação de Amparo à Pesquisa do Tocantins (FAPT) e Instituto Nacional de Ciência e Tecnologia para a Cadeia Produtiva do Leite (INCT-Leite), pelo estímulo a ciência e aos estudantes universitários.</w:t>
      </w:r>
    </w:p>
    <w:sectPr>
      <w:headerReference w:type="default" r:id="rId7"/>
      <w:footerReference w:type="default" r:id="rId8"/>
      <w:type w:val="nextPage"/>
      <w:pgSz w:w="11906" w:h="16838"/>
      <w:pgMar w:left="1701" w:right="1701" w:gutter="0" w:header="708" w:top="1417" w:footer="708" w:bottom="141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entury Gothic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Open Sans">
    <w:charset w:val="00"/>
    <w:family w:val="roman"/>
    <w:pitch w:val="variable"/>
  </w:font>
  <w:font w:name="OpenSymbol">
    <w:altName w:val="Arial Unicode MS"/>
    <w:charset w:val="02"/>
    <w:family w:val="auto"/>
    <w:pitch w:val="variable"/>
    <w:embedRegular r:id="rId18" w:fontKey="{12014A78-CABC-4EF0-12AC-5CD89AEFDE12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65848120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7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2"/>
      <w:jc w:val="center"/>
      <w:rPr>
        <w:color w:val="000000"/>
      </w:rPr>
    </w:pPr>
    <w:r>
      <w:rPr/>
      <w:drawing>
        <wp:inline distT="0" distB="0" distL="0" distR="0">
          <wp:extent cx="5274945" cy="1758315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74945" cy="1758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left="5" w:hanging="7"/>
      <w:jc w:val="center"/>
      <w:rPr>
        <w:rFonts w:ascii="Open Sans" w:hAnsi="Open Sans" w:eastAsia="Open Sans" w:cs="Open Sans"/>
        <w:b/>
        <w:b/>
        <w:color w:val="000000"/>
        <w:sz w:val="72"/>
        <w:szCs w:val="72"/>
      </w:rPr>
    </w:pPr>
    <w:r>
      <w:rPr>
        <w:rFonts w:eastAsia="Open Sans" w:cs="Open Sans" w:ascii="Open Sans" w:hAnsi="Open Sans"/>
        <w:b/>
        <w:color w:val="000000"/>
        <w:sz w:val="72"/>
        <w:szCs w:val="72"/>
      </w:rPr>
      <w:t>Projetos Integrados</w:t>
    </w:r>
  </w:p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rPr>
        <w:color w:val="000000"/>
      </w:rPr>
    </w:pPr>
    <w:r>
      <w:rPr>
        <w:color w:val="00000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Ttulo1"/>
      <w:numFmt w:val="upperRoman"/>
      <w:lvlText w:val="%1.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  <w:sz w:val="22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02d93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pt-BR" w:bidi="ar-SA"/>
    </w:rPr>
  </w:style>
  <w:style w:type="paragraph" w:styleId="Ttulo1">
    <w:name w:val="Heading 1"/>
    <w:next w:val="Normal"/>
    <w:link w:val="Ttulo1Char"/>
    <w:uiPriority w:val="9"/>
    <w:qFormat/>
    <w:rsid w:val="00017d64"/>
    <w:pPr>
      <w:widowControl/>
      <w:numPr>
        <w:ilvl w:val="0"/>
        <w:numId w:val="1"/>
      </w:numPr>
      <w:suppressAutoHyphens w:val="true"/>
      <w:bidi w:val="0"/>
      <w:spacing w:lineRule="atLeast" w:line="1" w:before="60" w:after="80"/>
      <w:ind w:left="-1" w:hanging="1"/>
      <w:jc w:val="both"/>
      <w:textAlignment w:val="top"/>
      <w:outlineLvl w:val="0"/>
    </w:pPr>
    <w:rPr>
      <w:rFonts w:ascii="Century Gothic" w:hAnsi="Century Gothic" w:eastAsia="Arial" w:cs="Arial"/>
      <w:color w:val="auto"/>
      <w:kern w:val="0"/>
      <w:sz w:val="44"/>
      <w:szCs w:val="44"/>
      <w:vertAlign w:val="subscript"/>
      <w:lang w:val="en-US" w:eastAsia="ar-SA" w:bidi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uiPriority w:val="9"/>
    <w:qFormat/>
    <w:rsid w:val="00017d64"/>
    <w:rPr>
      <w:rFonts w:ascii="Century Gothic" w:hAnsi="Century Gothic" w:eastAsia="Arial" w:cs="Arial"/>
      <w:sz w:val="44"/>
      <w:szCs w:val="44"/>
      <w:vertAlign w:val="subscript"/>
      <w:lang w:val="en-US" w:eastAsia="ar-SA"/>
    </w:rPr>
  </w:style>
  <w:style w:type="character" w:styleId="CabealhoChar" w:customStyle="1">
    <w:name w:val="Cabeçalho Char"/>
    <w:basedOn w:val="DefaultParagraphFont"/>
    <w:uiPriority w:val="99"/>
    <w:qFormat/>
    <w:rsid w:val="00017d64"/>
    <w:rPr/>
  </w:style>
  <w:style w:type="character" w:styleId="RodapChar" w:customStyle="1">
    <w:name w:val="Rodapé Char"/>
    <w:basedOn w:val="DefaultParagraphFont"/>
    <w:uiPriority w:val="99"/>
    <w:qFormat/>
    <w:rsid w:val="00fa4396"/>
    <w:rPr/>
  </w:style>
  <w:style w:type="character" w:styleId="LinkdaInternet">
    <w:name w:val="Link da Internet"/>
    <w:basedOn w:val="DefaultParagraphFont"/>
    <w:uiPriority w:val="99"/>
    <w:unhideWhenUsed/>
    <w:rsid w:val="00fa43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8f2641"/>
    <w:rPr>
      <w:color w:val="605E5C"/>
      <w:shd w:fill="E1DFDD" w:val="clear"/>
    </w:rPr>
  </w:style>
  <w:style w:type="character" w:styleId="Smbolosdenumerao">
    <w:name w:val="Símbolos de numeração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Ttulododocumento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017d64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Rodap">
    <w:name w:val="Footer"/>
    <w:basedOn w:val="Normal"/>
    <w:link w:val="RodapChar"/>
    <w:uiPriority w:val="99"/>
    <w:unhideWhenUsed/>
    <w:rsid w:val="00fa4396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evision">
    <w:name w:val="Revision"/>
    <w:uiPriority w:val="99"/>
    <w:semiHidden/>
    <w:qFormat/>
    <w:rsid w:val="00f5182b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pt-BR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aria.barros@ufnt.edu.br" TargetMode="External"/><Relationship Id="rId3" Type="http://schemas.openxmlformats.org/officeDocument/2006/relationships/hyperlink" Target="mailto:" TargetMode="External"/><Relationship Id="rId4" Type="http://schemas.openxmlformats.org/officeDocument/2006/relationships/hyperlink" Target="mailto:jcribeiro@uft.edu.br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87mHmfKHW2sabuzboiVdfIpAu3g==">CgMxLjA4AHIhMWlPTmJ1aGxkdlhRSUxuaEN1aGZUYlc0MkZObk1DOGFT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LibreOffice/7.3.5.2$Windows_X86_64 LibreOffice_project/184fe81b8c8c30d8b5082578aee2fed2ea847c01</Application>
  <AppVersion>15.0000</AppVersion>
  <Pages>7</Pages>
  <Words>1836</Words>
  <Characters>10187</Characters>
  <CharactersWithSpaces>11987</CharactersWithSpaces>
  <Paragraphs>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2024-10-15T12:02:00Z</dcterms:created>
  <dc:creator>Cliente</dc:creator>
  <dc:description/>
  <dc:language>pt-BR</dc:language>
  <cp:lastModifiedBy/>
  <cp:lastPrinted>2024-10-15T11:25:00Z</cp:lastPrinted>
  <dcterms:modified xsi:type="dcterms:W3CDTF">2024-10-17T12:29:41Z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