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3304" w14:textId="21285E71" w:rsidR="00EC709A" w:rsidRPr="006B5971" w:rsidRDefault="00EC709A" w:rsidP="009C755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743C3085">
        <w:rPr>
          <w:rFonts w:ascii="Arial" w:hAnsi="Arial" w:cs="Arial"/>
          <w:b/>
          <w:bCs/>
          <w:sz w:val="24"/>
          <w:szCs w:val="24"/>
        </w:rPr>
        <w:t xml:space="preserve">Associação </w:t>
      </w:r>
      <w:r w:rsidR="68092A46" w:rsidRPr="743C3085">
        <w:rPr>
          <w:rFonts w:ascii="Arial" w:hAnsi="Arial" w:cs="Arial"/>
          <w:b/>
          <w:bCs/>
          <w:sz w:val="24"/>
          <w:szCs w:val="24"/>
        </w:rPr>
        <w:t>e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ntre </w:t>
      </w:r>
      <w:r w:rsidR="09400B5D" w:rsidRPr="743C3085">
        <w:rPr>
          <w:rFonts w:ascii="Arial" w:hAnsi="Arial" w:cs="Arial"/>
          <w:b/>
          <w:bCs/>
          <w:sz w:val="24"/>
          <w:szCs w:val="24"/>
        </w:rPr>
        <w:t>s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urgimento do </w:t>
      </w:r>
      <w:r w:rsidR="5E70A0F4" w:rsidRPr="743C3085">
        <w:rPr>
          <w:rFonts w:ascii="Arial" w:hAnsi="Arial" w:cs="Arial"/>
          <w:b/>
          <w:bCs/>
          <w:sz w:val="24"/>
          <w:szCs w:val="24"/>
        </w:rPr>
        <w:t>l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infoma </w:t>
      </w:r>
      <w:proofErr w:type="spellStart"/>
      <w:r w:rsidR="48994594" w:rsidRPr="743C3085">
        <w:rPr>
          <w:rFonts w:ascii="Arial" w:hAnsi="Arial" w:cs="Arial"/>
          <w:b/>
          <w:bCs/>
          <w:sz w:val="24"/>
          <w:szCs w:val="24"/>
        </w:rPr>
        <w:t>a</w:t>
      </w:r>
      <w:r w:rsidRPr="743C3085">
        <w:rPr>
          <w:rFonts w:ascii="Arial" w:hAnsi="Arial" w:cs="Arial"/>
          <w:b/>
          <w:bCs/>
          <w:sz w:val="24"/>
          <w:szCs w:val="24"/>
        </w:rPr>
        <w:t>naplásico</w:t>
      </w:r>
      <w:proofErr w:type="spellEnd"/>
      <w:r w:rsidRPr="743C3085">
        <w:rPr>
          <w:rFonts w:ascii="Arial" w:hAnsi="Arial" w:cs="Arial"/>
          <w:b/>
          <w:bCs/>
          <w:sz w:val="24"/>
          <w:szCs w:val="24"/>
        </w:rPr>
        <w:t xml:space="preserve"> de </w:t>
      </w:r>
      <w:r w:rsidR="20AA97DB" w:rsidRPr="743C3085">
        <w:rPr>
          <w:rFonts w:ascii="Arial" w:hAnsi="Arial" w:cs="Arial"/>
          <w:b/>
          <w:bCs/>
          <w:sz w:val="24"/>
          <w:szCs w:val="24"/>
        </w:rPr>
        <w:t>g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randes </w:t>
      </w:r>
      <w:r w:rsidR="09114B79" w:rsidRPr="743C3085">
        <w:rPr>
          <w:rFonts w:ascii="Arial" w:hAnsi="Arial" w:cs="Arial"/>
          <w:b/>
          <w:bCs/>
          <w:sz w:val="24"/>
          <w:szCs w:val="24"/>
        </w:rPr>
        <w:t>c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élulas e o </w:t>
      </w:r>
      <w:r w:rsidR="52721ABE" w:rsidRPr="743C3085">
        <w:rPr>
          <w:rFonts w:ascii="Arial" w:hAnsi="Arial" w:cs="Arial"/>
          <w:b/>
          <w:bCs/>
          <w:sz w:val="24"/>
          <w:szCs w:val="24"/>
        </w:rPr>
        <w:t>u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so de </w:t>
      </w:r>
      <w:r w:rsidR="5C1DCE51" w:rsidRPr="743C3085">
        <w:rPr>
          <w:rFonts w:ascii="Arial" w:hAnsi="Arial" w:cs="Arial"/>
          <w:b/>
          <w:bCs/>
          <w:sz w:val="24"/>
          <w:szCs w:val="24"/>
        </w:rPr>
        <w:t>p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róteses </w:t>
      </w:r>
      <w:r w:rsidR="701A28F5" w:rsidRPr="743C3085">
        <w:rPr>
          <w:rFonts w:ascii="Arial" w:hAnsi="Arial" w:cs="Arial"/>
          <w:b/>
          <w:bCs/>
          <w:sz w:val="24"/>
          <w:szCs w:val="24"/>
        </w:rPr>
        <w:t>m</w:t>
      </w:r>
      <w:r w:rsidRPr="743C3085">
        <w:rPr>
          <w:rFonts w:ascii="Arial" w:hAnsi="Arial" w:cs="Arial"/>
          <w:b/>
          <w:bCs/>
          <w:sz w:val="24"/>
          <w:szCs w:val="24"/>
        </w:rPr>
        <w:t xml:space="preserve">amárias </w:t>
      </w:r>
      <w:r w:rsidR="282C4A4F" w:rsidRPr="743C3085">
        <w:rPr>
          <w:rFonts w:ascii="Arial" w:hAnsi="Arial" w:cs="Arial"/>
          <w:b/>
          <w:bCs/>
          <w:sz w:val="24"/>
          <w:szCs w:val="24"/>
        </w:rPr>
        <w:t>t</w:t>
      </w:r>
      <w:r w:rsidRPr="743C3085">
        <w:rPr>
          <w:rFonts w:ascii="Arial" w:hAnsi="Arial" w:cs="Arial"/>
          <w:b/>
          <w:bCs/>
          <w:sz w:val="24"/>
          <w:szCs w:val="24"/>
        </w:rPr>
        <w:t>exturizadas</w:t>
      </w:r>
    </w:p>
    <w:p w14:paraId="29B9DCC1" w14:textId="3F88A253" w:rsidR="00F36703" w:rsidRPr="006B5971" w:rsidRDefault="00F36703" w:rsidP="009C755B">
      <w:pPr>
        <w:spacing w:line="360" w:lineRule="auto"/>
        <w:rPr>
          <w:rFonts w:ascii="Arial" w:hAnsi="Arial" w:cs="Arial"/>
          <w:sz w:val="24"/>
          <w:szCs w:val="24"/>
        </w:rPr>
      </w:pPr>
      <w:r w:rsidRPr="00F36703">
        <w:rPr>
          <w:rFonts w:ascii="Arial" w:hAnsi="Arial" w:cs="Arial"/>
          <w:b/>
          <w:bCs/>
          <w:sz w:val="24"/>
          <w:szCs w:val="24"/>
        </w:rPr>
        <w:t>Pedro A. T. Fonseca¹</w:t>
      </w:r>
      <w:r w:rsidRPr="00F36703">
        <w:rPr>
          <w:rFonts w:ascii="Arial" w:hAnsi="Arial" w:cs="Arial"/>
          <w:b/>
          <w:bCs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EC709A" w:rsidRPr="00F36703">
        <w:rPr>
          <w:rFonts w:ascii="Arial" w:hAnsi="Arial" w:cs="Arial"/>
          <w:sz w:val="24"/>
          <w:szCs w:val="24"/>
        </w:rPr>
        <w:t>Gabriel D. Amaral¹</w:t>
      </w:r>
      <w:r w:rsidRPr="00F36703">
        <w:rPr>
          <w:rFonts w:ascii="Arial" w:hAnsi="Arial" w:cs="Arial"/>
          <w:sz w:val="24"/>
          <w:szCs w:val="24"/>
        </w:rPr>
        <w:t>.</w:t>
      </w:r>
    </w:p>
    <w:p w14:paraId="6429EE75" w14:textId="2F9DFCED" w:rsidR="00EC709A" w:rsidRDefault="00EC709A" w:rsidP="009C755B">
      <w:pPr>
        <w:spacing w:line="360" w:lineRule="auto"/>
        <w:rPr>
          <w:rFonts w:ascii="Arial" w:hAnsi="Arial" w:cs="Arial"/>
          <w:sz w:val="24"/>
          <w:szCs w:val="24"/>
        </w:rPr>
      </w:pPr>
      <w:r w:rsidRPr="743C3085">
        <w:rPr>
          <w:rFonts w:ascii="Arial" w:hAnsi="Arial" w:cs="Arial"/>
          <w:sz w:val="24"/>
          <w:szCs w:val="24"/>
        </w:rPr>
        <w:t>Centro Universitário Presidente Tancredo de Almeida Neves, Brasil, 2025¹.</w:t>
      </w:r>
    </w:p>
    <w:p w14:paraId="495A1A94" w14:textId="0A9AD058" w:rsidR="00EC709A" w:rsidRPr="006B5971" w:rsidRDefault="00656B19" w:rsidP="006B5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743C3085">
        <w:rPr>
          <w:rFonts w:ascii="Arial" w:hAnsi="Arial" w:cs="Arial"/>
          <w:b/>
          <w:bCs/>
          <w:sz w:val="24"/>
          <w:szCs w:val="24"/>
        </w:rPr>
        <w:t>Introdução:</w:t>
      </w:r>
      <w:r w:rsidR="009C755B" w:rsidRPr="743C3085">
        <w:rPr>
          <w:rFonts w:ascii="Arial" w:hAnsi="Arial" w:cs="Arial"/>
          <w:sz w:val="24"/>
          <w:szCs w:val="24"/>
        </w:rPr>
        <w:t xml:space="preserve"> O linfoma </w:t>
      </w:r>
      <w:bookmarkStart w:id="0" w:name="_Int_UPibTOte"/>
      <w:proofErr w:type="spellStart"/>
      <w:r w:rsidR="009C755B" w:rsidRPr="743C3085">
        <w:rPr>
          <w:rFonts w:ascii="Arial" w:hAnsi="Arial" w:cs="Arial"/>
          <w:sz w:val="24"/>
          <w:szCs w:val="24"/>
        </w:rPr>
        <w:t>anaplásico</w:t>
      </w:r>
      <w:bookmarkEnd w:id="0"/>
      <w:proofErr w:type="spellEnd"/>
      <w:r w:rsidR="009C755B" w:rsidRPr="743C3085">
        <w:rPr>
          <w:rFonts w:ascii="Arial" w:hAnsi="Arial" w:cs="Arial"/>
          <w:sz w:val="24"/>
          <w:szCs w:val="24"/>
        </w:rPr>
        <w:t xml:space="preserve"> de grandes células associado a implante mamário (BIA-ALCL) é um raro linfoma não-Hodgkin que se desenvolve ao redor dos implantes. Estudos sugerem uma correlação entre o uso de implantes com superfície texturizada e o desenvolvimento da patologia</w:t>
      </w:r>
      <w:r w:rsidR="49FDAE3D" w:rsidRPr="743C3085">
        <w:rPr>
          <w:rFonts w:ascii="Arial" w:hAnsi="Arial" w:cs="Arial"/>
          <w:sz w:val="24"/>
          <w:szCs w:val="24"/>
          <w:vertAlign w:val="superscript"/>
        </w:rPr>
        <w:t>1</w:t>
      </w:r>
      <w:r w:rsidR="009C755B" w:rsidRPr="743C3085">
        <w:rPr>
          <w:rFonts w:ascii="Arial" w:hAnsi="Arial" w:cs="Arial"/>
          <w:sz w:val="24"/>
          <w:szCs w:val="24"/>
        </w:rPr>
        <w:t>. O crescimento do mercado de cirurgia plástica no Brasil pode acarretar aumento de casos.</w:t>
      </w:r>
      <w:r w:rsidR="006B5971" w:rsidRPr="743C3085">
        <w:rPr>
          <w:rFonts w:ascii="Arial" w:hAnsi="Arial" w:cs="Arial"/>
          <w:sz w:val="24"/>
          <w:szCs w:val="24"/>
        </w:rPr>
        <w:t xml:space="preserve"> </w:t>
      </w:r>
      <w:r w:rsidRPr="743C3085">
        <w:rPr>
          <w:rFonts w:ascii="Arial" w:hAnsi="Arial" w:cs="Arial"/>
          <w:b/>
          <w:bCs/>
          <w:sz w:val="24"/>
          <w:szCs w:val="24"/>
        </w:rPr>
        <w:t>Objetivo:</w:t>
      </w:r>
      <w:r w:rsidR="009C755B" w:rsidRPr="743C3085">
        <w:rPr>
          <w:rFonts w:ascii="Arial" w:hAnsi="Arial" w:cs="Arial"/>
          <w:sz w:val="24"/>
          <w:szCs w:val="24"/>
        </w:rPr>
        <w:t xml:space="preserve"> O objetivo desta revisão foi investigar a relação entre o uso de implantes mamários e o desenvolvimento de BIA-ALCL a partir da análise de casos previamente descritos.</w:t>
      </w:r>
      <w:r w:rsidR="006B5971" w:rsidRPr="743C3085">
        <w:rPr>
          <w:rFonts w:ascii="Arial" w:hAnsi="Arial" w:cs="Arial"/>
          <w:sz w:val="24"/>
          <w:szCs w:val="24"/>
        </w:rPr>
        <w:t xml:space="preserve"> </w:t>
      </w:r>
      <w:r w:rsidRPr="743C3085">
        <w:rPr>
          <w:rFonts w:ascii="Arial" w:hAnsi="Arial" w:cs="Arial"/>
          <w:b/>
          <w:bCs/>
          <w:sz w:val="24"/>
          <w:szCs w:val="24"/>
        </w:rPr>
        <w:t>M</w:t>
      </w:r>
      <w:r w:rsidR="40DC6D32" w:rsidRPr="743C3085">
        <w:rPr>
          <w:rFonts w:ascii="Arial" w:hAnsi="Arial" w:cs="Arial"/>
          <w:b/>
          <w:bCs/>
          <w:sz w:val="24"/>
          <w:szCs w:val="24"/>
        </w:rPr>
        <w:t>étodo</w:t>
      </w:r>
      <w:r w:rsidRPr="743C3085">
        <w:rPr>
          <w:rFonts w:ascii="Arial" w:hAnsi="Arial" w:cs="Arial"/>
          <w:b/>
          <w:bCs/>
          <w:sz w:val="24"/>
          <w:szCs w:val="24"/>
        </w:rPr>
        <w:t>:</w:t>
      </w:r>
      <w:r w:rsidR="009C755B" w:rsidRPr="743C3085">
        <w:rPr>
          <w:rFonts w:ascii="Arial" w:hAnsi="Arial" w:cs="Arial"/>
          <w:sz w:val="24"/>
          <w:szCs w:val="24"/>
        </w:rPr>
        <w:t xml:space="preserve"> A revisão envolveu a busca e análise de dados epidemiológicos de BIA-ALCL, com um total de 1</w:t>
      </w:r>
      <w:r w:rsidR="08F5B94B" w:rsidRPr="743C3085">
        <w:rPr>
          <w:rFonts w:ascii="Arial" w:hAnsi="Arial" w:cs="Arial"/>
          <w:sz w:val="24"/>
          <w:szCs w:val="24"/>
        </w:rPr>
        <w:t xml:space="preserve">36 </w:t>
      </w:r>
      <w:r w:rsidR="009C755B" w:rsidRPr="743C3085">
        <w:rPr>
          <w:rFonts w:ascii="Arial" w:hAnsi="Arial" w:cs="Arial"/>
          <w:sz w:val="24"/>
          <w:szCs w:val="24"/>
        </w:rPr>
        <w:t xml:space="preserve">pacientes. Artigos não publicados em inglês ou com mais de cinco anos de data de publicação foram excluídos. </w:t>
      </w:r>
      <w:r w:rsidRPr="743C3085">
        <w:rPr>
          <w:rFonts w:ascii="Arial" w:hAnsi="Arial" w:cs="Arial"/>
          <w:b/>
          <w:bCs/>
          <w:sz w:val="24"/>
          <w:szCs w:val="24"/>
        </w:rPr>
        <w:t>Resultados</w:t>
      </w:r>
      <w:r w:rsidR="533E862F" w:rsidRPr="743C3085">
        <w:rPr>
          <w:rFonts w:ascii="Arial" w:hAnsi="Arial" w:cs="Arial"/>
          <w:b/>
          <w:bCs/>
          <w:sz w:val="24"/>
          <w:szCs w:val="24"/>
        </w:rPr>
        <w:t xml:space="preserve"> com discussão</w:t>
      </w:r>
      <w:r w:rsidRPr="743C3085">
        <w:rPr>
          <w:rFonts w:ascii="Arial" w:hAnsi="Arial" w:cs="Arial"/>
          <w:b/>
          <w:bCs/>
          <w:sz w:val="24"/>
          <w:szCs w:val="24"/>
        </w:rPr>
        <w:t>:</w:t>
      </w:r>
      <w:r w:rsidR="009C755B" w:rsidRPr="743C3085">
        <w:rPr>
          <w:rFonts w:ascii="Arial" w:hAnsi="Arial" w:cs="Arial"/>
          <w:sz w:val="24"/>
          <w:szCs w:val="24"/>
        </w:rPr>
        <w:t xml:space="preserve"> A idade média das pacientes ao diagnóstico foi 52 anos, e o tempo médio entre a </w:t>
      </w:r>
      <w:bookmarkStart w:id="1" w:name="_Int_Ue4fUrj7"/>
      <w:proofErr w:type="spellStart"/>
      <w:r w:rsidR="009C755B" w:rsidRPr="743C3085">
        <w:rPr>
          <w:rFonts w:ascii="Arial" w:hAnsi="Arial" w:cs="Arial"/>
          <w:sz w:val="24"/>
          <w:szCs w:val="24"/>
        </w:rPr>
        <w:t>mamoplastia</w:t>
      </w:r>
      <w:bookmarkEnd w:id="1"/>
      <w:proofErr w:type="spellEnd"/>
      <w:r w:rsidR="009C755B" w:rsidRPr="743C3085">
        <w:rPr>
          <w:rFonts w:ascii="Arial" w:hAnsi="Arial" w:cs="Arial"/>
          <w:sz w:val="24"/>
          <w:szCs w:val="24"/>
        </w:rPr>
        <w:t xml:space="preserve"> e o diagnóstico foi 9 anos. Em 62% dos casos, as pacientes utilizaram próteses de silicone, enquanto 31% usaram próteses salinas. 80% dos casos foram associados a implantes de superfície texturizada, contra 6% com implantes de superfície lisa. As apresentações iniciais mais comuns foram </w:t>
      </w:r>
      <w:bookmarkStart w:id="2" w:name="_Int_uOCrDEAg"/>
      <w:proofErr w:type="spellStart"/>
      <w:r w:rsidR="009C755B" w:rsidRPr="743C3085">
        <w:rPr>
          <w:rFonts w:ascii="Arial" w:hAnsi="Arial" w:cs="Arial"/>
          <w:sz w:val="24"/>
          <w:szCs w:val="24"/>
        </w:rPr>
        <w:t>seroma</w:t>
      </w:r>
      <w:bookmarkEnd w:id="2"/>
      <w:proofErr w:type="spellEnd"/>
      <w:r w:rsidR="009C755B" w:rsidRPr="743C3085">
        <w:rPr>
          <w:rFonts w:ascii="Arial" w:hAnsi="Arial" w:cs="Arial"/>
          <w:sz w:val="24"/>
          <w:szCs w:val="24"/>
        </w:rPr>
        <w:t xml:space="preserve"> (75%), dor (18%) e massas palpáveis (14%).</w:t>
      </w:r>
      <w:r w:rsidR="006B5971" w:rsidRPr="743C3085">
        <w:rPr>
          <w:rFonts w:ascii="Arial" w:hAnsi="Arial" w:cs="Arial"/>
          <w:sz w:val="24"/>
          <w:szCs w:val="24"/>
        </w:rPr>
        <w:t xml:space="preserve"> </w:t>
      </w:r>
      <w:r w:rsidR="009C755B" w:rsidRPr="743C3085">
        <w:rPr>
          <w:rFonts w:ascii="Arial" w:hAnsi="Arial" w:cs="Arial"/>
          <w:sz w:val="24"/>
          <w:szCs w:val="24"/>
        </w:rPr>
        <w:t xml:space="preserve">A forte associação com implantes texturizados está em consonância com estudos anteriores. A proliferação tecidual provocada pela textura pode ajudar na fixação do implante e estar relacionada ao BIA-ALCL. Além disso, a fricção entre o implante texturizado e o tecido mamário pode causar liberação de partículas do implante e aumentar a atividade leucocitária. A motivação da cirurgia mostrou percentuais semelhantes de incidência entre </w:t>
      </w:r>
      <w:bookmarkStart w:id="3" w:name="_Int_uOZJ7ZUp"/>
      <w:proofErr w:type="spellStart"/>
      <w:r w:rsidR="009C755B" w:rsidRPr="743C3085">
        <w:rPr>
          <w:rFonts w:ascii="Arial" w:hAnsi="Arial" w:cs="Arial"/>
          <w:sz w:val="24"/>
          <w:szCs w:val="24"/>
        </w:rPr>
        <w:t>mamoplastias</w:t>
      </w:r>
      <w:bookmarkEnd w:id="3"/>
      <w:proofErr w:type="spellEnd"/>
      <w:r w:rsidR="009C755B" w:rsidRPr="743C3085">
        <w:rPr>
          <w:rFonts w:ascii="Arial" w:hAnsi="Arial" w:cs="Arial"/>
          <w:sz w:val="24"/>
          <w:szCs w:val="24"/>
        </w:rPr>
        <w:t xml:space="preserve"> cosméticas e reconstrutoras, com as primeiras apresentando uma média etária inferior. A associação com implantes de silicone também corrobora achados anteriores. O </w:t>
      </w:r>
      <w:proofErr w:type="spellStart"/>
      <w:r w:rsidR="009C755B" w:rsidRPr="743C3085">
        <w:rPr>
          <w:rFonts w:ascii="Arial" w:hAnsi="Arial" w:cs="Arial"/>
          <w:sz w:val="24"/>
          <w:szCs w:val="24"/>
        </w:rPr>
        <w:t>seroma</w:t>
      </w:r>
      <w:proofErr w:type="spellEnd"/>
      <w:r w:rsidR="009C755B" w:rsidRPr="743C3085">
        <w:rPr>
          <w:rFonts w:ascii="Arial" w:hAnsi="Arial" w:cs="Arial"/>
          <w:sz w:val="24"/>
          <w:szCs w:val="24"/>
        </w:rPr>
        <w:t xml:space="preserve">, como manifestação inicial, é relevante, já que é observado em apenas 1-2% das </w:t>
      </w:r>
      <w:proofErr w:type="spellStart"/>
      <w:r w:rsidR="009C755B" w:rsidRPr="743C3085">
        <w:rPr>
          <w:rFonts w:ascii="Arial" w:hAnsi="Arial" w:cs="Arial"/>
          <w:sz w:val="24"/>
          <w:szCs w:val="24"/>
        </w:rPr>
        <w:t>mamoplastias</w:t>
      </w:r>
      <w:proofErr w:type="spellEnd"/>
      <w:r w:rsidR="009C755B" w:rsidRPr="743C3085">
        <w:rPr>
          <w:rFonts w:ascii="Arial" w:hAnsi="Arial" w:cs="Arial"/>
          <w:sz w:val="24"/>
          <w:szCs w:val="24"/>
        </w:rPr>
        <w:t xml:space="preserve"> em geral. Além disso, há indicativos de subnotificação significativa, visto que o Brasil, maior mercado de cirurgia plástica, reportou 8566% menos casos do que os EUA</w:t>
      </w:r>
      <w:r w:rsidR="3A82C51B" w:rsidRPr="743C3085">
        <w:rPr>
          <w:rFonts w:ascii="Arial" w:hAnsi="Arial" w:cs="Arial"/>
          <w:sz w:val="24"/>
          <w:szCs w:val="24"/>
          <w:vertAlign w:val="superscript"/>
        </w:rPr>
        <w:t>2-5</w:t>
      </w:r>
      <w:r w:rsidR="009C755B" w:rsidRPr="743C3085">
        <w:rPr>
          <w:rFonts w:ascii="Arial" w:hAnsi="Arial" w:cs="Arial"/>
          <w:sz w:val="24"/>
          <w:szCs w:val="24"/>
        </w:rPr>
        <w:t>.</w:t>
      </w:r>
      <w:r w:rsidR="006B5971" w:rsidRPr="743C3085">
        <w:rPr>
          <w:rFonts w:ascii="Arial" w:hAnsi="Arial" w:cs="Arial"/>
          <w:sz w:val="24"/>
          <w:szCs w:val="24"/>
        </w:rPr>
        <w:t xml:space="preserve"> </w:t>
      </w:r>
      <w:r w:rsidRPr="743C3085">
        <w:rPr>
          <w:rFonts w:ascii="Arial" w:hAnsi="Arial" w:cs="Arial"/>
          <w:b/>
          <w:bCs/>
          <w:sz w:val="24"/>
          <w:szCs w:val="24"/>
        </w:rPr>
        <w:t>Conclusão:</w:t>
      </w:r>
      <w:r w:rsidR="009C755B" w:rsidRPr="743C3085">
        <w:rPr>
          <w:rFonts w:ascii="Arial" w:hAnsi="Arial" w:cs="Arial"/>
          <w:sz w:val="24"/>
          <w:szCs w:val="24"/>
        </w:rPr>
        <w:t xml:space="preserve"> Existe uma forte associação entre o uso de implantes texturizados e o desenvolvimento de BIA-ALCL. Devido ao baixo número de estudos e casos relatados, são necessários estudos longitudinais mais profundos para melhor elucidar o panorama nacional e mundial do BIA-ALCL.</w:t>
      </w:r>
    </w:p>
    <w:p w14:paraId="612D9F1B" w14:textId="007B48D3" w:rsidR="3F96B353" w:rsidRDefault="3F96B353" w:rsidP="743C3085">
      <w:pPr>
        <w:spacing w:line="360" w:lineRule="auto"/>
        <w:rPr>
          <w:rFonts w:ascii="Arial" w:hAnsi="Arial" w:cs="Arial"/>
          <w:sz w:val="24"/>
          <w:szCs w:val="24"/>
        </w:rPr>
      </w:pPr>
      <w:r w:rsidRPr="743C3085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743C3085">
        <w:rPr>
          <w:rFonts w:ascii="Arial" w:hAnsi="Arial" w:cs="Arial"/>
          <w:sz w:val="24"/>
          <w:szCs w:val="24"/>
        </w:rPr>
        <w:t>Linfoma, Implante mamário, Neoplasias, Mama</w:t>
      </w:r>
    </w:p>
    <w:p w14:paraId="03C27974" w14:textId="0BB1DBB4" w:rsidR="3661E895" w:rsidRDefault="3661E895" w:rsidP="743C308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743C308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  <w:r w:rsidR="16FD781F" w:rsidRPr="743C3085">
        <w:rPr>
          <w:rFonts w:ascii="Arial" w:hAnsi="Arial" w:cs="Arial"/>
          <w:b/>
          <w:bCs/>
          <w:sz w:val="24"/>
          <w:szCs w:val="24"/>
        </w:rPr>
        <w:t xml:space="preserve"> bibliográficas</w:t>
      </w:r>
      <w:r w:rsidRPr="743C3085">
        <w:rPr>
          <w:rFonts w:ascii="Arial" w:hAnsi="Arial" w:cs="Arial"/>
          <w:b/>
          <w:bCs/>
          <w:sz w:val="24"/>
          <w:szCs w:val="24"/>
        </w:rPr>
        <w:t>:</w:t>
      </w:r>
    </w:p>
    <w:p w14:paraId="508AD218" w14:textId="2E98846E" w:rsidR="3661E895" w:rsidRDefault="3661E895" w:rsidP="743C3085">
      <w:pPr>
        <w:pStyle w:val="PargrafodaLista"/>
        <w:numPr>
          <w:ilvl w:val="0"/>
          <w:numId w:val="1"/>
        </w:numPr>
        <w:spacing w:before="200" w:after="2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Real DSS,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Resendes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BS.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implant-associated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anaplastic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large-cell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lymphoma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: a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systematic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literature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review.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Rev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Bras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Cir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Plástica –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Brazilian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J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Plast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Sugery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. 2019;34(4):531–8. </w:t>
      </w:r>
    </w:p>
    <w:p w14:paraId="17A66E76" w14:textId="7450316F" w:rsidR="3661E895" w:rsidRDefault="3661E895" w:rsidP="743C3085">
      <w:pPr>
        <w:pStyle w:val="PargrafodaLista"/>
        <w:numPr>
          <w:ilvl w:val="0"/>
          <w:numId w:val="1"/>
        </w:numPr>
        <w:spacing w:before="200" w:after="2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Dashevsky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BZ, Gallagher KM,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Grabenstetter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A, Cordeiro PG,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Dogan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A, Morris EA, et al.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implant-associated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anaplastic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large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lymphoma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: Clinical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imaging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findings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large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US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cancer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center.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J. 2019;25(1):69–74.</w:t>
      </w:r>
    </w:p>
    <w:p w14:paraId="0E35C3F9" w14:textId="4C45D17E" w:rsidR="3661E895" w:rsidRDefault="3661E895" w:rsidP="743C3085">
      <w:pPr>
        <w:pStyle w:val="PargrafodaLista"/>
        <w:numPr>
          <w:ilvl w:val="0"/>
          <w:numId w:val="1"/>
        </w:numPr>
        <w:spacing w:before="200" w:after="200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743C308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Johnson L, O’Donoghue JM, McLean N, Turton P, Khan AA, Turner SD, et al. Breast implant associated anaplastic large cell lymphoma: The UK experience. Recommendations on its management and implications for informed consent.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Eur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J Surg Oncol [Internet]. 2017;43(8):1393–401. Available from: </w:t>
      </w:r>
      <w:r w:rsidRPr="743C3085">
        <w:rPr>
          <w:rFonts w:ascii="Arial" w:eastAsia="Arial" w:hAnsi="Arial" w:cs="Arial"/>
          <w:sz w:val="24"/>
          <w:szCs w:val="24"/>
          <w:lang w:val="en-US"/>
        </w:rPr>
        <w:t>http://dx.doi.org/10.1016/j.ejso.2017.05.004</w:t>
      </w:r>
    </w:p>
    <w:p w14:paraId="253460EB" w14:textId="471515BC" w:rsidR="3661E895" w:rsidRDefault="3661E895" w:rsidP="743C3085">
      <w:pPr>
        <w:pStyle w:val="PargrafodaLista"/>
        <w:numPr>
          <w:ilvl w:val="0"/>
          <w:numId w:val="1"/>
        </w:numPr>
        <w:spacing w:before="200" w:after="2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McCarthy CM, Loyo-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Berríos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N,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Qureshi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AA, Mullen E, Gordillo G,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Pusic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AL, et al.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Patient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Registry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Outcomes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for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Implants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Anaplastic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Large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Lymphoma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Etiology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Epidemiology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(PROFILE):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Initial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Report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of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Findings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, 2012-2018.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Plast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Reconstr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Surg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. 2019;143(3 A Review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of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Implant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Associated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Anaplastic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Large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Lymphoma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):65S-73S. </w:t>
      </w:r>
    </w:p>
    <w:p w14:paraId="3BE97CEF" w14:textId="314DE189" w:rsidR="3661E895" w:rsidRDefault="3661E895" w:rsidP="743C3085">
      <w:pPr>
        <w:pStyle w:val="PargrafodaLista"/>
        <w:numPr>
          <w:ilvl w:val="0"/>
          <w:numId w:val="1"/>
        </w:numPr>
        <w:spacing w:before="200" w:after="2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Lamaris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GA, Butler CE, Deva AK, Miranda RN, Hunt KK,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Connell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T, et al.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Reconstruction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Following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Implant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-Associated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Anaplastic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Large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Lymphoma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Plast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Reconstr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Surg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. 2019;143(3 A Review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of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Breast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ImplantAssociated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Anaplastic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Large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Cell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Lymphoma</w:t>
      </w:r>
      <w:proofErr w:type="spellEnd"/>
      <w:r w:rsidRPr="743C3085">
        <w:rPr>
          <w:rFonts w:ascii="Arial" w:eastAsia="Arial" w:hAnsi="Arial" w:cs="Arial"/>
          <w:color w:val="000000" w:themeColor="text1"/>
          <w:sz w:val="24"/>
          <w:szCs w:val="24"/>
        </w:rPr>
        <w:t>):51S-58S.</w:t>
      </w:r>
    </w:p>
    <w:p w14:paraId="538FA0B0" w14:textId="136E0DA8" w:rsidR="743C3085" w:rsidRDefault="743C3085" w:rsidP="743C30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743C3085" w:rsidSect="00656B19">
      <w:pgSz w:w="11906" w:h="16838"/>
      <w:pgMar w:top="1134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OZJ7ZUp" int2:invalidationBookmarkName="" int2:hashCode="Pu5nLvllb7t4k+" int2:id="hvPAHohy">
      <int2:state int2:value="Rejected" int2:type="AugLoop_Text_Critique"/>
    </int2:bookmark>
    <int2:bookmark int2:bookmarkName="_Int_Ue4fUrj7" int2:invalidationBookmarkName="" int2:hashCode="D5B5HqAzxMgcM6" int2:id="LlAZWQwa">
      <int2:state int2:value="Rejected" int2:type="AugLoop_Text_Critique"/>
    </int2:bookmark>
    <int2:bookmark int2:bookmarkName="_Int_uOCrDEAg" int2:invalidationBookmarkName="" int2:hashCode="PjwMZLgMTrxQUU" int2:id="u9eF9N2A">
      <int2:state int2:value="Rejected" int2:type="AugLoop_Text_Critique"/>
    </int2:bookmark>
    <int2:bookmark int2:bookmarkName="_Int_UPibTOte" int2:invalidationBookmarkName="" int2:hashCode="w9R/pyZv4e852i" int2:id="19c6mUs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968D"/>
    <w:multiLevelType w:val="hybridMultilevel"/>
    <w:tmpl w:val="F15020A0"/>
    <w:lvl w:ilvl="0" w:tplc="E3D8963C">
      <w:start w:val="1"/>
      <w:numFmt w:val="decimal"/>
      <w:lvlText w:val="%1."/>
      <w:lvlJc w:val="left"/>
      <w:pPr>
        <w:ind w:left="720" w:hanging="360"/>
      </w:pPr>
    </w:lvl>
    <w:lvl w:ilvl="1" w:tplc="26726088">
      <w:start w:val="1"/>
      <w:numFmt w:val="lowerLetter"/>
      <w:lvlText w:val="%2."/>
      <w:lvlJc w:val="left"/>
      <w:pPr>
        <w:ind w:left="1440" w:hanging="360"/>
      </w:pPr>
    </w:lvl>
    <w:lvl w:ilvl="2" w:tplc="CD34EE06">
      <w:start w:val="1"/>
      <w:numFmt w:val="lowerRoman"/>
      <w:lvlText w:val="%3."/>
      <w:lvlJc w:val="right"/>
      <w:pPr>
        <w:ind w:left="2160" w:hanging="180"/>
      </w:pPr>
    </w:lvl>
    <w:lvl w:ilvl="3" w:tplc="1D221B1A">
      <w:start w:val="1"/>
      <w:numFmt w:val="decimal"/>
      <w:lvlText w:val="%4."/>
      <w:lvlJc w:val="left"/>
      <w:pPr>
        <w:ind w:left="2880" w:hanging="360"/>
      </w:pPr>
    </w:lvl>
    <w:lvl w:ilvl="4" w:tplc="3576754C">
      <w:start w:val="1"/>
      <w:numFmt w:val="lowerLetter"/>
      <w:lvlText w:val="%5."/>
      <w:lvlJc w:val="left"/>
      <w:pPr>
        <w:ind w:left="3600" w:hanging="360"/>
      </w:pPr>
    </w:lvl>
    <w:lvl w:ilvl="5" w:tplc="84E6D8B4">
      <w:start w:val="1"/>
      <w:numFmt w:val="lowerRoman"/>
      <w:lvlText w:val="%6."/>
      <w:lvlJc w:val="right"/>
      <w:pPr>
        <w:ind w:left="4320" w:hanging="180"/>
      </w:pPr>
    </w:lvl>
    <w:lvl w:ilvl="6" w:tplc="1C30C376">
      <w:start w:val="1"/>
      <w:numFmt w:val="decimal"/>
      <w:lvlText w:val="%7."/>
      <w:lvlJc w:val="left"/>
      <w:pPr>
        <w:ind w:left="5040" w:hanging="360"/>
      </w:pPr>
    </w:lvl>
    <w:lvl w:ilvl="7" w:tplc="06425660">
      <w:start w:val="1"/>
      <w:numFmt w:val="lowerLetter"/>
      <w:lvlText w:val="%8."/>
      <w:lvlJc w:val="left"/>
      <w:pPr>
        <w:ind w:left="5760" w:hanging="360"/>
      </w:pPr>
    </w:lvl>
    <w:lvl w:ilvl="8" w:tplc="1E1203BC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8"/>
    <w:rsid w:val="000753D0"/>
    <w:rsid w:val="00185906"/>
    <w:rsid w:val="001A7D38"/>
    <w:rsid w:val="002A5B7A"/>
    <w:rsid w:val="005C2B7A"/>
    <w:rsid w:val="00656B19"/>
    <w:rsid w:val="006B5971"/>
    <w:rsid w:val="009C755B"/>
    <w:rsid w:val="00A3FEBB"/>
    <w:rsid w:val="00B637B9"/>
    <w:rsid w:val="00E3688A"/>
    <w:rsid w:val="00EC709A"/>
    <w:rsid w:val="00F36703"/>
    <w:rsid w:val="00F41592"/>
    <w:rsid w:val="0365F07B"/>
    <w:rsid w:val="03AF8A4E"/>
    <w:rsid w:val="08F5B94B"/>
    <w:rsid w:val="09114B79"/>
    <w:rsid w:val="09400B5D"/>
    <w:rsid w:val="0B5A3EB2"/>
    <w:rsid w:val="0BA8F20D"/>
    <w:rsid w:val="16FD781F"/>
    <w:rsid w:val="20AA97DB"/>
    <w:rsid w:val="21F7FC43"/>
    <w:rsid w:val="282C4A4F"/>
    <w:rsid w:val="3661E895"/>
    <w:rsid w:val="39DE587B"/>
    <w:rsid w:val="3A82C51B"/>
    <w:rsid w:val="3F96B353"/>
    <w:rsid w:val="40DC6D32"/>
    <w:rsid w:val="4176D643"/>
    <w:rsid w:val="4528509C"/>
    <w:rsid w:val="48994594"/>
    <w:rsid w:val="49FDAE3D"/>
    <w:rsid w:val="52721ABE"/>
    <w:rsid w:val="533E862F"/>
    <w:rsid w:val="57E32351"/>
    <w:rsid w:val="597CF5D6"/>
    <w:rsid w:val="5BF10FBE"/>
    <w:rsid w:val="5C1DCE51"/>
    <w:rsid w:val="5E70A0F4"/>
    <w:rsid w:val="5E92EED6"/>
    <w:rsid w:val="65D9422F"/>
    <w:rsid w:val="68092A46"/>
    <w:rsid w:val="6EACF2C6"/>
    <w:rsid w:val="701A28F5"/>
    <w:rsid w:val="741B5F79"/>
    <w:rsid w:val="743C3085"/>
    <w:rsid w:val="77E52DD8"/>
    <w:rsid w:val="7D4F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BD69"/>
  <w15:chartTrackingRefBased/>
  <w15:docId w15:val="{E7D8B855-9FCF-4E40-980E-A676B05B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A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A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D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D3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7D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D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D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D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7D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7D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7D3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7D3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7D3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743C30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</dc:creator>
  <cp:keywords/>
  <dc:description/>
  <cp:lastModifiedBy>Pedro Augusto</cp:lastModifiedBy>
  <cp:revision>5</cp:revision>
  <dcterms:created xsi:type="dcterms:W3CDTF">2025-03-30T01:19:00Z</dcterms:created>
  <dcterms:modified xsi:type="dcterms:W3CDTF">2025-03-31T02:37:00Z</dcterms:modified>
</cp:coreProperties>
</file>