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D73FE" w14:textId="2A25F06C" w:rsidR="00686E22" w:rsidRDefault="00E16A5E" w:rsidP="00686E22">
      <w:pPr>
        <w:pStyle w:val="SemEspaamento"/>
        <w:jc w:val="center"/>
        <w:rPr>
          <w:b/>
          <w:sz w:val="24"/>
          <w:szCs w:val="24"/>
        </w:rPr>
      </w:pPr>
      <w:r w:rsidRPr="00E16A5E">
        <w:rPr>
          <w:b/>
          <w:sz w:val="24"/>
          <w:szCs w:val="24"/>
        </w:rPr>
        <w:t>DESAFIOS E PERSPECTIVAS NA GESTÃO DE RESÍDUOS SÓLIDOS URBANOS: IMPACTOS NA SAÚDE PÚBLICA NA REGIÃO DE INTEGRAÇÃO DO CARAJÁS</w:t>
      </w:r>
    </w:p>
    <w:p w14:paraId="0F0B6DE7" w14:textId="77777777" w:rsidR="00E16A5E" w:rsidRDefault="00E16A5E" w:rsidP="00686E22">
      <w:pPr>
        <w:pStyle w:val="SemEspaamento"/>
        <w:jc w:val="center"/>
        <w:rPr>
          <w:sz w:val="24"/>
          <w:szCs w:val="24"/>
        </w:rPr>
      </w:pPr>
    </w:p>
    <w:p w14:paraId="33B7E2A4" w14:textId="4AA1EC22" w:rsidR="00686E22" w:rsidRPr="00F04867" w:rsidRDefault="00686E22" w:rsidP="00686E22">
      <w:pPr>
        <w:pStyle w:val="SemEspaamento"/>
        <w:jc w:val="center"/>
        <w:rPr>
          <w:sz w:val="24"/>
          <w:szCs w:val="24"/>
        </w:rPr>
      </w:pPr>
      <w:r w:rsidRPr="00F04867">
        <w:rPr>
          <w:sz w:val="24"/>
          <w:szCs w:val="24"/>
        </w:rPr>
        <w:t>Ana Cristina Viana Campos</w:t>
      </w:r>
      <w:r w:rsidRPr="00F04867">
        <w:rPr>
          <w:sz w:val="24"/>
          <w:szCs w:val="24"/>
          <w:vertAlign w:val="superscript"/>
        </w:rPr>
        <w:t>1</w:t>
      </w:r>
      <w:r w:rsidRPr="00F04867">
        <w:rPr>
          <w:sz w:val="24"/>
          <w:szCs w:val="24"/>
        </w:rPr>
        <w:t>;</w:t>
      </w:r>
      <w:r w:rsidR="004404EC">
        <w:rPr>
          <w:sz w:val="24"/>
          <w:szCs w:val="24"/>
        </w:rPr>
        <w:t xml:space="preserve"> </w:t>
      </w:r>
      <w:r w:rsidRPr="00F04867">
        <w:rPr>
          <w:sz w:val="24"/>
          <w:szCs w:val="24"/>
        </w:rPr>
        <w:t>Sidnei Cerqueira dos Santos</w:t>
      </w:r>
      <w:r w:rsidR="004404EC">
        <w:rPr>
          <w:sz w:val="24"/>
          <w:szCs w:val="24"/>
          <w:vertAlign w:val="superscript"/>
        </w:rPr>
        <w:t>2</w:t>
      </w:r>
      <w:r w:rsidRPr="00F04867">
        <w:rPr>
          <w:sz w:val="24"/>
          <w:szCs w:val="24"/>
        </w:rPr>
        <w:t xml:space="preserve">; </w:t>
      </w:r>
      <w:r w:rsidR="004404EC" w:rsidRPr="00F04867">
        <w:rPr>
          <w:sz w:val="24"/>
          <w:szCs w:val="24"/>
        </w:rPr>
        <w:t>Thanabi Bellenzier Calderan</w:t>
      </w:r>
      <w:r w:rsidR="004404EC">
        <w:rPr>
          <w:sz w:val="24"/>
          <w:szCs w:val="24"/>
          <w:vertAlign w:val="superscript"/>
        </w:rPr>
        <w:t>3</w:t>
      </w:r>
      <w:r w:rsidR="004404EC" w:rsidRPr="004404EC">
        <w:rPr>
          <w:sz w:val="24"/>
          <w:szCs w:val="24"/>
        </w:rPr>
        <w:t xml:space="preserve">; </w:t>
      </w:r>
      <w:r w:rsidRPr="00F04867">
        <w:rPr>
          <w:sz w:val="24"/>
          <w:szCs w:val="24"/>
        </w:rPr>
        <w:t>Jorge Madeira Nogueira</w:t>
      </w:r>
      <w:r w:rsidRPr="00F04867">
        <w:rPr>
          <w:sz w:val="24"/>
          <w:szCs w:val="24"/>
          <w:vertAlign w:val="superscript"/>
        </w:rPr>
        <w:t>4</w:t>
      </w:r>
      <w:r w:rsidRPr="00F04867">
        <w:rPr>
          <w:sz w:val="24"/>
          <w:szCs w:val="24"/>
        </w:rPr>
        <w:t xml:space="preserve">; </w:t>
      </w:r>
      <w:r w:rsidRPr="00686E22">
        <w:rPr>
          <w:sz w:val="24"/>
          <w:szCs w:val="24"/>
        </w:rPr>
        <w:t>Rafael Goncalves Gumiero</w:t>
      </w:r>
      <w:r w:rsidRPr="00686E22">
        <w:rPr>
          <w:sz w:val="24"/>
          <w:szCs w:val="24"/>
          <w:vertAlign w:val="superscript"/>
        </w:rPr>
        <w:t>5</w:t>
      </w:r>
      <w:r>
        <w:rPr>
          <w:sz w:val="24"/>
          <w:szCs w:val="24"/>
        </w:rPr>
        <w:t xml:space="preserve">; </w:t>
      </w:r>
      <w:r w:rsidRPr="00F04867">
        <w:rPr>
          <w:sz w:val="24"/>
          <w:szCs w:val="24"/>
        </w:rPr>
        <w:t>Ulisses Brigatto Albino</w:t>
      </w:r>
      <w:r>
        <w:rPr>
          <w:sz w:val="24"/>
          <w:szCs w:val="24"/>
          <w:vertAlign w:val="superscript"/>
        </w:rPr>
        <w:t>6</w:t>
      </w:r>
    </w:p>
    <w:p w14:paraId="307E81B9" w14:textId="77777777" w:rsidR="00686E22" w:rsidRDefault="00686E22" w:rsidP="00686E22">
      <w:pPr>
        <w:shd w:val="clear" w:color="auto" w:fill="FFFFFF"/>
        <w:tabs>
          <w:tab w:val="left" w:pos="2500"/>
        </w:tabs>
        <w:spacing w:after="240" w:line="360" w:lineRule="auto"/>
        <w:jc w:val="center"/>
        <w:rPr>
          <w:color w:val="FF0000"/>
          <w:sz w:val="24"/>
          <w:szCs w:val="24"/>
        </w:rPr>
      </w:pPr>
    </w:p>
    <w:p w14:paraId="00436F60" w14:textId="77777777" w:rsidR="00686E22" w:rsidRPr="00F04867" w:rsidRDefault="00686E22" w:rsidP="00686E22">
      <w:pPr>
        <w:shd w:val="clear" w:color="auto" w:fill="FFFFFF"/>
        <w:tabs>
          <w:tab w:val="left" w:pos="2500"/>
        </w:tabs>
        <w:spacing w:after="240" w:line="360" w:lineRule="auto"/>
        <w:jc w:val="center"/>
        <w:rPr>
          <w:sz w:val="24"/>
          <w:szCs w:val="24"/>
        </w:rPr>
      </w:pPr>
      <w:r>
        <w:rPr>
          <w:sz w:val="24"/>
          <w:szCs w:val="24"/>
          <w:vertAlign w:val="superscript"/>
        </w:rPr>
        <w:t xml:space="preserve">1 </w:t>
      </w:r>
      <w:r>
        <w:rPr>
          <w:sz w:val="24"/>
          <w:szCs w:val="24"/>
        </w:rPr>
        <w:t xml:space="preserve">Doutorado em Saúde Coletiva. </w:t>
      </w:r>
      <w:r w:rsidRPr="00F04867">
        <w:rPr>
          <w:sz w:val="24"/>
          <w:szCs w:val="24"/>
        </w:rPr>
        <w:t>Universidade Federal do Sul e Sudeste do Pará</w:t>
      </w:r>
      <w:r>
        <w:rPr>
          <w:sz w:val="24"/>
          <w:szCs w:val="24"/>
        </w:rPr>
        <w:t xml:space="preserve">. E-mail: </w:t>
      </w:r>
      <w:r w:rsidRPr="00F04867">
        <w:rPr>
          <w:sz w:val="24"/>
          <w:szCs w:val="24"/>
        </w:rPr>
        <w:t>anacampos@unifesspa.edu.br</w:t>
      </w:r>
    </w:p>
    <w:p w14:paraId="2A3D25A1" w14:textId="61007F85" w:rsidR="004404EC" w:rsidRPr="00F04867" w:rsidRDefault="004404EC" w:rsidP="004404EC">
      <w:pPr>
        <w:pStyle w:val="SemEspaamento"/>
        <w:jc w:val="center"/>
        <w:rPr>
          <w:sz w:val="24"/>
          <w:szCs w:val="24"/>
        </w:rPr>
      </w:pPr>
      <w:r>
        <w:rPr>
          <w:sz w:val="24"/>
          <w:szCs w:val="24"/>
          <w:vertAlign w:val="superscript"/>
        </w:rPr>
        <w:t>2</w:t>
      </w:r>
      <w:r>
        <w:rPr>
          <w:sz w:val="24"/>
          <w:szCs w:val="24"/>
        </w:rPr>
        <w:t xml:space="preserve"> </w:t>
      </w:r>
      <w:r w:rsidRPr="00F04867">
        <w:rPr>
          <w:sz w:val="24"/>
          <w:szCs w:val="24"/>
        </w:rPr>
        <w:t xml:space="preserve">Doutorado em Biotecnologia </w:t>
      </w:r>
      <w:r>
        <w:rPr>
          <w:sz w:val="24"/>
          <w:szCs w:val="24"/>
        </w:rPr>
        <w:t>–</w:t>
      </w:r>
      <w:r w:rsidRPr="00F04867">
        <w:rPr>
          <w:sz w:val="24"/>
          <w:szCs w:val="24"/>
        </w:rPr>
        <w:t xml:space="preserve"> RENORBIO</w:t>
      </w:r>
      <w:r>
        <w:rPr>
          <w:sz w:val="24"/>
          <w:szCs w:val="24"/>
        </w:rPr>
        <w:t xml:space="preserve">. </w:t>
      </w:r>
      <w:r w:rsidRPr="00F04867">
        <w:rPr>
          <w:sz w:val="24"/>
          <w:szCs w:val="24"/>
        </w:rPr>
        <w:t>Universidade Federal do Sul e Sudeste do Pará</w:t>
      </w:r>
      <w:r>
        <w:rPr>
          <w:sz w:val="24"/>
          <w:szCs w:val="24"/>
        </w:rPr>
        <w:t xml:space="preserve">. E-mail: </w:t>
      </w:r>
      <w:r w:rsidRPr="00F04867">
        <w:rPr>
          <w:sz w:val="24"/>
          <w:szCs w:val="24"/>
        </w:rPr>
        <w:t>sidnei.cerqueira@unifesspa.edu.br</w:t>
      </w:r>
    </w:p>
    <w:p w14:paraId="5B0BE8D0" w14:textId="77777777" w:rsidR="004404EC" w:rsidRDefault="004404EC" w:rsidP="00686E22">
      <w:pPr>
        <w:pStyle w:val="SemEspaamento"/>
        <w:jc w:val="center"/>
        <w:rPr>
          <w:sz w:val="24"/>
          <w:szCs w:val="24"/>
          <w:vertAlign w:val="superscript"/>
        </w:rPr>
      </w:pPr>
    </w:p>
    <w:p w14:paraId="36146F32" w14:textId="1EB20E19" w:rsidR="00686E22" w:rsidRPr="00F04867" w:rsidRDefault="004404EC" w:rsidP="00686E22">
      <w:pPr>
        <w:pStyle w:val="SemEspaamento"/>
        <w:jc w:val="center"/>
        <w:rPr>
          <w:sz w:val="24"/>
          <w:szCs w:val="24"/>
        </w:rPr>
      </w:pPr>
      <w:r>
        <w:rPr>
          <w:sz w:val="24"/>
          <w:szCs w:val="24"/>
          <w:vertAlign w:val="superscript"/>
        </w:rPr>
        <w:t>3</w:t>
      </w:r>
      <w:r w:rsidR="00686E22">
        <w:rPr>
          <w:sz w:val="24"/>
          <w:szCs w:val="24"/>
        </w:rPr>
        <w:t xml:space="preserve"> </w:t>
      </w:r>
      <w:r w:rsidR="00686E22" w:rsidRPr="00F04867">
        <w:rPr>
          <w:sz w:val="24"/>
          <w:szCs w:val="24"/>
        </w:rPr>
        <w:t>Doutorado em Ambiente e Desenvolvimento</w:t>
      </w:r>
      <w:r w:rsidR="00686E22">
        <w:rPr>
          <w:sz w:val="24"/>
          <w:szCs w:val="24"/>
        </w:rPr>
        <w:t xml:space="preserve">. </w:t>
      </w:r>
      <w:r w:rsidR="00686E22" w:rsidRPr="00F04867">
        <w:rPr>
          <w:sz w:val="24"/>
          <w:szCs w:val="24"/>
        </w:rPr>
        <w:t>Faculdade de Administração da Associação Brasiliense de Educação</w:t>
      </w:r>
      <w:r w:rsidR="00686E22">
        <w:rPr>
          <w:sz w:val="24"/>
          <w:szCs w:val="24"/>
        </w:rPr>
        <w:t xml:space="preserve">. E-mail: </w:t>
      </w:r>
      <w:r w:rsidR="00686E22" w:rsidRPr="00F04867">
        <w:rPr>
          <w:sz w:val="24"/>
          <w:szCs w:val="24"/>
        </w:rPr>
        <w:t>thanacalderan@gmail.com</w:t>
      </w:r>
    </w:p>
    <w:p w14:paraId="48FAA948" w14:textId="77777777" w:rsidR="00686E22" w:rsidRDefault="00686E22" w:rsidP="00686E22">
      <w:pPr>
        <w:pStyle w:val="SemEspaamento"/>
        <w:jc w:val="center"/>
        <w:rPr>
          <w:sz w:val="24"/>
          <w:szCs w:val="24"/>
        </w:rPr>
      </w:pPr>
    </w:p>
    <w:p w14:paraId="7F7290F6" w14:textId="77777777" w:rsidR="00686E22" w:rsidRDefault="00686E22" w:rsidP="00686E22">
      <w:pPr>
        <w:pStyle w:val="SemEspaamento"/>
        <w:jc w:val="center"/>
        <w:rPr>
          <w:sz w:val="24"/>
          <w:szCs w:val="24"/>
        </w:rPr>
      </w:pPr>
      <w:r w:rsidRPr="00F04867">
        <w:rPr>
          <w:sz w:val="24"/>
          <w:szCs w:val="24"/>
          <w:vertAlign w:val="superscript"/>
        </w:rPr>
        <w:t xml:space="preserve">4 </w:t>
      </w:r>
      <w:r w:rsidRPr="00F04867">
        <w:rPr>
          <w:sz w:val="24"/>
          <w:szCs w:val="24"/>
        </w:rPr>
        <w:t>Doutorado em Desenvolvimento Agrário</w:t>
      </w:r>
      <w:r>
        <w:rPr>
          <w:sz w:val="24"/>
          <w:szCs w:val="24"/>
        </w:rPr>
        <w:t xml:space="preserve">. </w:t>
      </w:r>
      <w:r w:rsidRPr="00F04867">
        <w:rPr>
          <w:sz w:val="24"/>
          <w:szCs w:val="24"/>
        </w:rPr>
        <w:t>Universidade de Brasília</w:t>
      </w:r>
      <w:r>
        <w:rPr>
          <w:sz w:val="24"/>
          <w:szCs w:val="24"/>
        </w:rPr>
        <w:t xml:space="preserve">. E-mail: </w:t>
      </w:r>
      <w:r w:rsidRPr="00F04867">
        <w:rPr>
          <w:sz w:val="24"/>
          <w:szCs w:val="24"/>
        </w:rPr>
        <w:t>jmn0702@gmail.com</w:t>
      </w:r>
    </w:p>
    <w:p w14:paraId="0473B50A" w14:textId="77777777" w:rsidR="00686E22" w:rsidRDefault="00686E22" w:rsidP="00686E22">
      <w:pPr>
        <w:pStyle w:val="SemEspaamento"/>
        <w:jc w:val="center"/>
        <w:rPr>
          <w:sz w:val="24"/>
          <w:szCs w:val="24"/>
        </w:rPr>
      </w:pPr>
    </w:p>
    <w:p w14:paraId="5B2F6122" w14:textId="2D8518F1" w:rsidR="00686E22" w:rsidRPr="00F04867" w:rsidRDefault="00686E22" w:rsidP="00686E22">
      <w:pPr>
        <w:pStyle w:val="SemEspaamento"/>
        <w:jc w:val="center"/>
        <w:rPr>
          <w:sz w:val="24"/>
          <w:szCs w:val="24"/>
        </w:rPr>
      </w:pPr>
      <w:r w:rsidRPr="00686E22">
        <w:rPr>
          <w:sz w:val="24"/>
          <w:szCs w:val="24"/>
          <w:vertAlign w:val="superscript"/>
        </w:rPr>
        <w:t>5</w:t>
      </w:r>
      <w:r>
        <w:rPr>
          <w:sz w:val="24"/>
          <w:szCs w:val="24"/>
        </w:rPr>
        <w:t xml:space="preserve"> </w:t>
      </w:r>
      <w:r w:rsidRPr="00686E22">
        <w:rPr>
          <w:sz w:val="24"/>
          <w:szCs w:val="24"/>
        </w:rPr>
        <w:t>Doutorado em Ciencia Politica</w:t>
      </w:r>
      <w:r>
        <w:rPr>
          <w:sz w:val="24"/>
          <w:szCs w:val="24"/>
        </w:rPr>
        <w:t xml:space="preserve">. </w:t>
      </w:r>
      <w:r w:rsidRPr="00686E22">
        <w:rPr>
          <w:sz w:val="24"/>
          <w:szCs w:val="24"/>
        </w:rPr>
        <w:t>Universidade Federal do Sul e Sudeste do Pará</w:t>
      </w:r>
      <w:r>
        <w:rPr>
          <w:sz w:val="24"/>
          <w:szCs w:val="24"/>
        </w:rPr>
        <w:t xml:space="preserve">. </w:t>
      </w:r>
      <w:r>
        <w:rPr>
          <w:sz w:val="24"/>
          <w:szCs w:val="24"/>
        </w:rPr>
        <w:t>E-mail:</w:t>
      </w:r>
      <w:r>
        <w:rPr>
          <w:sz w:val="24"/>
          <w:szCs w:val="24"/>
        </w:rPr>
        <w:t xml:space="preserve"> </w:t>
      </w:r>
      <w:r w:rsidRPr="00686E22">
        <w:rPr>
          <w:sz w:val="24"/>
          <w:szCs w:val="24"/>
        </w:rPr>
        <w:t>gumiero@unifesspa.edu.br</w:t>
      </w:r>
    </w:p>
    <w:p w14:paraId="69301EF5" w14:textId="77777777" w:rsidR="00686E22" w:rsidRDefault="00686E22" w:rsidP="00686E22">
      <w:pPr>
        <w:pStyle w:val="SemEspaamento"/>
        <w:jc w:val="center"/>
        <w:rPr>
          <w:sz w:val="24"/>
          <w:szCs w:val="24"/>
        </w:rPr>
      </w:pPr>
    </w:p>
    <w:p w14:paraId="762084ED" w14:textId="381D1E29" w:rsidR="00686E22" w:rsidRPr="00F04867" w:rsidRDefault="00686E22" w:rsidP="00686E22">
      <w:pPr>
        <w:pStyle w:val="SemEspaamento"/>
        <w:jc w:val="center"/>
        <w:rPr>
          <w:sz w:val="24"/>
          <w:szCs w:val="24"/>
        </w:rPr>
      </w:pPr>
      <w:r>
        <w:rPr>
          <w:sz w:val="24"/>
          <w:szCs w:val="24"/>
          <w:vertAlign w:val="superscript"/>
        </w:rPr>
        <w:t>6</w:t>
      </w:r>
      <w:r>
        <w:rPr>
          <w:sz w:val="24"/>
          <w:szCs w:val="24"/>
        </w:rPr>
        <w:t xml:space="preserve"> </w:t>
      </w:r>
      <w:r w:rsidRPr="00F04867">
        <w:rPr>
          <w:sz w:val="24"/>
          <w:szCs w:val="24"/>
        </w:rPr>
        <w:t>Doutorado em Agronomia</w:t>
      </w:r>
      <w:r>
        <w:rPr>
          <w:sz w:val="24"/>
          <w:szCs w:val="24"/>
        </w:rPr>
        <w:t xml:space="preserve">. </w:t>
      </w:r>
      <w:r w:rsidRPr="00F04867">
        <w:rPr>
          <w:sz w:val="24"/>
          <w:szCs w:val="24"/>
        </w:rPr>
        <w:t>Universidade Federal do Sul e Sudeste do Pará</w:t>
      </w:r>
      <w:r>
        <w:rPr>
          <w:sz w:val="24"/>
          <w:szCs w:val="24"/>
        </w:rPr>
        <w:t xml:space="preserve">. E-mail: </w:t>
      </w:r>
      <w:r w:rsidRPr="00F04867">
        <w:rPr>
          <w:sz w:val="24"/>
          <w:szCs w:val="24"/>
        </w:rPr>
        <w:t>ulisses.albino@unifesspa.edu.br</w:t>
      </w:r>
    </w:p>
    <w:p w14:paraId="589875D3" w14:textId="77777777" w:rsidR="00686E22" w:rsidRDefault="00686E22" w:rsidP="00686E22">
      <w:pPr>
        <w:keepLines/>
        <w:pBdr>
          <w:bottom w:val="none" w:sz="0" w:space="8" w:color="000000"/>
        </w:pBdr>
        <w:shd w:val="clear" w:color="auto" w:fill="FFFFFF"/>
        <w:tabs>
          <w:tab w:val="left" w:pos="2500"/>
        </w:tabs>
        <w:spacing w:line="310" w:lineRule="auto"/>
        <w:jc w:val="center"/>
        <w:rPr>
          <w:sz w:val="24"/>
          <w:szCs w:val="24"/>
        </w:rPr>
      </w:pPr>
    </w:p>
    <w:p w14:paraId="6562E980" w14:textId="77777777" w:rsidR="003949CE" w:rsidRDefault="003949CE" w:rsidP="003949CE">
      <w:pPr>
        <w:keepLines/>
        <w:pBdr>
          <w:bottom w:val="none" w:sz="0" w:space="8" w:color="000000"/>
        </w:pBdr>
        <w:shd w:val="clear" w:color="auto" w:fill="FFFFFF"/>
        <w:tabs>
          <w:tab w:val="left" w:pos="2500"/>
        </w:tabs>
        <w:spacing w:line="310" w:lineRule="auto"/>
        <w:jc w:val="center"/>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1CA2B44E" w14:textId="77777777" w:rsidR="00E16A5E" w:rsidRDefault="00E16A5E" w:rsidP="00E16A5E">
      <w:pPr>
        <w:pBdr>
          <w:bottom w:val="none" w:sz="0" w:space="8" w:color="000000"/>
        </w:pBdr>
        <w:shd w:val="clear" w:color="auto" w:fill="FFFFFF"/>
        <w:tabs>
          <w:tab w:val="left" w:pos="2500"/>
        </w:tabs>
        <w:jc w:val="both"/>
        <w:rPr>
          <w:sz w:val="24"/>
          <w:szCs w:val="24"/>
          <w:lang w:val="pt-BR"/>
        </w:rPr>
      </w:pPr>
      <w:r w:rsidRPr="00E16A5E">
        <w:rPr>
          <w:sz w:val="24"/>
          <w:szCs w:val="24"/>
          <w:lang w:val="pt-BR"/>
        </w:rPr>
        <w:t>Este estudo exploratório e descritivo analisou a gestão de resíduos sólidos urbanos (RSU) na Região de Integração do Carajás (RIC), no estado do Pará, com foco nos desafios de saúde pública e ocupacional associados ao manejo de RSU. A pesquisa incluiu uma aplicação de questionários a gestores municipais e entrevistas semiestruturadas com técnicos locais de 39 municípios. Os resultados evidenciam que a maioria dos municípios da RIC ainda utiliza lixões para a provisão final de vírus, prática que compromete o ambiente e expõe a população a doenças infecciosas, como hepatite A e dengue, devido à prevenção de vetores. As condições de trabalho dos catadores também se mostraram inovadoras, com alto índice de acidentes e falta de monitoramento de saúde, presentes em apenas 16,7% dos locais pesquisados. identificaram-se ainda entraves logísticos e administrativos, como a ausência de políticas de apoio e de infraestrutura para o transporte e disposição segura dos RSU. Conclui-se que a implementação de consórcios intermunicipais pode contribuir para a otimização de recursos e a mitigação de problemas sanitários e ambientais. A continuidade deste estudo pode fundamentar futuras políticas de saúde ocupacional e iniciativas para a construção de aterros sanitários, além de ações de educação ambiental que promovam práticas seguras e sustentáveis ​​na gestão de resíduos na região.</w:t>
      </w:r>
    </w:p>
    <w:p w14:paraId="678AC3F6" w14:textId="63D0D383" w:rsidR="00E16A5E" w:rsidRPr="00E16A5E" w:rsidRDefault="003949CE" w:rsidP="00E16A5E">
      <w:pPr>
        <w:pBdr>
          <w:bottom w:val="none" w:sz="0" w:space="8" w:color="000000"/>
        </w:pBdr>
        <w:shd w:val="clear" w:color="auto" w:fill="FFFFFF"/>
        <w:tabs>
          <w:tab w:val="left" w:pos="2500"/>
        </w:tabs>
        <w:rPr>
          <w:sz w:val="24"/>
          <w:szCs w:val="24"/>
        </w:rPr>
      </w:pPr>
      <w:r>
        <w:rPr>
          <w:b/>
          <w:sz w:val="24"/>
          <w:szCs w:val="24"/>
        </w:rPr>
        <w:lastRenderedPageBreak/>
        <w:t xml:space="preserve">Palavras-chave: </w:t>
      </w:r>
      <w:r w:rsidR="00E16A5E" w:rsidRPr="00E16A5E">
        <w:rPr>
          <w:sz w:val="24"/>
          <w:szCs w:val="24"/>
        </w:rPr>
        <w:t>Gestão de resíduos</w:t>
      </w:r>
      <w:r w:rsidR="00E16A5E">
        <w:rPr>
          <w:sz w:val="24"/>
          <w:szCs w:val="24"/>
        </w:rPr>
        <w:t>.</w:t>
      </w:r>
      <w:r w:rsidR="00E16A5E" w:rsidRPr="00E16A5E">
        <w:rPr>
          <w:sz w:val="24"/>
          <w:szCs w:val="24"/>
        </w:rPr>
        <w:t xml:space="preserve"> Saúde Pública</w:t>
      </w:r>
      <w:r w:rsidR="00E16A5E">
        <w:rPr>
          <w:sz w:val="24"/>
          <w:szCs w:val="24"/>
        </w:rPr>
        <w:t>.</w:t>
      </w:r>
      <w:r w:rsidR="00E16A5E" w:rsidRPr="00E16A5E">
        <w:rPr>
          <w:sz w:val="24"/>
          <w:szCs w:val="24"/>
        </w:rPr>
        <w:t xml:space="preserve"> Consórcios Intermunicipais</w:t>
      </w:r>
      <w:r w:rsidR="00E16A5E">
        <w:rPr>
          <w:sz w:val="24"/>
          <w:szCs w:val="24"/>
        </w:rPr>
        <w:t>.</w:t>
      </w:r>
    </w:p>
    <w:p w14:paraId="71340687" w14:textId="77777777" w:rsidR="003949CE" w:rsidRDefault="003949CE" w:rsidP="003949CE">
      <w:pPr>
        <w:shd w:val="clear" w:color="auto" w:fill="FFFFFF"/>
        <w:tabs>
          <w:tab w:val="left" w:pos="2500"/>
        </w:tabs>
        <w:jc w:val="center"/>
        <w:rPr>
          <w:sz w:val="24"/>
          <w:szCs w:val="24"/>
        </w:rPr>
      </w:pPr>
    </w:p>
    <w:p w14:paraId="03392E40" w14:textId="0252DCE8" w:rsidR="003949CE" w:rsidRDefault="003949CE" w:rsidP="00E16A5E">
      <w:pPr>
        <w:shd w:val="clear" w:color="auto" w:fill="FFFFFF"/>
        <w:tabs>
          <w:tab w:val="left" w:pos="2500"/>
        </w:tabs>
        <w:rPr>
          <w:sz w:val="24"/>
          <w:szCs w:val="24"/>
        </w:rPr>
      </w:pPr>
      <w:r>
        <w:rPr>
          <w:b/>
          <w:sz w:val="24"/>
          <w:szCs w:val="24"/>
        </w:rPr>
        <w:t>Área de Interesse do Simpósio</w:t>
      </w:r>
      <w:r>
        <w:rPr>
          <w:sz w:val="24"/>
          <w:szCs w:val="24"/>
        </w:rPr>
        <w:t xml:space="preserve">: </w:t>
      </w:r>
      <w:r w:rsidR="00047E90">
        <w:rPr>
          <w:sz w:val="24"/>
          <w:szCs w:val="24"/>
        </w:rPr>
        <w:t>Saúde Pública e Meio Ambiente</w:t>
      </w:r>
      <w:r w:rsidR="00E16A5E">
        <w:rPr>
          <w:sz w:val="24"/>
          <w:szCs w:val="24"/>
        </w:rPr>
        <w:t>.</w:t>
      </w:r>
    </w:p>
    <w:p w14:paraId="45B27B6B" w14:textId="77777777" w:rsidR="003949CE" w:rsidRDefault="003949CE" w:rsidP="003949CE">
      <w:pPr>
        <w:pBdr>
          <w:bottom w:val="none" w:sz="0" w:space="8" w:color="000000"/>
        </w:pBdr>
        <w:shd w:val="clear" w:color="auto" w:fill="FFFFFF"/>
        <w:tabs>
          <w:tab w:val="left" w:pos="2500"/>
        </w:tabs>
        <w:rPr>
          <w:sz w:val="24"/>
          <w:szCs w:val="24"/>
        </w:rPr>
      </w:pPr>
    </w:p>
    <w:p w14:paraId="6B35A14B" w14:textId="2AB23979" w:rsidR="003949CE" w:rsidRDefault="003949CE" w:rsidP="003949CE">
      <w:pPr>
        <w:pBdr>
          <w:bottom w:val="none" w:sz="0" w:space="18" w:color="000000"/>
        </w:pBdr>
        <w:shd w:val="clear" w:color="auto" w:fill="FFFFFF"/>
        <w:tabs>
          <w:tab w:val="left" w:pos="2500"/>
        </w:tabs>
        <w:spacing w:line="360" w:lineRule="auto"/>
        <w:jc w:val="both"/>
        <w:rPr>
          <w:color w:val="FF0000"/>
          <w:sz w:val="24"/>
          <w:szCs w:val="24"/>
        </w:rPr>
      </w:pPr>
      <w:r>
        <w:rPr>
          <w:b/>
          <w:sz w:val="24"/>
          <w:szCs w:val="24"/>
        </w:rPr>
        <w:t>1. INTRODUÇÃO</w:t>
      </w:r>
    </w:p>
    <w:p w14:paraId="40F7E85D" w14:textId="77777777" w:rsidR="00CC629E" w:rsidRPr="00CC629E" w:rsidRDefault="00CC629E" w:rsidP="00CC629E">
      <w:pPr>
        <w:pBdr>
          <w:bottom w:val="none" w:sz="0" w:space="8" w:color="000000"/>
        </w:pBdr>
        <w:shd w:val="clear" w:color="auto" w:fill="FFFFFF"/>
        <w:tabs>
          <w:tab w:val="left" w:pos="2500"/>
        </w:tabs>
        <w:spacing w:line="432" w:lineRule="auto"/>
        <w:ind w:firstLine="700"/>
        <w:jc w:val="both"/>
        <w:rPr>
          <w:sz w:val="24"/>
          <w:szCs w:val="24"/>
        </w:rPr>
      </w:pPr>
      <w:r w:rsidRPr="00CC629E">
        <w:rPr>
          <w:sz w:val="24"/>
          <w:szCs w:val="24"/>
        </w:rPr>
        <w:t xml:space="preserve">No cenário global, o crescimento exponencial de resíduos sólidos urbanos (RSU) reforça a urgência de uma gestão sustentável e adequada dos resíduos, uma vez que práticas de descarte de resíduos contaminados diretamente para a propagação de doenças infectocontagiosas. Vetores como mosquitos e roedores encontram ambientes propícios para reprodução nos lixões ao céu aberto, facilitando a transmissão de doenças como dengue, febre amarela e leptospirose (GOMES, BELÉM, 2022). </w:t>
      </w:r>
    </w:p>
    <w:p w14:paraId="019A148D" w14:textId="77777777" w:rsidR="00CC629E" w:rsidRPr="00CC629E" w:rsidRDefault="00CC629E" w:rsidP="00CC629E">
      <w:pPr>
        <w:pBdr>
          <w:bottom w:val="none" w:sz="0" w:space="8" w:color="000000"/>
        </w:pBdr>
        <w:shd w:val="clear" w:color="auto" w:fill="FFFFFF"/>
        <w:tabs>
          <w:tab w:val="left" w:pos="2500"/>
        </w:tabs>
        <w:spacing w:line="432" w:lineRule="auto"/>
        <w:ind w:firstLine="700"/>
        <w:jc w:val="both"/>
        <w:rPr>
          <w:sz w:val="24"/>
          <w:szCs w:val="24"/>
        </w:rPr>
      </w:pPr>
      <w:r w:rsidRPr="00CC629E">
        <w:rPr>
          <w:sz w:val="24"/>
          <w:szCs w:val="24"/>
        </w:rPr>
        <w:t>A geração de resíduos no Brasil aumentou significativamente nas últimas décadas, acompanhando o crescimento populacional, o consumo e a urbanização acelerada. Esse cenário se agrava especialmente nas regiões mais vulneráveis, como a Região Norte, onde se observa o maior índice de disposição final restrita de resíduos, com destaque para o estado do Pará. Nessa região, a ausência de políticas eficazes e de infraestrutura adequada leva os municípios a recorrerem a práticas de descarte irregulares, muitas vezes em lixões a céu aberto, sem cumprir as normas técnicas e legais aplicáveis. Tais normas são fundamentais para a proteção ambiental e para a promoção da saúde pública, pois regulam o manejo e a disposição correta dos resíduos e visam minimizar os riscos de contaminação do solo, das águas e do ar (CUNHA, AUGUSTIN, 2014).</w:t>
      </w:r>
    </w:p>
    <w:p w14:paraId="0F1313C2" w14:textId="77777777" w:rsidR="00CC629E" w:rsidRPr="0075651C" w:rsidRDefault="00CC629E" w:rsidP="00CC629E">
      <w:pPr>
        <w:pBdr>
          <w:bottom w:val="none" w:sz="0" w:space="8" w:color="000000"/>
        </w:pBdr>
        <w:shd w:val="clear" w:color="auto" w:fill="FFFFFF"/>
        <w:tabs>
          <w:tab w:val="left" w:pos="2500"/>
        </w:tabs>
        <w:spacing w:line="432" w:lineRule="auto"/>
        <w:ind w:firstLine="700"/>
        <w:jc w:val="both"/>
        <w:rPr>
          <w:sz w:val="24"/>
          <w:szCs w:val="24"/>
        </w:rPr>
      </w:pPr>
      <w:r w:rsidRPr="00CC629E">
        <w:rPr>
          <w:sz w:val="24"/>
          <w:szCs w:val="24"/>
        </w:rPr>
        <w:t xml:space="preserve">Considerando essa realidade, o presente estudo investiga o impacto da disposição restrita de RSU sobre a saúde pública e as condições de trabalho dos catadores na Região de Integração do Carajás (RIC), no Pará. Também são discutidas alternativas, como a formação de consórcios públicos intermunicipais, que podem otimizar os recursos disponíveis e viabilizar uma gestão mais eficiente e segura dos resíduos. Ao contribuir para a redução dos riscos </w:t>
      </w:r>
      <w:r w:rsidRPr="00CC629E">
        <w:rPr>
          <w:sz w:val="24"/>
          <w:szCs w:val="24"/>
        </w:rPr>
        <w:lastRenderedPageBreak/>
        <w:t>sanitários e ambientais, a gestão adequada do RSU surge como uma prioridade fundamental para o desenvolvimento sustentável e a qualidade de vida nas comunidades locais.</w:t>
      </w:r>
    </w:p>
    <w:p w14:paraId="309E8D17" w14:textId="055C0106" w:rsidR="003949CE" w:rsidRDefault="003949CE" w:rsidP="003949CE">
      <w:pPr>
        <w:pBdr>
          <w:bottom w:val="none" w:sz="0" w:space="18" w:color="000000"/>
        </w:pBdr>
        <w:shd w:val="clear" w:color="auto" w:fill="FFFFFF"/>
        <w:tabs>
          <w:tab w:val="left" w:pos="2500"/>
        </w:tabs>
        <w:spacing w:line="310" w:lineRule="auto"/>
        <w:jc w:val="both"/>
        <w:rPr>
          <w:color w:val="FF0000"/>
          <w:sz w:val="24"/>
          <w:szCs w:val="24"/>
        </w:rPr>
      </w:pPr>
      <w:r>
        <w:rPr>
          <w:b/>
          <w:sz w:val="24"/>
          <w:szCs w:val="24"/>
        </w:rPr>
        <w:t>2. METODOLOGIA</w:t>
      </w:r>
    </w:p>
    <w:p w14:paraId="00D864BF" w14:textId="42D65090" w:rsidR="0075651C" w:rsidRDefault="0075651C" w:rsidP="0075651C">
      <w:pPr>
        <w:pBdr>
          <w:bottom w:val="none" w:sz="0" w:space="8" w:color="000000"/>
        </w:pBdr>
        <w:shd w:val="clear" w:color="auto" w:fill="FFFFFF"/>
        <w:tabs>
          <w:tab w:val="left" w:pos="2500"/>
        </w:tabs>
        <w:spacing w:line="432" w:lineRule="auto"/>
        <w:ind w:firstLine="700"/>
        <w:jc w:val="both"/>
        <w:rPr>
          <w:sz w:val="24"/>
          <w:szCs w:val="24"/>
        </w:rPr>
      </w:pPr>
      <w:r w:rsidRPr="0075651C">
        <w:rPr>
          <w:sz w:val="24"/>
          <w:szCs w:val="24"/>
        </w:rPr>
        <w:t>A pesquisa foi estruturada de forma a abordar a temática sob uma perspectiva exploratória</w:t>
      </w:r>
      <w:r w:rsidR="00E16A5E">
        <w:rPr>
          <w:sz w:val="24"/>
          <w:szCs w:val="24"/>
        </w:rPr>
        <w:t xml:space="preserve"> e</w:t>
      </w:r>
      <w:r w:rsidRPr="0075651C">
        <w:rPr>
          <w:sz w:val="24"/>
          <w:szCs w:val="24"/>
        </w:rPr>
        <w:t xml:space="preserve"> descritiva</w:t>
      </w:r>
      <w:r w:rsidR="00E16A5E">
        <w:rPr>
          <w:sz w:val="24"/>
          <w:szCs w:val="24"/>
        </w:rPr>
        <w:t xml:space="preserve"> realizado </w:t>
      </w:r>
      <w:r w:rsidRPr="0075651C">
        <w:rPr>
          <w:sz w:val="24"/>
          <w:szCs w:val="24"/>
        </w:rPr>
        <w:t>na Região de Integração do Carajás (RIC).</w:t>
      </w:r>
      <w:r w:rsidRPr="0075651C">
        <w:t xml:space="preserve"> </w:t>
      </w:r>
      <w:r w:rsidRPr="0075651C">
        <w:rPr>
          <w:sz w:val="24"/>
          <w:szCs w:val="24"/>
        </w:rPr>
        <w:t xml:space="preserve">Do total de 39 municípios integrantes à nova </w:t>
      </w:r>
      <w:r w:rsidR="00E16A5E">
        <w:rPr>
          <w:sz w:val="24"/>
          <w:szCs w:val="24"/>
        </w:rPr>
        <w:t>RIC</w:t>
      </w:r>
      <w:r w:rsidRPr="0075651C">
        <w:rPr>
          <w:sz w:val="24"/>
          <w:szCs w:val="24"/>
        </w:rPr>
        <w:t xml:space="preserve"> (MONTEIRO; SILVA, 2021) 18 participaram desta pesquisa</w:t>
      </w:r>
      <w:r w:rsidR="003326F5">
        <w:rPr>
          <w:sz w:val="24"/>
          <w:szCs w:val="24"/>
        </w:rPr>
        <w:t>.</w:t>
      </w:r>
    </w:p>
    <w:p w14:paraId="280C2FB0" w14:textId="3C05B5C9" w:rsidR="0075651C" w:rsidRDefault="0075651C" w:rsidP="0075651C">
      <w:pPr>
        <w:pBdr>
          <w:bottom w:val="none" w:sz="0" w:space="8" w:color="000000"/>
        </w:pBdr>
        <w:shd w:val="clear" w:color="auto" w:fill="FFFFFF"/>
        <w:tabs>
          <w:tab w:val="left" w:pos="2500"/>
        </w:tabs>
        <w:spacing w:line="432" w:lineRule="auto"/>
        <w:ind w:firstLine="700"/>
        <w:jc w:val="both"/>
        <w:rPr>
          <w:sz w:val="24"/>
          <w:szCs w:val="24"/>
        </w:rPr>
      </w:pPr>
      <w:r w:rsidRPr="0075651C">
        <w:rPr>
          <w:sz w:val="24"/>
          <w:szCs w:val="24"/>
        </w:rPr>
        <w:t>A coleta de dados ocorreu por meio da aplicação de um questionário</w:t>
      </w:r>
      <w:r w:rsidR="00E16A5E">
        <w:rPr>
          <w:sz w:val="24"/>
          <w:szCs w:val="24"/>
        </w:rPr>
        <w:t>,</w:t>
      </w:r>
      <w:r w:rsidRPr="0075651C">
        <w:rPr>
          <w:sz w:val="24"/>
          <w:szCs w:val="24"/>
        </w:rPr>
        <w:t xml:space="preserve"> </w:t>
      </w:r>
      <w:r w:rsidR="00E16A5E">
        <w:rPr>
          <w:sz w:val="24"/>
          <w:szCs w:val="24"/>
        </w:rPr>
        <w:t>construído</w:t>
      </w:r>
      <w:r w:rsidR="00E16A5E" w:rsidRPr="0075651C">
        <w:rPr>
          <w:sz w:val="24"/>
          <w:szCs w:val="24"/>
        </w:rPr>
        <w:t xml:space="preserve"> na plataforma Google </w:t>
      </w:r>
      <w:r w:rsidR="00E16A5E">
        <w:rPr>
          <w:sz w:val="24"/>
          <w:szCs w:val="24"/>
        </w:rPr>
        <w:t>Forms</w:t>
      </w:r>
      <w:r w:rsidR="00E16A5E">
        <w:rPr>
          <w:sz w:val="24"/>
          <w:szCs w:val="24"/>
        </w:rPr>
        <w:t>,</w:t>
      </w:r>
      <w:r w:rsidR="00E16A5E" w:rsidRPr="0075651C">
        <w:rPr>
          <w:sz w:val="24"/>
          <w:szCs w:val="24"/>
        </w:rPr>
        <w:t xml:space="preserve"> </w:t>
      </w:r>
      <w:r w:rsidRPr="0075651C">
        <w:rPr>
          <w:sz w:val="24"/>
          <w:szCs w:val="24"/>
        </w:rPr>
        <w:t>aos gestores e técnicos</w:t>
      </w:r>
      <w:r w:rsidR="00E16A5E">
        <w:rPr>
          <w:sz w:val="24"/>
          <w:szCs w:val="24"/>
        </w:rPr>
        <w:t>, en</w:t>
      </w:r>
      <w:r>
        <w:rPr>
          <w:sz w:val="24"/>
          <w:szCs w:val="24"/>
        </w:rPr>
        <w:t xml:space="preserve">viado por e-mail aos resspctivos municipios. </w:t>
      </w:r>
      <w:r w:rsidRPr="0075651C">
        <w:rPr>
          <w:sz w:val="24"/>
          <w:szCs w:val="24"/>
        </w:rPr>
        <w:t xml:space="preserve">As variáveis utilizadas </w:t>
      </w:r>
      <w:r>
        <w:rPr>
          <w:sz w:val="24"/>
          <w:szCs w:val="24"/>
        </w:rPr>
        <w:t xml:space="preserve">foram: </w:t>
      </w:r>
      <w:r w:rsidRPr="0075651C">
        <w:rPr>
          <w:sz w:val="24"/>
          <w:szCs w:val="24"/>
        </w:rPr>
        <w:t>doenças infecciosas (ex. doenças diarreicas, hepatite a, malária, dengue, etc.)</w:t>
      </w:r>
      <w:r>
        <w:rPr>
          <w:sz w:val="24"/>
          <w:szCs w:val="24"/>
        </w:rPr>
        <w:t xml:space="preserve">; </w:t>
      </w:r>
      <w:r w:rsidRPr="0075651C">
        <w:rPr>
          <w:sz w:val="24"/>
          <w:szCs w:val="24"/>
        </w:rPr>
        <w:t>doenças dermatológicas e oculares (ex. dermatites, conjuntivite)</w:t>
      </w:r>
      <w:r>
        <w:rPr>
          <w:sz w:val="24"/>
          <w:szCs w:val="24"/>
        </w:rPr>
        <w:t xml:space="preserve">; </w:t>
      </w:r>
      <w:r w:rsidRPr="0075651C">
        <w:rPr>
          <w:sz w:val="24"/>
          <w:szCs w:val="24"/>
        </w:rPr>
        <w:t>acidentes de trabalho (ex. cortes, queimaduras)</w:t>
      </w:r>
      <w:r>
        <w:rPr>
          <w:sz w:val="24"/>
          <w:szCs w:val="24"/>
        </w:rPr>
        <w:t xml:space="preserve">; </w:t>
      </w:r>
      <w:r w:rsidRPr="0075651C">
        <w:rPr>
          <w:sz w:val="24"/>
          <w:szCs w:val="24"/>
        </w:rPr>
        <w:t>intoxicações alimentares</w:t>
      </w:r>
      <w:r>
        <w:rPr>
          <w:sz w:val="24"/>
          <w:szCs w:val="24"/>
        </w:rPr>
        <w:t xml:space="preserve">; </w:t>
      </w:r>
      <w:r w:rsidRPr="0075651C">
        <w:rPr>
          <w:sz w:val="24"/>
          <w:szCs w:val="24"/>
        </w:rPr>
        <w:t>deficiências na coleta de rsu (resposta: não, parcialmente, sim)</w:t>
      </w:r>
      <w:r>
        <w:rPr>
          <w:sz w:val="24"/>
          <w:szCs w:val="24"/>
        </w:rPr>
        <w:t xml:space="preserve">; </w:t>
      </w:r>
      <w:r w:rsidRPr="0075651C">
        <w:rPr>
          <w:sz w:val="24"/>
          <w:szCs w:val="24"/>
        </w:rPr>
        <w:t>limpeza de ruas e logradouros públicos (resposta: sim, parcialmente, não)</w:t>
      </w:r>
      <w:r>
        <w:rPr>
          <w:sz w:val="24"/>
          <w:szCs w:val="24"/>
        </w:rPr>
        <w:t xml:space="preserve">; </w:t>
      </w:r>
      <w:r w:rsidRPr="0075651C">
        <w:rPr>
          <w:sz w:val="24"/>
          <w:szCs w:val="24"/>
        </w:rPr>
        <w:t xml:space="preserve">destinação final de </w:t>
      </w:r>
      <w:r w:rsidRPr="0075651C">
        <w:rPr>
          <w:sz w:val="24"/>
          <w:szCs w:val="24"/>
        </w:rPr>
        <w:t>RSU (ex. aterro controlado, lixão, aterro sanitário)</w:t>
      </w:r>
      <w:r>
        <w:rPr>
          <w:sz w:val="24"/>
          <w:szCs w:val="24"/>
        </w:rPr>
        <w:t xml:space="preserve">; </w:t>
      </w:r>
      <w:r w:rsidRPr="0075651C">
        <w:rPr>
          <w:sz w:val="24"/>
          <w:szCs w:val="24"/>
        </w:rPr>
        <w:t xml:space="preserve">obstáculos </w:t>
      </w:r>
      <w:r w:rsidRPr="0075651C">
        <w:rPr>
          <w:sz w:val="24"/>
          <w:szCs w:val="24"/>
        </w:rPr>
        <w:t>para destinação final de RSU (ex. falta de veículos adequados, distância ao aterro, ausência de políticas)</w:t>
      </w:r>
      <w:r>
        <w:rPr>
          <w:sz w:val="24"/>
          <w:szCs w:val="24"/>
        </w:rPr>
        <w:t xml:space="preserve">; </w:t>
      </w:r>
      <w:r w:rsidRPr="0075651C">
        <w:rPr>
          <w:sz w:val="24"/>
          <w:szCs w:val="24"/>
        </w:rPr>
        <w:t xml:space="preserve">presença </w:t>
      </w:r>
      <w:r w:rsidRPr="0075651C">
        <w:rPr>
          <w:sz w:val="24"/>
          <w:szCs w:val="24"/>
        </w:rPr>
        <w:t>de catadores no local de disposição final de RSU</w:t>
      </w:r>
      <w:r>
        <w:rPr>
          <w:sz w:val="24"/>
          <w:szCs w:val="24"/>
        </w:rPr>
        <w:t xml:space="preserve">; </w:t>
      </w:r>
      <w:r w:rsidRPr="0075651C">
        <w:rPr>
          <w:sz w:val="24"/>
          <w:szCs w:val="24"/>
        </w:rPr>
        <w:t>Monitoramento da saúde dos trabalhadores no local de disposição final de RSU</w:t>
      </w:r>
      <w:r>
        <w:rPr>
          <w:sz w:val="24"/>
          <w:szCs w:val="24"/>
        </w:rPr>
        <w:t xml:space="preserve">; </w:t>
      </w:r>
      <w:r w:rsidRPr="0075651C">
        <w:rPr>
          <w:sz w:val="24"/>
          <w:szCs w:val="24"/>
        </w:rPr>
        <w:t xml:space="preserve">triagem </w:t>
      </w:r>
      <w:r w:rsidRPr="0075651C">
        <w:rPr>
          <w:sz w:val="24"/>
          <w:szCs w:val="24"/>
        </w:rPr>
        <w:t>de RSU antes da destinação final (resposta: não, parcialmente, sim)</w:t>
      </w:r>
      <w:r>
        <w:rPr>
          <w:sz w:val="24"/>
          <w:szCs w:val="24"/>
        </w:rPr>
        <w:t xml:space="preserve"> e o</w:t>
      </w:r>
      <w:r w:rsidRPr="0075651C">
        <w:rPr>
          <w:sz w:val="24"/>
          <w:szCs w:val="24"/>
        </w:rPr>
        <w:t>bjetivo da triagem (ex. reciclagem, lixão)</w:t>
      </w:r>
      <w:r>
        <w:rPr>
          <w:sz w:val="24"/>
          <w:szCs w:val="24"/>
        </w:rPr>
        <w:t>.</w:t>
      </w:r>
    </w:p>
    <w:p w14:paraId="46E2FC7D" w14:textId="0BA26D4A" w:rsidR="0075651C" w:rsidRPr="0075651C" w:rsidRDefault="0075651C" w:rsidP="0075651C">
      <w:pPr>
        <w:pBdr>
          <w:bottom w:val="none" w:sz="0" w:space="8" w:color="000000"/>
        </w:pBdr>
        <w:shd w:val="clear" w:color="auto" w:fill="FFFFFF"/>
        <w:tabs>
          <w:tab w:val="left" w:pos="2500"/>
        </w:tabs>
        <w:spacing w:line="432" w:lineRule="auto"/>
        <w:ind w:firstLine="700"/>
        <w:jc w:val="both"/>
        <w:rPr>
          <w:sz w:val="24"/>
          <w:szCs w:val="24"/>
        </w:rPr>
      </w:pPr>
      <w:r w:rsidRPr="0075651C">
        <w:rPr>
          <w:sz w:val="24"/>
          <w:szCs w:val="24"/>
        </w:rPr>
        <w:t xml:space="preserve">A análise dos dados foi realizada de forma descritiva utilizando o software Excel. Para cada uma das variáveis, foram calculadas frequências absolutas e relativas, o que permitiu compreender o perfil da gestão de resíduos na região e os desafios enfrentados pelos municípios. </w:t>
      </w:r>
    </w:p>
    <w:p w14:paraId="60CF9E21" w14:textId="7DF3E74F" w:rsidR="0075651C" w:rsidRDefault="0075651C" w:rsidP="0075651C">
      <w:pPr>
        <w:pBdr>
          <w:bottom w:val="none" w:sz="0" w:space="8" w:color="000000"/>
        </w:pBdr>
        <w:shd w:val="clear" w:color="auto" w:fill="FFFFFF"/>
        <w:tabs>
          <w:tab w:val="left" w:pos="2500"/>
        </w:tabs>
        <w:spacing w:line="432" w:lineRule="auto"/>
        <w:ind w:firstLine="700"/>
        <w:jc w:val="both"/>
        <w:rPr>
          <w:sz w:val="24"/>
          <w:szCs w:val="24"/>
        </w:rPr>
      </w:pPr>
      <w:r w:rsidRPr="0075651C">
        <w:rPr>
          <w:sz w:val="24"/>
          <w:szCs w:val="24"/>
        </w:rPr>
        <w:t>A pesquisa foi aprovada pelo Comitê de Ética da Universidade Federal do Pará (UFPA)</w:t>
      </w:r>
      <w:r>
        <w:rPr>
          <w:sz w:val="24"/>
          <w:szCs w:val="24"/>
        </w:rPr>
        <w:t xml:space="preserve">, sob o parecer </w:t>
      </w:r>
      <w:r w:rsidRPr="0075651C">
        <w:rPr>
          <w:sz w:val="24"/>
          <w:szCs w:val="24"/>
        </w:rPr>
        <w:t xml:space="preserve">N° 5.222.807. Todos os entrevistados assinaram o Termo de Consentimento Livre e Esclarecido (TCLE), garantindo a confidencialidade das informações e o respeito aos </w:t>
      </w:r>
      <w:r w:rsidRPr="0075651C">
        <w:rPr>
          <w:sz w:val="24"/>
          <w:szCs w:val="24"/>
        </w:rPr>
        <w:lastRenderedPageBreak/>
        <w:t>princípios éticos na coleta de dados.</w:t>
      </w:r>
    </w:p>
    <w:p w14:paraId="45570972" w14:textId="77777777" w:rsidR="003949CE" w:rsidRDefault="003949CE" w:rsidP="003949CE">
      <w:pPr>
        <w:pBdr>
          <w:bottom w:val="none" w:sz="0" w:space="8" w:color="000000"/>
        </w:pBdr>
        <w:shd w:val="clear" w:color="auto" w:fill="FFFFFF"/>
        <w:tabs>
          <w:tab w:val="left" w:pos="2500"/>
        </w:tabs>
        <w:spacing w:line="310" w:lineRule="auto"/>
        <w:jc w:val="both"/>
        <w:rPr>
          <w:b/>
          <w:sz w:val="24"/>
          <w:szCs w:val="24"/>
        </w:rPr>
      </w:pPr>
    </w:p>
    <w:p w14:paraId="37122977" w14:textId="3B7E1F59" w:rsidR="003949CE" w:rsidRDefault="003949CE" w:rsidP="003949CE">
      <w:pPr>
        <w:pBdr>
          <w:bottom w:val="none" w:sz="0" w:space="8" w:color="000000"/>
        </w:pBdr>
        <w:shd w:val="clear" w:color="auto" w:fill="FFFFFF"/>
        <w:tabs>
          <w:tab w:val="left" w:pos="2500"/>
        </w:tabs>
        <w:spacing w:line="310" w:lineRule="auto"/>
        <w:jc w:val="both"/>
        <w:rPr>
          <w:color w:val="FF0000"/>
          <w:sz w:val="24"/>
          <w:szCs w:val="24"/>
        </w:rPr>
      </w:pPr>
      <w:r>
        <w:rPr>
          <w:b/>
          <w:sz w:val="24"/>
          <w:szCs w:val="24"/>
        </w:rPr>
        <w:t>3. RESULTADOS E DISCUSSÃO</w:t>
      </w:r>
    </w:p>
    <w:p w14:paraId="4ECD85E8" w14:textId="77777777" w:rsidR="003949CE" w:rsidRDefault="003949CE" w:rsidP="003949CE">
      <w:pPr>
        <w:pBdr>
          <w:bottom w:val="none" w:sz="0" w:space="8" w:color="000000"/>
        </w:pBdr>
        <w:shd w:val="clear" w:color="auto" w:fill="FFFFFF"/>
        <w:tabs>
          <w:tab w:val="left" w:pos="2500"/>
        </w:tabs>
        <w:spacing w:line="310" w:lineRule="auto"/>
        <w:ind w:firstLine="700"/>
        <w:rPr>
          <w:sz w:val="24"/>
          <w:szCs w:val="24"/>
        </w:rPr>
      </w:pPr>
    </w:p>
    <w:p w14:paraId="21491446" w14:textId="6FF9042A" w:rsidR="003326F5" w:rsidRDefault="003326F5" w:rsidP="003326F5">
      <w:pPr>
        <w:pBdr>
          <w:bottom w:val="none" w:sz="0" w:space="8" w:color="000000"/>
        </w:pBdr>
        <w:shd w:val="clear" w:color="auto" w:fill="FFFFFF"/>
        <w:tabs>
          <w:tab w:val="left" w:pos="2500"/>
        </w:tabs>
        <w:spacing w:line="432" w:lineRule="auto"/>
        <w:ind w:firstLine="700"/>
        <w:jc w:val="both"/>
        <w:rPr>
          <w:sz w:val="24"/>
          <w:szCs w:val="24"/>
        </w:rPr>
      </w:pPr>
      <w:r w:rsidRPr="003326F5">
        <w:rPr>
          <w:sz w:val="24"/>
          <w:szCs w:val="24"/>
        </w:rPr>
        <w:t xml:space="preserve">A análise dos dados coletados sobre resíduos sólidos urbanos (RSU) na Região de Integração do Carajás (RIC) revela lacunas significativas na gestão ambiental e social desses resíduos, impactando diretamente a saúde pública e a sustentabilidade regional. </w:t>
      </w:r>
    </w:p>
    <w:p w14:paraId="6140B089" w14:textId="77777777" w:rsidR="00460DDD" w:rsidRDefault="00460DDD" w:rsidP="00460DDD">
      <w:pPr>
        <w:pBdr>
          <w:bottom w:val="none" w:sz="0" w:space="8" w:color="000000"/>
        </w:pBdr>
        <w:shd w:val="clear" w:color="auto" w:fill="FFFFFF"/>
        <w:tabs>
          <w:tab w:val="left" w:pos="2500"/>
        </w:tabs>
        <w:spacing w:line="432" w:lineRule="auto"/>
        <w:jc w:val="both"/>
        <w:rPr>
          <w:sz w:val="24"/>
          <w:szCs w:val="24"/>
        </w:rPr>
      </w:pPr>
    </w:p>
    <w:p w14:paraId="5D9A6356" w14:textId="3379F6C1" w:rsidR="00460DDD" w:rsidRPr="00460DDD" w:rsidRDefault="00460DDD" w:rsidP="00460DDD">
      <w:pPr>
        <w:pBdr>
          <w:bottom w:val="none" w:sz="0" w:space="8" w:color="000000"/>
        </w:pBdr>
        <w:shd w:val="clear" w:color="auto" w:fill="FFFFFF"/>
        <w:tabs>
          <w:tab w:val="left" w:pos="2500"/>
        </w:tabs>
        <w:spacing w:line="432" w:lineRule="auto"/>
        <w:jc w:val="both"/>
      </w:pPr>
      <w:r w:rsidRPr="00460DDD">
        <w:t>Tabela 1</w:t>
      </w:r>
      <w:r>
        <w:t xml:space="preserve"> –</w:t>
      </w:r>
      <w:r w:rsidRPr="00460DDD">
        <w:t xml:space="preserve"> </w:t>
      </w:r>
      <w:r w:rsidR="00047E90" w:rsidRPr="00047E90">
        <w:t>Distribuição de frequências das respostas dos gestores sobre</w:t>
      </w:r>
      <w:r w:rsidR="00047E90">
        <w:t xml:space="preserve"> a destinação final de resíduos no município, limpeza e catadores. </w:t>
      </w:r>
    </w:p>
    <w:tbl>
      <w:tblPr>
        <w:tblW w:w="6845" w:type="dxa"/>
        <w:tblCellMar>
          <w:left w:w="70" w:type="dxa"/>
          <w:right w:w="70" w:type="dxa"/>
        </w:tblCellMar>
        <w:tblLook w:val="04A0" w:firstRow="1" w:lastRow="0" w:firstColumn="1" w:lastColumn="0" w:noHBand="0" w:noVBand="1"/>
      </w:tblPr>
      <w:tblGrid>
        <w:gridCol w:w="5665"/>
        <w:gridCol w:w="500"/>
        <w:gridCol w:w="680"/>
      </w:tblGrid>
      <w:tr w:rsidR="00460DDD" w:rsidRPr="00460DDD" w14:paraId="61912DE0" w14:textId="77777777" w:rsidTr="00460DDD">
        <w:trPr>
          <w:trHeight w:val="255"/>
        </w:trPr>
        <w:tc>
          <w:tcPr>
            <w:tcW w:w="5665" w:type="dxa"/>
            <w:tcBorders>
              <w:top w:val="single" w:sz="4" w:space="0" w:color="auto"/>
              <w:bottom w:val="single" w:sz="4" w:space="0" w:color="auto"/>
            </w:tcBorders>
            <w:shd w:val="clear" w:color="auto" w:fill="auto"/>
            <w:noWrap/>
            <w:vAlign w:val="bottom"/>
          </w:tcPr>
          <w:p w14:paraId="6518F950" w14:textId="5C6CD0B3" w:rsidR="00460DDD" w:rsidRPr="00460DDD" w:rsidRDefault="00460DDD" w:rsidP="00047E90">
            <w:pPr>
              <w:widowControl/>
              <w:autoSpaceDE/>
              <w:autoSpaceDN/>
              <w:spacing w:line="360" w:lineRule="auto"/>
              <w:rPr>
                <w:b/>
                <w:bCs/>
                <w:color w:val="000000"/>
                <w:sz w:val="24"/>
                <w:szCs w:val="24"/>
                <w:lang w:val="pt-BR" w:eastAsia="pt-BR"/>
              </w:rPr>
            </w:pPr>
            <w:r>
              <w:rPr>
                <w:b/>
                <w:bCs/>
                <w:color w:val="000000"/>
                <w:sz w:val="24"/>
                <w:szCs w:val="24"/>
                <w:lang w:val="pt-BR" w:eastAsia="pt-BR"/>
              </w:rPr>
              <w:t xml:space="preserve">Variáveis </w:t>
            </w:r>
          </w:p>
        </w:tc>
        <w:tc>
          <w:tcPr>
            <w:tcW w:w="500" w:type="dxa"/>
            <w:tcBorders>
              <w:top w:val="single" w:sz="4" w:space="0" w:color="auto"/>
              <w:bottom w:val="single" w:sz="4" w:space="0" w:color="auto"/>
            </w:tcBorders>
            <w:shd w:val="clear" w:color="auto" w:fill="auto"/>
            <w:noWrap/>
            <w:vAlign w:val="center"/>
          </w:tcPr>
          <w:p w14:paraId="0A21587E" w14:textId="1999D12E" w:rsidR="00460DDD" w:rsidRPr="00460DDD" w:rsidRDefault="00460DDD" w:rsidP="00047E90">
            <w:pPr>
              <w:widowControl/>
              <w:autoSpaceDE/>
              <w:autoSpaceDN/>
              <w:spacing w:line="360" w:lineRule="auto"/>
              <w:jc w:val="center"/>
              <w:rPr>
                <w:b/>
                <w:bCs/>
                <w:color w:val="000000"/>
                <w:sz w:val="24"/>
                <w:szCs w:val="24"/>
                <w:lang w:val="pt-BR" w:eastAsia="pt-BR"/>
              </w:rPr>
            </w:pPr>
            <w:r w:rsidRPr="00460DDD">
              <w:rPr>
                <w:b/>
                <w:bCs/>
                <w:color w:val="000000"/>
                <w:sz w:val="24"/>
                <w:szCs w:val="24"/>
                <w:lang w:val="pt-BR" w:eastAsia="pt-BR"/>
              </w:rPr>
              <w:t>n</w:t>
            </w:r>
          </w:p>
        </w:tc>
        <w:tc>
          <w:tcPr>
            <w:tcW w:w="680" w:type="dxa"/>
            <w:tcBorders>
              <w:top w:val="single" w:sz="4" w:space="0" w:color="auto"/>
              <w:bottom w:val="single" w:sz="4" w:space="0" w:color="auto"/>
            </w:tcBorders>
            <w:shd w:val="clear" w:color="auto" w:fill="auto"/>
            <w:noWrap/>
            <w:vAlign w:val="center"/>
          </w:tcPr>
          <w:p w14:paraId="3C4C98DD" w14:textId="3CFA8D48" w:rsidR="00460DDD" w:rsidRPr="00460DDD" w:rsidRDefault="00460DDD" w:rsidP="00047E90">
            <w:pPr>
              <w:widowControl/>
              <w:autoSpaceDE/>
              <w:autoSpaceDN/>
              <w:spacing w:line="360" w:lineRule="auto"/>
              <w:jc w:val="center"/>
              <w:rPr>
                <w:b/>
                <w:bCs/>
                <w:color w:val="000000"/>
                <w:sz w:val="24"/>
                <w:szCs w:val="24"/>
                <w:lang w:val="pt-BR" w:eastAsia="pt-BR"/>
              </w:rPr>
            </w:pPr>
            <w:r w:rsidRPr="00460DDD">
              <w:rPr>
                <w:b/>
                <w:bCs/>
                <w:color w:val="000000"/>
                <w:sz w:val="24"/>
                <w:szCs w:val="24"/>
                <w:lang w:val="pt-BR" w:eastAsia="pt-BR"/>
              </w:rPr>
              <w:t>%</w:t>
            </w:r>
          </w:p>
        </w:tc>
      </w:tr>
      <w:tr w:rsidR="00460DDD" w:rsidRPr="00460DDD" w14:paraId="7EC605FA" w14:textId="77777777" w:rsidTr="00460DDD">
        <w:trPr>
          <w:trHeight w:val="255"/>
        </w:trPr>
        <w:tc>
          <w:tcPr>
            <w:tcW w:w="5665" w:type="dxa"/>
            <w:tcBorders>
              <w:top w:val="single" w:sz="4" w:space="0" w:color="auto"/>
              <w:bottom w:val="single" w:sz="4" w:space="0" w:color="auto"/>
            </w:tcBorders>
            <w:shd w:val="clear" w:color="auto" w:fill="auto"/>
            <w:noWrap/>
            <w:vAlign w:val="bottom"/>
            <w:hideMark/>
          </w:tcPr>
          <w:p w14:paraId="60DAFA96" w14:textId="77777777" w:rsidR="00460DDD" w:rsidRPr="00460DDD" w:rsidRDefault="00460DDD" w:rsidP="00047E90">
            <w:pPr>
              <w:widowControl/>
              <w:autoSpaceDE/>
              <w:autoSpaceDN/>
              <w:spacing w:line="360" w:lineRule="auto"/>
              <w:rPr>
                <w:b/>
                <w:bCs/>
                <w:color w:val="000000"/>
                <w:sz w:val="24"/>
                <w:szCs w:val="24"/>
                <w:lang w:val="pt-BR" w:eastAsia="pt-BR"/>
              </w:rPr>
            </w:pPr>
            <w:r w:rsidRPr="00460DDD">
              <w:rPr>
                <w:b/>
                <w:bCs/>
                <w:color w:val="000000"/>
                <w:sz w:val="24"/>
                <w:szCs w:val="24"/>
                <w:lang w:val="pt-BR" w:eastAsia="pt-BR"/>
              </w:rPr>
              <w:t>Deficiências coleta RSU</w:t>
            </w:r>
          </w:p>
        </w:tc>
        <w:tc>
          <w:tcPr>
            <w:tcW w:w="500" w:type="dxa"/>
            <w:tcBorders>
              <w:top w:val="single" w:sz="4" w:space="0" w:color="auto"/>
              <w:bottom w:val="single" w:sz="4" w:space="0" w:color="auto"/>
            </w:tcBorders>
            <w:shd w:val="clear" w:color="auto" w:fill="auto"/>
            <w:noWrap/>
            <w:vAlign w:val="center"/>
            <w:hideMark/>
          </w:tcPr>
          <w:p w14:paraId="4BCC35D7" w14:textId="730AC624" w:rsidR="00460DDD" w:rsidRPr="00460DDD" w:rsidRDefault="00460DDD" w:rsidP="00047E90">
            <w:pPr>
              <w:widowControl/>
              <w:autoSpaceDE/>
              <w:autoSpaceDN/>
              <w:spacing w:line="360" w:lineRule="auto"/>
              <w:jc w:val="center"/>
              <w:rPr>
                <w:color w:val="000000"/>
                <w:sz w:val="24"/>
                <w:szCs w:val="24"/>
                <w:lang w:val="pt-BR" w:eastAsia="pt-BR"/>
              </w:rPr>
            </w:pPr>
          </w:p>
        </w:tc>
        <w:tc>
          <w:tcPr>
            <w:tcW w:w="680" w:type="dxa"/>
            <w:tcBorders>
              <w:top w:val="single" w:sz="4" w:space="0" w:color="auto"/>
              <w:bottom w:val="single" w:sz="4" w:space="0" w:color="auto"/>
            </w:tcBorders>
            <w:shd w:val="clear" w:color="auto" w:fill="auto"/>
            <w:noWrap/>
            <w:vAlign w:val="center"/>
            <w:hideMark/>
          </w:tcPr>
          <w:p w14:paraId="743A61C7" w14:textId="7F603BC0" w:rsidR="00460DDD" w:rsidRPr="00460DDD" w:rsidRDefault="00460DDD" w:rsidP="00047E90">
            <w:pPr>
              <w:widowControl/>
              <w:autoSpaceDE/>
              <w:autoSpaceDN/>
              <w:spacing w:line="360" w:lineRule="auto"/>
              <w:jc w:val="center"/>
              <w:rPr>
                <w:color w:val="000000"/>
                <w:sz w:val="24"/>
                <w:szCs w:val="24"/>
                <w:lang w:val="pt-BR" w:eastAsia="pt-BR"/>
              </w:rPr>
            </w:pPr>
          </w:p>
        </w:tc>
      </w:tr>
      <w:tr w:rsidR="00460DDD" w:rsidRPr="00460DDD" w14:paraId="0C1EA090" w14:textId="77777777" w:rsidTr="00460DDD">
        <w:trPr>
          <w:trHeight w:val="300"/>
        </w:trPr>
        <w:tc>
          <w:tcPr>
            <w:tcW w:w="5665" w:type="dxa"/>
            <w:tcBorders>
              <w:top w:val="single" w:sz="4" w:space="0" w:color="auto"/>
            </w:tcBorders>
            <w:shd w:val="clear" w:color="auto" w:fill="auto"/>
            <w:hideMark/>
          </w:tcPr>
          <w:p w14:paraId="0DE03D3D"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Não</w:t>
            </w:r>
          </w:p>
        </w:tc>
        <w:tc>
          <w:tcPr>
            <w:tcW w:w="500" w:type="dxa"/>
            <w:tcBorders>
              <w:top w:val="single" w:sz="4" w:space="0" w:color="auto"/>
            </w:tcBorders>
            <w:shd w:val="clear" w:color="auto" w:fill="auto"/>
            <w:noWrap/>
            <w:vAlign w:val="center"/>
            <w:hideMark/>
          </w:tcPr>
          <w:p w14:paraId="6E99F28C"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w:t>
            </w:r>
          </w:p>
        </w:tc>
        <w:tc>
          <w:tcPr>
            <w:tcW w:w="680" w:type="dxa"/>
            <w:tcBorders>
              <w:top w:val="single" w:sz="4" w:space="0" w:color="auto"/>
            </w:tcBorders>
            <w:shd w:val="clear" w:color="auto" w:fill="auto"/>
            <w:noWrap/>
            <w:vAlign w:val="center"/>
            <w:hideMark/>
          </w:tcPr>
          <w:p w14:paraId="22FAD734"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27,8</w:t>
            </w:r>
          </w:p>
        </w:tc>
      </w:tr>
      <w:tr w:rsidR="00460DDD" w:rsidRPr="00460DDD" w14:paraId="7C1519DC" w14:textId="77777777" w:rsidTr="00460DDD">
        <w:trPr>
          <w:trHeight w:val="58"/>
        </w:trPr>
        <w:tc>
          <w:tcPr>
            <w:tcW w:w="5665" w:type="dxa"/>
            <w:shd w:val="clear" w:color="auto" w:fill="auto"/>
            <w:hideMark/>
          </w:tcPr>
          <w:p w14:paraId="0E027069"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Parcialmente</w:t>
            </w:r>
          </w:p>
        </w:tc>
        <w:tc>
          <w:tcPr>
            <w:tcW w:w="500" w:type="dxa"/>
            <w:shd w:val="clear" w:color="auto" w:fill="auto"/>
            <w:noWrap/>
            <w:vAlign w:val="center"/>
            <w:hideMark/>
          </w:tcPr>
          <w:p w14:paraId="0E9F132F"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w:t>
            </w:r>
          </w:p>
        </w:tc>
        <w:tc>
          <w:tcPr>
            <w:tcW w:w="680" w:type="dxa"/>
            <w:shd w:val="clear" w:color="auto" w:fill="auto"/>
            <w:noWrap/>
            <w:vAlign w:val="center"/>
            <w:hideMark/>
          </w:tcPr>
          <w:p w14:paraId="07AFBDE8"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27,8</w:t>
            </w:r>
          </w:p>
        </w:tc>
      </w:tr>
      <w:tr w:rsidR="00460DDD" w:rsidRPr="00460DDD" w14:paraId="11C18911" w14:textId="77777777" w:rsidTr="00460DDD">
        <w:trPr>
          <w:trHeight w:val="288"/>
        </w:trPr>
        <w:tc>
          <w:tcPr>
            <w:tcW w:w="5665" w:type="dxa"/>
            <w:shd w:val="clear" w:color="auto" w:fill="auto"/>
            <w:hideMark/>
          </w:tcPr>
          <w:p w14:paraId="508E100C"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Sim</w:t>
            </w:r>
          </w:p>
        </w:tc>
        <w:tc>
          <w:tcPr>
            <w:tcW w:w="500" w:type="dxa"/>
            <w:shd w:val="clear" w:color="auto" w:fill="auto"/>
            <w:noWrap/>
            <w:vAlign w:val="center"/>
            <w:hideMark/>
          </w:tcPr>
          <w:p w14:paraId="750A7166"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8</w:t>
            </w:r>
          </w:p>
        </w:tc>
        <w:tc>
          <w:tcPr>
            <w:tcW w:w="680" w:type="dxa"/>
            <w:shd w:val="clear" w:color="auto" w:fill="auto"/>
            <w:noWrap/>
            <w:vAlign w:val="center"/>
            <w:hideMark/>
          </w:tcPr>
          <w:p w14:paraId="2CAD5C7A"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44,4</w:t>
            </w:r>
          </w:p>
        </w:tc>
      </w:tr>
      <w:tr w:rsidR="00460DDD" w:rsidRPr="00460DDD" w14:paraId="6E72A814" w14:textId="77777777" w:rsidTr="00460DDD">
        <w:trPr>
          <w:trHeight w:val="96"/>
        </w:trPr>
        <w:tc>
          <w:tcPr>
            <w:tcW w:w="5665" w:type="dxa"/>
            <w:shd w:val="clear" w:color="auto" w:fill="auto"/>
            <w:hideMark/>
          </w:tcPr>
          <w:p w14:paraId="48B4155C" w14:textId="77777777" w:rsidR="00460DDD" w:rsidRPr="00460DDD" w:rsidRDefault="00460DDD" w:rsidP="00047E90">
            <w:pPr>
              <w:widowControl/>
              <w:autoSpaceDE/>
              <w:autoSpaceDN/>
              <w:spacing w:line="360" w:lineRule="auto"/>
              <w:rPr>
                <w:b/>
                <w:bCs/>
                <w:color w:val="000000"/>
                <w:sz w:val="24"/>
                <w:szCs w:val="24"/>
                <w:lang w:val="pt-BR" w:eastAsia="pt-BR"/>
              </w:rPr>
            </w:pPr>
            <w:r w:rsidRPr="00460DDD">
              <w:rPr>
                <w:b/>
                <w:bCs/>
                <w:color w:val="000000"/>
                <w:sz w:val="24"/>
                <w:szCs w:val="24"/>
                <w:lang w:val="pt-BR" w:eastAsia="pt-BR"/>
              </w:rPr>
              <w:t>Limpeza de ruas e espaços</w:t>
            </w:r>
          </w:p>
        </w:tc>
        <w:tc>
          <w:tcPr>
            <w:tcW w:w="500" w:type="dxa"/>
            <w:shd w:val="clear" w:color="auto" w:fill="auto"/>
            <w:noWrap/>
            <w:vAlign w:val="center"/>
            <w:hideMark/>
          </w:tcPr>
          <w:p w14:paraId="3FA44F80" w14:textId="29E12B83" w:rsidR="00460DDD" w:rsidRPr="00460DDD" w:rsidRDefault="00460DDD" w:rsidP="00047E90">
            <w:pPr>
              <w:widowControl/>
              <w:autoSpaceDE/>
              <w:autoSpaceDN/>
              <w:spacing w:line="360" w:lineRule="auto"/>
              <w:jc w:val="center"/>
              <w:rPr>
                <w:color w:val="000000"/>
                <w:sz w:val="24"/>
                <w:szCs w:val="24"/>
                <w:lang w:val="pt-BR" w:eastAsia="pt-BR"/>
              </w:rPr>
            </w:pPr>
          </w:p>
        </w:tc>
        <w:tc>
          <w:tcPr>
            <w:tcW w:w="680" w:type="dxa"/>
            <w:shd w:val="clear" w:color="auto" w:fill="auto"/>
            <w:noWrap/>
            <w:vAlign w:val="center"/>
            <w:hideMark/>
          </w:tcPr>
          <w:p w14:paraId="1D8ABC9D" w14:textId="3E4F16AF" w:rsidR="00460DDD" w:rsidRPr="00460DDD" w:rsidRDefault="00460DDD" w:rsidP="00047E90">
            <w:pPr>
              <w:widowControl/>
              <w:autoSpaceDE/>
              <w:autoSpaceDN/>
              <w:spacing w:line="360" w:lineRule="auto"/>
              <w:jc w:val="center"/>
              <w:rPr>
                <w:color w:val="000000"/>
                <w:sz w:val="24"/>
                <w:szCs w:val="24"/>
                <w:lang w:val="pt-BR" w:eastAsia="pt-BR"/>
              </w:rPr>
            </w:pPr>
          </w:p>
        </w:tc>
      </w:tr>
      <w:tr w:rsidR="00460DDD" w:rsidRPr="00460DDD" w14:paraId="2FD88DBE" w14:textId="77777777" w:rsidTr="00460DDD">
        <w:trPr>
          <w:trHeight w:val="300"/>
        </w:trPr>
        <w:tc>
          <w:tcPr>
            <w:tcW w:w="5665" w:type="dxa"/>
            <w:shd w:val="clear" w:color="auto" w:fill="auto"/>
            <w:hideMark/>
          </w:tcPr>
          <w:p w14:paraId="3FA6E753"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Parcialmente</w:t>
            </w:r>
          </w:p>
        </w:tc>
        <w:tc>
          <w:tcPr>
            <w:tcW w:w="500" w:type="dxa"/>
            <w:shd w:val="clear" w:color="auto" w:fill="auto"/>
            <w:noWrap/>
            <w:vAlign w:val="center"/>
            <w:hideMark/>
          </w:tcPr>
          <w:p w14:paraId="01052FE7"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2</w:t>
            </w:r>
          </w:p>
        </w:tc>
        <w:tc>
          <w:tcPr>
            <w:tcW w:w="680" w:type="dxa"/>
            <w:shd w:val="clear" w:color="auto" w:fill="auto"/>
            <w:noWrap/>
            <w:vAlign w:val="center"/>
            <w:hideMark/>
          </w:tcPr>
          <w:p w14:paraId="3F0B4EBD"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11,1</w:t>
            </w:r>
          </w:p>
        </w:tc>
      </w:tr>
      <w:tr w:rsidR="00460DDD" w:rsidRPr="00460DDD" w14:paraId="37727992" w14:textId="77777777" w:rsidTr="00460DDD">
        <w:trPr>
          <w:trHeight w:val="300"/>
        </w:trPr>
        <w:tc>
          <w:tcPr>
            <w:tcW w:w="5665" w:type="dxa"/>
            <w:shd w:val="clear" w:color="auto" w:fill="auto"/>
            <w:hideMark/>
          </w:tcPr>
          <w:p w14:paraId="21C2723D"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Sim</w:t>
            </w:r>
          </w:p>
        </w:tc>
        <w:tc>
          <w:tcPr>
            <w:tcW w:w="500" w:type="dxa"/>
            <w:shd w:val="clear" w:color="auto" w:fill="auto"/>
            <w:noWrap/>
            <w:vAlign w:val="center"/>
            <w:hideMark/>
          </w:tcPr>
          <w:p w14:paraId="3BA55B30"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16</w:t>
            </w:r>
          </w:p>
        </w:tc>
        <w:tc>
          <w:tcPr>
            <w:tcW w:w="680" w:type="dxa"/>
            <w:shd w:val="clear" w:color="auto" w:fill="auto"/>
            <w:noWrap/>
            <w:vAlign w:val="center"/>
            <w:hideMark/>
          </w:tcPr>
          <w:p w14:paraId="51A80FC9"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88,9</w:t>
            </w:r>
          </w:p>
        </w:tc>
      </w:tr>
      <w:tr w:rsidR="00460DDD" w:rsidRPr="00460DDD" w14:paraId="349DD5E9" w14:textId="77777777" w:rsidTr="00460DDD">
        <w:trPr>
          <w:trHeight w:val="58"/>
        </w:trPr>
        <w:tc>
          <w:tcPr>
            <w:tcW w:w="5665" w:type="dxa"/>
            <w:shd w:val="clear" w:color="auto" w:fill="auto"/>
            <w:hideMark/>
          </w:tcPr>
          <w:p w14:paraId="3DAEB0ED" w14:textId="77777777" w:rsidR="00460DDD" w:rsidRPr="00460DDD" w:rsidRDefault="00460DDD" w:rsidP="00047E90">
            <w:pPr>
              <w:widowControl/>
              <w:autoSpaceDE/>
              <w:autoSpaceDN/>
              <w:spacing w:line="360" w:lineRule="auto"/>
              <w:rPr>
                <w:b/>
                <w:bCs/>
                <w:color w:val="000000"/>
                <w:sz w:val="24"/>
                <w:szCs w:val="24"/>
                <w:lang w:val="pt-BR" w:eastAsia="pt-BR"/>
              </w:rPr>
            </w:pPr>
            <w:r w:rsidRPr="00460DDD">
              <w:rPr>
                <w:b/>
                <w:bCs/>
                <w:color w:val="000000"/>
                <w:sz w:val="24"/>
                <w:szCs w:val="24"/>
                <w:lang w:val="pt-BR" w:eastAsia="pt-BR"/>
              </w:rPr>
              <w:t>Catadores</w:t>
            </w:r>
          </w:p>
        </w:tc>
        <w:tc>
          <w:tcPr>
            <w:tcW w:w="500" w:type="dxa"/>
            <w:shd w:val="clear" w:color="auto" w:fill="auto"/>
            <w:noWrap/>
            <w:vAlign w:val="center"/>
            <w:hideMark/>
          </w:tcPr>
          <w:p w14:paraId="71C65A99" w14:textId="7B260619" w:rsidR="00460DDD" w:rsidRPr="00460DDD" w:rsidRDefault="00460DDD" w:rsidP="00047E90">
            <w:pPr>
              <w:widowControl/>
              <w:autoSpaceDE/>
              <w:autoSpaceDN/>
              <w:spacing w:line="360" w:lineRule="auto"/>
              <w:jc w:val="center"/>
              <w:rPr>
                <w:color w:val="000000"/>
                <w:sz w:val="24"/>
                <w:szCs w:val="24"/>
                <w:lang w:val="pt-BR" w:eastAsia="pt-BR"/>
              </w:rPr>
            </w:pPr>
          </w:p>
        </w:tc>
        <w:tc>
          <w:tcPr>
            <w:tcW w:w="680" w:type="dxa"/>
            <w:shd w:val="clear" w:color="auto" w:fill="auto"/>
            <w:noWrap/>
            <w:vAlign w:val="center"/>
            <w:hideMark/>
          </w:tcPr>
          <w:p w14:paraId="618E8C00" w14:textId="7CC4D4B4" w:rsidR="00460DDD" w:rsidRPr="00460DDD" w:rsidRDefault="00460DDD" w:rsidP="00047E90">
            <w:pPr>
              <w:widowControl/>
              <w:autoSpaceDE/>
              <w:autoSpaceDN/>
              <w:spacing w:line="360" w:lineRule="auto"/>
              <w:jc w:val="center"/>
              <w:rPr>
                <w:color w:val="000000"/>
                <w:sz w:val="24"/>
                <w:szCs w:val="24"/>
                <w:lang w:val="pt-BR" w:eastAsia="pt-BR"/>
              </w:rPr>
            </w:pPr>
          </w:p>
        </w:tc>
      </w:tr>
      <w:tr w:rsidR="00460DDD" w:rsidRPr="00460DDD" w14:paraId="6C875627" w14:textId="77777777" w:rsidTr="00460DDD">
        <w:trPr>
          <w:trHeight w:val="58"/>
        </w:trPr>
        <w:tc>
          <w:tcPr>
            <w:tcW w:w="5665" w:type="dxa"/>
            <w:shd w:val="clear" w:color="auto" w:fill="auto"/>
            <w:hideMark/>
          </w:tcPr>
          <w:p w14:paraId="2624136E"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Não</w:t>
            </w:r>
          </w:p>
        </w:tc>
        <w:tc>
          <w:tcPr>
            <w:tcW w:w="500" w:type="dxa"/>
            <w:shd w:val="clear" w:color="auto" w:fill="auto"/>
            <w:noWrap/>
            <w:vAlign w:val="center"/>
            <w:hideMark/>
          </w:tcPr>
          <w:p w14:paraId="510A16E3"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4</w:t>
            </w:r>
          </w:p>
        </w:tc>
        <w:tc>
          <w:tcPr>
            <w:tcW w:w="680" w:type="dxa"/>
            <w:shd w:val="clear" w:color="auto" w:fill="auto"/>
            <w:noWrap/>
            <w:vAlign w:val="center"/>
            <w:hideMark/>
          </w:tcPr>
          <w:p w14:paraId="0B1CD796"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22,2</w:t>
            </w:r>
          </w:p>
        </w:tc>
      </w:tr>
      <w:tr w:rsidR="00460DDD" w:rsidRPr="00460DDD" w14:paraId="6F438DE3" w14:textId="77777777" w:rsidTr="00460DDD">
        <w:trPr>
          <w:trHeight w:val="288"/>
        </w:trPr>
        <w:tc>
          <w:tcPr>
            <w:tcW w:w="5665" w:type="dxa"/>
            <w:shd w:val="clear" w:color="auto" w:fill="auto"/>
            <w:hideMark/>
          </w:tcPr>
          <w:p w14:paraId="1F010D02"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Parcialmente</w:t>
            </w:r>
          </w:p>
        </w:tc>
        <w:tc>
          <w:tcPr>
            <w:tcW w:w="500" w:type="dxa"/>
            <w:shd w:val="clear" w:color="auto" w:fill="auto"/>
            <w:noWrap/>
            <w:vAlign w:val="center"/>
            <w:hideMark/>
          </w:tcPr>
          <w:p w14:paraId="065CBC81"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w:t>
            </w:r>
          </w:p>
        </w:tc>
        <w:tc>
          <w:tcPr>
            <w:tcW w:w="680" w:type="dxa"/>
            <w:shd w:val="clear" w:color="auto" w:fill="auto"/>
            <w:noWrap/>
            <w:vAlign w:val="center"/>
            <w:hideMark/>
          </w:tcPr>
          <w:p w14:paraId="2EB84BE0"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27,8</w:t>
            </w:r>
          </w:p>
        </w:tc>
      </w:tr>
      <w:tr w:rsidR="00460DDD" w:rsidRPr="00460DDD" w14:paraId="70F0651E" w14:textId="77777777" w:rsidTr="00460DDD">
        <w:trPr>
          <w:trHeight w:val="300"/>
        </w:trPr>
        <w:tc>
          <w:tcPr>
            <w:tcW w:w="5665" w:type="dxa"/>
            <w:shd w:val="clear" w:color="auto" w:fill="auto"/>
            <w:hideMark/>
          </w:tcPr>
          <w:p w14:paraId="0DA7428A"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Sim</w:t>
            </w:r>
          </w:p>
        </w:tc>
        <w:tc>
          <w:tcPr>
            <w:tcW w:w="500" w:type="dxa"/>
            <w:shd w:val="clear" w:color="auto" w:fill="auto"/>
            <w:noWrap/>
            <w:vAlign w:val="center"/>
            <w:hideMark/>
          </w:tcPr>
          <w:p w14:paraId="64B07263"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9</w:t>
            </w:r>
          </w:p>
        </w:tc>
        <w:tc>
          <w:tcPr>
            <w:tcW w:w="680" w:type="dxa"/>
            <w:shd w:val="clear" w:color="auto" w:fill="auto"/>
            <w:noWrap/>
            <w:vAlign w:val="center"/>
            <w:hideMark/>
          </w:tcPr>
          <w:p w14:paraId="60211A07"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50,0</w:t>
            </w:r>
          </w:p>
        </w:tc>
      </w:tr>
      <w:tr w:rsidR="00460DDD" w:rsidRPr="00460DDD" w14:paraId="5C2AE96F" w14:textId="77777777" w:rsidTr="00460DDD">
        <w:trPr>
          <w:trHeight w:val="130"/>
        </w:trPr>
        <w:tc>
          <w:tcPr>
            <w:tcW w:w="5665" w:type="dxa"/>
            <w:shd w:val="clear" w:color="auto" w:fill="auto"/>
            <w:hideMark/>
          </w:tcPr>
          <w:p w14:paraId="5164234A" w14:textId="77777777" w:rsidR="00460DDD" w:rsidRPr="00460DDD" w:rsidRDefault="00460DDD" w:rsidP="00047E90">
            <w:pPr>
              <w:widowControl/>
              <w:autoSpaceDE/>
              <w:autoSpaceDN/>
              <w:spacing w:line="360" w:lineRule="auto"/>
              <w:rPr>
                <w:b/>
                <w:bCs/>
                <w:color w:val="000000"/>
                <w:sz w:val="24"/>
                <w:szCs w:val="24"/>
                <w:lang w:val="pt-BR" w:eastAsia="pt-BR"/>
              </w:rPr>
            </w:pPr>
            <w:r w:rsidRPr="00460DDD">
              <w:rPr>
                <w:b/>
                <w:bCs/>
                <w:color w:val="000000"/>
                <w:sz w:val="24"/>
                <w:szCs w:val="24"/>
                <w:lang w:val="pt-BR" w:eastAsia="pt-BR"/>
              </w:rPr>
              <w:t>Monitoramento de saúde</w:t>
            </w:r>
          </w:p>
        </w:tc>
        <w:tc>
          <w:tcPr>
            <w:tcW w:w="500" w:type="dxa"/>
            <w:shd w:val="clear" w:color="auto" w:fill="auto"/>
            <w:noWrap/>
            <w:vAlign w:val="center"/>
            <w:hideMark/>
          </w:tcPr>
          <w:p w14:paraId="09AA9D3C" w14:textId="262105B0" w:rsidR="00460DDD" w:rsidRPr="00460DDD" w:rsidRDefault="00460DDD" w:rsidP="00047E90">
            <w:pPr>
              <w:widowControl/>
              <w:autoSpaceDE/>
              <w:autoSpaceDN/>
              <w:spacing w:line="360" w:lineRule="auto"/>
              <w:jc w:val="center"/>
              <w:rPr>
                <w:color w:val="000000"/>
                <w:sz w:val="24"/>
                <w:szCs w:val="24"/>
                <w:lang w:val="pt-BR" w:eastAsia="pt-BR"/>
              </w:rPr>
            </w:pPr>
          </w:p>
        </w:tc>
        <w:tc>
          <w:tcPr>
            <w:tcW w:w="680" w:type="dxa"/>
            <w:shd w:val="clear" w:color="auto" w:fill="auto"/>
            <w:noWrap/>
            <w:vAlign w:val="center"/>
            <w:hideMark/>
          </w:tcPr>
          <w:p w14:paraId="715EC7FB" w14:textId="5BE3F3FF" w:rsidR="00460DDD" w:rsidRPr="00460DDD" w:rsidRDefault="00460DDD" w:rsidP="00047E90">
            <w:pPr>
              <w:widowControl/>
              <w:autoSpaceDE/>
              <w:autoSpaceDN/>
              <w:spacing w:line="360" w:lineRule="auto"/>
              <w:jc w:val="center"/>
              <w:rPr>
                <w:color w:val="000000"/>
                <w:sz w:val="24"/>
                <w:szCs w:val="24"/>
                <w:lang w:val="pt-BR" w:eastAsia="pt-BR"/>
              </w:rPr>
            </w:pPr>
          </w:p>
        </w:tc>
      </w:tr>
      <w:tr w:rsidR="00460DDD" w:rsidRPr="00460DDD" w14:paraId="08D3F3E5" w14:textId="77777777" w:rsidTr="00460DDD">
        <w:trPr>
          <w:trHeight w:val="300"/>
        </w:trPr>
        <w:tc>
          <w:tcPr>
            <w:tcW w:w="5665" w:type="dxa"/>
            <w:shd w:val="clear" w:color="auto" w:fill="auto"/>
            <w:hideMark/>
          </w:tcPr>
          <w:p w14:paraId="754A2DE6"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Não</w:t>
            </w:r>
          </w:p>
        </w:tc>
        <w:tc>
          <w:tcPr>
            <w:tcW w:w="500" w:type="dxa"/>
            <w:shd w:val="clear" w:color="auto" w:fill="auto"/>
            <w:noWrap/>
            <w:vAlign w:val="center"/>
            <w:hideMark/>
          </w:tcPr>
          <w:p w14:paraId="39CFC3F2"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8</w:t>
            </w:r>
          </w:p>
        </w:tc>
        <w:tc>
          <w:tcPr>
            <w:tcW w:w="680" w:type="dxa"/>
            <w:shd w:val="clear" w:color="auto" w:fill="auto"/>
            <w:noWrap/>
            <w:vAlign w:val="center"/>
            <w:hideMark/>
          </w:tcPr>
          <w:p w14:paraId="729CEA43"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44,4</w:t>
            </w:r>
          </w:p>
        </w:tc>
      </w:tr>
      <w:tr w:rsidR="00460DDD" w:rsidRPr="00460DDD" w14:paraId="07425130" w14:textId="77777777" w:rsidTr="00460DDD">
        <w:trPr>
          <w:trHeight w:val="58"/>
        </w:trPr>
        <w:tc>
          <w:tcPr>
            <w:tcW w:w="5665" w:type="dxa"/>
            <w:shd w:val="clear" w:color="auto" w:fill="auto"/>
            <w:hideMark/>
          </w:tcPr>
          <w:p w14:paraId="46404CDE"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Parcialmente</w:t>
            </w:r>
          </w:p>
        </w:tc>
        <w:tc>
          <w:tcPr>
            <w:tcW w:w="500" w:type="dxa"/>
            <w:shd w:val="clear" w:color="auto" w:fill="auto"/>
            <w:noWrap/>
            <w:vAlign w:val="center"/>
            <w:hideMark/>
          </w:tcPr>
          <w:p w14:paraId="2BD1AEBA"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7</w:t>
            </w:r>
          </w:p>
        </w:tc>
        <w:tc>
          <w:tcPr>
            <w:tcW w:w="680" w:type="dxa"/>
            <w:shd w:val="clear" w:color="auto" w:fill="auto"/>
            <w:noWrap/>
            <w:vAlign w:val="center"/>
            <w:hideMark/>
          </w:tcPr>
          <w:p w14:paraId="2628D363"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38,9</w:t>
            </w:r>
          </w:p>
        </w:tc>
      </w:tr>
      <w:tr w:rsidR="00460DDD" w:rsidRPr="00460DDD" w14:paraId="5E0AF647" w14:textId="77777777" w:rsidTr="00460DDD">
        <w:trPr>
          <w:trHeight w:val="58"/>
        </w:trPr>
        <w:tc>
          <w:tcPr>
            <w:tcW w:w="5665" w:type="dxa"/>
            <w:shd w:val="clear" w:color="auto" w:fill="auto"/>
            <w:hideMark/>
          </w:tcPr>
          <w:p w14:paraId="16315836"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Sim</w:t>
            </w:r>
          </w:p>
        </w:tc>
        <w:tc>
          <w:tcPr>
            <w:tcW w:w="500" w:type="dxa"/>
            <w:shd w:val="clear" w:color="auto" w:fill="auto"/>
            <w:noWrap/>
            <w:vAlign w:val="center"/>
            <w:hideMark/>
          </w:tcPr>
          <w:p w14:paraId="7E11C4D0"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3</w:t>
            </w:r>
          </w:p>
        </w:tc>
        <w:tc>
          <w:tcPr>
            <w:tcW w:w="680" w:type="dxa"/>
            <w:shd w:val="clear" w:color="auto" w:fill="auto"/>
            <w:noWrap/>
            <w:vAlign w:val="center"/>
            <w:hideMark/>
          </w:tcPr>
          <w:p w14:paraId="0AB85E6B"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16,7</w:t>
            </w:r>
          </w:p>
        </w:tc>
      </w:tr>
      <w:tr w:rsidR="00460DDD" w:rsidRPr="00460DDD" w14:paraId="7B08B082" w14:textId="77777777" w:rsidTr="00460DDD">
        <w:trPr>
          <w:trHeight w:val="58"/>
        </w:trPr>
        <w:tc>
          <w:tcPr>
            <w:tcW w:w="5665" w:type="dxa"/>
            <w:shd w:val="clear" w:color="auto" w:fill="auto"/>
            <w:hideMark/>
          </w:tcPr>
          <w:p w14:paraId="6596DF9A" w14:textId="77777777" w:rsidR="00460DDD" w:rsidRPr="00460DDD" w:rsidRDefault="00460DDD" w:rsidP="00047E90">
            <w:pPr>
              <w:widowControl/>
              <w:autoSpaceDE/>
              <w:autoSpaceDN/>
              <w:spacing w:line="360" w:lineRule="auto"/>
              <w:rPr>
                <w:b/>
                <w:bCs/>
                <w:color w:val="000000"/>
                <w:sz w:val="24"/>
                <w:szCs w:val="24"/>
                <w:lang w:val="pt-BR" w:eastAsia="pt-BR"/>
              </w:rPr>
            </w:pPr>
            <w:r w:rsidRPr="00460DDD">
              <w:rPr>
                <w:b/>
                <w:bCs/>
                <w:color w:val="000000"/>
                <w:sz w:val="24"/>
                <w:szCs w:val="24"/>
                <w:lang w:val="pt-BR" w:eastAsia="pt-BR"/>
              </w:rPr>
              <w:t>Destinação final RSU</w:t>
            </w:r>
          </w:p>
        </w:tc>
        <w:tc>
          <w:tcPr>
            <w:tcW w:w="500" w:type="dxa"/>
            <w:shd w:val="clear" w:color="auto" w:fill="auto"/>
            <w:noWrap/>
            <w:vAlign w:val="center"/>
            <w:hideMark/>
          </w:tcPr>
          <w:p w14:paraId="680D00AB" w14:textId="53146D47" w:rsidR="00460DDD" w:rsidRPr="00460DDD" w:rsidRDefault="00460DDD" w:rsidP="00047E90">
            <w:pPr>
              <w:widowControl/>
              <w:autoSpaceDE/>
              <w:autoSpaceDN/>
              <w:spacing w:line="360" w:lineRule="auto"/>
              <w:jc w:val="center"/>
              <w:rPr>
                <w:color w:val="000000"/>
                <w:sz w:val="24"/>
                <w:szCs w:val="24"/>
                <w:lang w:val="pt-BR" w:eastAsia="pt-BR"/>
              </w:rPr>
            </w:pPr>
          </w:p>
        </w:tc>
        <w:tc>
          <w:tcPr>
            <w:tcW w:w="680" w:type="dxa"/>
            <w:shd w:val="clear" w:color="auto" w:fill="auto"/>
            <w:noWrap/>
            <w:vAlign w:val="center"/>
            <w:hideMark/>
          </w:tcPr>
          <w:p w14:paraId="55DF8546" w14:textId="51B12F5C" w:rsidR="00460DDD" w:rsidRPr="00460DDD" w:rsidRDefault="00460DDD" w:rsidP="00047E90">
            <w:pPr>
              <w:widowControl/>
              <w:autoSpaceDE/>
              <w:autoSpaceDN/>
              <w:spacing w:line="360" w:lineRule="auto"/>
              <w:jc w:val="center"/>
              <w:rPr>
                <w:color w:val="000000"/>
                <w:sz w:val="24"/>
                <w:szCs w:val="24"/>
                <w:lang w:val="pt-BR" w:eastAsia="pt-BR"/>
              </w:rPr>
            </w:pPr>
          </w:p>
        </w:tc>
      </w:tr>
      <w:tr w:rsidR="00460DDD" w:rsidRPr="00460DDD" w14:paraId="0A55FC9F" w14:textId="77777777" w:rsidTr="00460DDD">
        <w:trPr>
          <w:trHeight w:val="58"/>
        </w:trPr>
        <w:tc>
          <w:tcPr>
            <w:tcW w:w="5665" w:type="dxa"/>
            <w:shd w:val="clear" w:color="auto" w:fill="auto"/>
            <w:hideMark/>
          </w:tcPr>
          <w:p w14:paraId="17686284"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Aterro controlado</w:t>
            </w:r>
          </w:p>
        </w:tc>
        <w:tc>
          <w:tcPr>
            <w:tcW w:w="500" w:type="dxa"/>
            <w:shd w:val="clear" w:color="auto" w:fill="auto"/>
            <w:noWrap/>
            <w:vAlign w:val="center"/>
            <w:hideMark/>
          </w:tcPr>
          <w:p w14:paraId="1A981C06"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w:t>
            </w:r>
          </w:p>
        </w:tc>
        <w:tc>
          <w:tcPr>
            <w:tcW w:w="680" w:type="dxa"/>
            <w:shd w:val="clear" w:color="auto" w:fill="auto"/>
            <w:noWrap/>
            <w:vAlign w:val="center"/>
            <w:hideMark/>
          </w:tcPr>
          <w:p w14:paraId="5877E340"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27,8</w:t>
            </w:r>
          </w:p>
        </w:tc>
      </w:tr>
      <w:tr w:rsidR="00460DDD" w:rsidRPr="00460DDD" w14:paraId="6F5E8D94" w14:textId="77777777" w:rsidTr="00460DDD">
        <w:trPr>
          <w:trHeight w:val="300"/>
        </w:trPr>
        <w:tc>
          <w:tcPr>
            <w:tcW w:w="5665" w:type="dxa"/>
            <w:shd w:val="clear" w:color="auto" w:fill="auto"/>
            <w:hideMark/>
          </w:tcPr>
          <w:p w14:paraId="1FC92898" w14:textId="77777777"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Aterro sanitário próprio</w:t>
            </w:r>
          </w:p>
        </w:tc>
        <w:tc>
          <w:tcPr>
            <w:tcW w:w="500" w:type="dxa"/>
            <w:shd w:val="clear" w:color="auto" w:fill="auto"/>
            <w:noWrap/>
            <w:vAlign w:val="center"/>
            <w:hideMark/>
          </w:tcPr>
          <w:p w14:paraId="032717FA"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1</w:t>
            </w:r>
          </w:p>
        </w:tc>
        <w:tc>
          <w:tcPr>
            <w:tcW w:w="680" w:type="dxa"/>
            <w:shd w:val="clear" w:color="auto" w:fill="auto"/>
            <w:noWrap/>
            <w:vAlign w:val="center"/>
            <w:hideMark/>
          </w:tcPr>
          <w:p w14:paraId="0DCF939C"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5,6</w:t>
            </w:r>
          </w:p>
        </w:tc>
      </w:tr>
      <w:tr w:rsidR="00460DDD" w:rsidRPr="00460DDD" w14:paraId="591CAFA2" w14:textId="77777777" w:rsidTr="00460DDD">
        <w:trPr>
          <w:trHeight w:val="58"/>
        </w:trPr>
        <w:tc>
          <w:tcPr>
            <w:tcW w:w="5665" w:type="dxa"/>
            <w:shd w:val="clear" w:color="auto" w:fill="auto"/>
            <w:hideMark/>
          </w:tcPr>
          <w:p w14:paraId="196A69AB" w14:textId="5EFA2B85"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lastRenderedPageBreak/>
              <w:t>Lixão (disposição a “céu ab</w:t>
            </w:r>
            <w:r>
              <w:rPr>
                <w:color w:val="000000"/>
                <w:sz w:val="24"/>
                <w:szCs w:val="24"/>
                <w:lang w:val="pt-BR" w:eastAsia="pt-BR"/>
              </w:rPr>
              <w:t>erto”)</w:t>
            </w:r>
          </w:p>
        </w:tc>
        <w:tc>
          <w:tcPr>
            <w:tcW w:w="500" w:type="dxa"/>
            <w:shd w:val="clear" w:color="auto" w:fill="auto"/>
            <w:noWrap/>
            <w:vAlign w:val="center"/>
            <w:hideMark/>
          </w:tcPr>
          <w:p w14:paraId="22648530"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12</w:t>
            </w:r>
          </w:p>
        </w:tc>
        <w:tc>
          <w:tcPr>
            <w:tcW w:w="680" w:type="dxa"/>
            <w:shd w:val="clear" w:color="auto" w:fill="auto"/>
            <w:noWrap/>
            <w:vAlign w:val="center"/>
            <w:hideMark/>
          </w:tcPr>
          <w:p w14:paraId="05564188"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66,7</w:t>
            </w:r>
          </w:p>
        </w:tc>
      </w:tr>
      <w:tr w:rsidR="00460DDD" w:rsidRPr="00460DDD" w14:paraId="02BA3924" w14:textId="77777777" w:rsidTr="00460DDD">
        <w:trPr>
          <w:trHeight w:val="58"/>
        </w:trPr>
        <w:tc>
          <w:tcPr>
            <w:tcW w:w="5665" w:type="dxa"/>
            <w:shd w:val="clear" w:color="auto" w:fill="auto"/>
            <w:hideMark/>
          </w:tcPr>
          <w:p w14:paraId="3C8AC0A7" w14:textId="77777777" w:rsidR="00460DDD" w:rsidRPr="00460DDD" w:rsidRDefault="00460DDD" w:rsidP="00047E90">
            <w:pPr>
              <w:widowControl/>
              <w:autoSpaceDE/>
              <w:autoSpaceDN/>
              <w:spacing w:line="360" w:lineRule="auto"/>
              <w:rPr>
                <w:b/>
                <w:bCs/>
                <w:color w:val="000000"/>
                <w:sz w:val="24"/>
                <w:szCs w:val="24"/>
                <w:lang w:val="pt-BR" w:eastAsia="pt-BR"/>
              </w:rPr>
            </w:pPr>
            <w:r w:rsidRPr="00460DDD">
              <w:rPr>
                <w:b/>
                <w:bCs/>
                <w:color w:val="000000"/>
                <w:sz w:val="24"/>
                <w:szCs w:val="24"/>
                <w:lang w:val="pt-BR" w:eastAsia="pt-BR"/>
              </w:rPr>
              <w:t>Dificuldades destinação RSU</w:t>
            </w:r>
          </w:p>
        </w:tc>
        <w:tc>
          <w:tcPr>
            <w:tcW w:w="500" w:type="dxa"/>
            <w:shd w:val="clear" w:color="auto" w:fill="auto"/>
            <w:noWrap/>
            <w:vAlign w:val="center"/>
            <w:hideMark/>
          </w:tcPr>
          <w:p w14:paraId="320DA89A" w14:textId="1572ABD9" w:rsidR="00460DDD" w:rsidRPr="00460DDD" w:rsidRDefault="00460DDD" w:rsidP="00047E90">
            <w:pPr>
              <w:widowControl/>
              <w:autoSpaceDE/>
              <w:autoSpaceDN/>
              <w:spacing w:line="360" w:lineRule="auto"/>
              <w:jc w:val="center"/>
              <w:rPr>
                <w:color w:val="000000"/>
                <w:sz w:val="24"/>
                <w:szCs w:val="24"/>
                <w:lang w:val="pt-BR" w:eastAsia="pt-BR"/>
              </w:rPr>
            </w:pPr>
          </w:p>
        </w:tc>
        <w:tc>
          <w:tcPr>
            <w:tcW w:w="680" w:type="dxa"/>
            <w:shd w:val="clear" w:color="auto" w:fill="auto"/>
            <w:noWrap/>
            <w:vAlign w:val="center"/>
            <w:hideMark/>
          </w:tcPr>
          <w:p w14:paraId="5109DEEE" w14:textId="6B376BFC" w:rsidR="00460DDD" w:rsidRPr="00460DDD" w:rsidRDefault="00460DDD" w:rsidP="00047E90">
            <w:pPr>
              <w:widowControl/>
              <w:autoSpaceDE/>
              <w:autoSpaceDN/>
              <w:spacing w:line="360" w:lineRule="auto"/>
              <w:jc w:val="center"/>
              <w:rPr>
                <w:color w:val="000000"/>
                <w:sz w:val="24"/>
                <w:szCs w:val="24"/>
                <w:lang w:val="pt-BR" w:eastAsia="pt-BR"/>
              </w:rPr>
            </w:pPr>
          </w:p>
        </w:tc>
      </w:tr>
      <w:tr w:rsidR="00460DDD" w:rsidRPr="00460DDD" w14:paraId="0D4EDDEC" w14:textId="77777777" w:rsidTr="00460DDD">
        <w:trPr>
          <w:trHeight w:val="58"/>
        </w:trPr>
        <w:tc>
          <w:tcPr>
            <w:tcW w:w="5665" w:type="dxa"/>
            <w:shd w:val="clear" w:color="auto" w:fill="auto"/>
            <w:hideMark/>
          </w:tcPr>
          <w:p w14:paraId="3D2EC40A" w14:textId="65A46D7E"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 xml:space="preserve">Ausência </w:t>
            </w:r>
            <w:r w:rsidRPr="00460DDD">
              <w:rPr>
                <w:color w:val="000000"/>
                <w:sz w:val="24"/>
                <w:szCs w:val="24"/>
                <w:lang w:val="pt-BR" w:eastAsia="pt-BR"/>
              </w:rPr>
              <w:t>de políticas para gestão RSU</w:t>
            </w:r>
          </w:p>
        </w:tc>
        <w:tc>
          <w:tcPr>
            <w:tcW w:w="500" w:type="dxa"/>
            <w:shd w:val="clear" w:color="auto" w:fill="auto"/>
            <w:noWrap/>
            <w:vAlign w:val="center"/>
            <w:hideMark/>
          </w:tcPr>
          <w:p w14:paraId="462382AF"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9</w:t>
            </w:r>
          </w:p>
        </w:tc>
        <w:tc>
          <w:tcPr>
            <w:tcW w:w="680" w:type="dxa"/>
            <w:shd w:val="clear" w:color="auto" w:fill="auto"/>
            <w:noWrap/>
            <w:vAlign w:val="center"/>
            <w:hideMark/>
          </w:tcPr>
          <w:p w14:paraId="5B595641"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50,0</w:t>
            </w:r>
          </w:p>
        </w:tc>
      </w:tr>
      <w:tr w:rsidR="00460DDD" w:rsidRPr="00460DDD" w14:paraId="6B114F18" w14:textId="77777777" w:rsidTr="00460DDD">
        <w:trPr>
          <w:trHeight w:val="219"/>
        </w:trPr>
        <w:tc>
          <w:tcPr>
            <w:tcW w:w="5665" w:type="dxa"/>
            <w:shd w:val="clear" w:color="auto" w:fill="auto"/>
            <w:hideMark/>
          </w:tcPr>
          <w:p w14:paraId="25A46633" w14:textId="33D15C3F"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 xml:space="preserve">Comportamento </w:t>
            </w:r>
            <w:r w:rsidRPr="00460DDD">
              <w:rPr>
                <w:color w:val="000000"/>
                <w:sz w:val="24"/>
                <w:szCs w:val="24"/>
                <w:lang w:val="pt-BR" w:eastAsia="pt-BR"/>
              </w:rPr>
              <w:t>pouco cooperativo dos residentes no município</w:t>
            </w:r>
          </w:p>
        </w:tc>
        <w:tc>
          <w:tcPr>
            <w:tcW w:w="500" w:type="dxa"/>
            <w:shd w:val="clear" w:color="auto" w:fill="auto"/>
            <w:noWrap/>
            <w:vAlign w:val="center"/>
            <w:hideMark/>
          </w:tcPr>
          <w:p w14:paraId="2EF18699"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3</w:t>
            </w:r>
          </w:p>
        </w:tc>
        <w:tc>
          <w:tcPr>
            <w:tcW w:w="680" w:type="dxa"/>
            <w:shd w:val="clear" w:color="auto" w:fill="auto"/>
            <w:noWrap/>
            <w:vAlign w:val="center"/>
            <w:hideMark/>
          </w:tcPr>
          <w:p w14:paraId="02C56DC8"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16,7</w:t>
            </w:r>
          </w:p>
        </w:tc>
      </w:tr>
      <w:tr w:rsidR="00460DDD" w:rsidRPr="00460DDD" w14:paraId="117F4DF8" w14:textId="77777777" w:rsidTr="00460DDD">
        <w:trPr>
          <w:trHeight w:val="58"/>
        </w:trPr>
        <w:tc>
          <w:tcPr>
            <w:tcW w:w="5665" w:type="dxa"/>
            <w:shd w:val="clear" w:color="auto" w:fill="auto"/>
            <w:hideMark/>
          </w:tcPr>
          <w:p w14:paraId="121449D4" w14:textId="6B6FB630"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 xml:space="preserve">Falta </w:t>
            </w:r>
            <w:r w:rsidRPr="00460DDD">
              <w:rPr>
                <w:color w:val="000000"/>
                <w:sz w:val="24"/>
                <w:szCs w:val="24"/>
                <w:lang w:val="pt-BR" w:eastAsia="pt-BR"/>
              </w:rPr>
              <w:t>de veículos adequados para transportar o RSU ao “lixão” ou</w:t>
            </w:r>
            <w:r>
              <w:rPr>
                <w:color w:val="000000"/>
                <w:sz w:val="24"/>
                <w:szCs w:val="24"/>
                <w:lang w:val="pt-BR" w:eastAsia="pt-BR"/>
              </w:rPr>
              <w:t xml:space="preserve"> aterro</w:t>
            </w:r>
          </w:p>
        </w:tc>
        <w:tc>
          <w:tcPr>
            <w:tcW w:w="500" w:type="dxa"/>
            <w:shd w:val="clear" w:color="auto" w:fill="auto"/>
            <w:noWrap/>
            <w:vAlign w:val="center"/>
            <w:hideMark/>
          </w:tcPr>
          <w:p w14:paraId="2F610908"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w:t>
            </w:r>
          </w:p>
        </w:tc>
        <w:tc>
          <w:tcPr>
            <w:tcW w:w="680" w:type="dxa"/>
            <w:shd w:val="clear" w:color="auto" w:fill="auto"/>
            <w:noWrap/>
            <w:vAlign w:val="center"/>
            <w:hideMark/>
          </w:tcPr>
          <w:p w14:paraId="38A44888"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27,8</w:t>
            </w:r>
          </w:p>
        </w:tc>
      </w:tr>
      <w:tr w:rsidR="00460DDD" w:rsidRPr="00460DDD" w14:paraId="3F33C156" w14:textId="77777777" w:rsidTr="00460DDD">
        <w:trPr>
          <w:trHeight w:val="58"/>
        </w:trPr>
        <w:tc>
          <w:tcPr>
            <w:tcW w:w="5665" w:type="dxa"/>
            <w:tcBorders>
              <w:bottom w:val="single" w:sz="4" w:space="0" w:color="auto"/>
            </w:tcBorders>
            <w:shd w:val="clear" w:color="auto" w:fill="auto"/>
            <w:hideMark/>
          </w:tcPr>
          <w:p w14:paraId="5BDEDE49" w14:textId="5C414AA4" w:rsidR="00460DDD" w:rsidRPr="00460DDD" w:rsidRDefault="00460DDD" w:rsidP="00047E90">
            <w:pPr>
              <w:widowControl/>
              <w:autoSpaceDE/>
              <w:autoSpaceDN/>
              <w:spacing w:line="360" w:lineRule="auto"/>
              <w:rPr>
                <w:color w:val="000000"/>
                <w:sz w:val="24"/>
                <w:szCs w:val="24"/>
                <w:lang w:val="pt-BR" w:eastAsia="pt-BR"/>
              </w:rPr>
            </w:pPr>
            <w:r w:rsidRPr="00460DDD">
              <w:rPr>
                <w:color w:val="000000"/>
                <w:sz w:val="24"/>
                <w:szCs w:val="24"/>
                <w:lang w:val="pt-BR" w:eastAsia="pt-BR"/>
              </w:rPr>
              <w:t xml:space="preserve">Grande </w:t>
            </w:r>
            <w:r w:rsidRPr="00460DDD">
              <w:rPr>
                <w:color w:val="000000"/>
                <w:sz w:val="24"/>
                <w:szCs w:val="24"/>
                <w:lang w:val="pt-BR" w:eastAsia="pt-BR"/>
              </w:rPr>
              <w:t>distância da sede municipal ao “lixão” ou aterro</w:t>
            </w:r>
          </w:p>
        </w:tc>
        <w:tc>
          <w:tcPr>
            <w:tcW w:w="500" w:type="dxa"/>
            <w:tcBorders>
              <w:bottom w:val="single" w:sz="4" w:space="0" w:color="auto"/>
            </w:tcBorders>
            <w:shd w:val="clear" w:color="auto" w:fill="auto"/>
            <w:noWrap/>
            <w:vAlign w:val="center"/>
            <w:hideMark/>
          </w:tcPr>
          <w:p w14:paraId="10028365"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1</w:t>
            </w:r>
          </w:p>
        </w:tc>
        <w:tc>
          <w:tcPr>
            <w:tcW w:w="680" w:type="dxa"/>
            <w:tcBorders>
              <w:bottom w:val="single" w:sz="4" w:space="0" w:color="auto"/>
            </w:tcBorders>
            <w:shd w:val="clear" w:color="auto" w:fill="auto"/>
            <w:noWrap/>
            <w:vAlign w:val="center"/>
            <w:hideMark/>
          </w:tcPr>
          <w:p w14:paraId="4B776A3F" w14:textId="77777777" w:rsidR="00460DDD" w:rsidRPr="00460DDD" w:rsidRDefault="00460DDD" w:rsidP="00047E90">
            <w:pPr>
              <w:widowControl/>
              <w:autoSpaceDE/>
              <w:autoSpaceDN/>
              <w:spacing w:line="360" w:lineRule="auto"/>
              <w:jc w:val="center"/>
              <w:rPr>
                <w:color w:val="000000"/>
                <w:sz w:val="24"/>
                <w:szCs w:val="24"/>
                <w:lang w:val="pt-BR" w:eastAsia="pt-BR"/>
              </w:rPr>
            </w:pPr>
            <w:r w:rsidRPr="00460DDD">
              <w:rPr>
                <w:color w:val="000000"/>
                <w:sz w:val="24"/>
                <w:szCs w:val="24"/>
                <w:lang w:val="pt-BR" w:eastAsia="pt-BR"/>
              </w:rPr>
              <w:t>5,6</w:t>
            </w:r>
          </w:p>
        </w:tc>
      </w:tr>
    </w:tbl>
    <w:p w14:paraId="0E8133C2" w14:textId="56D0AE8A" w:rsidR="00460DDD" w:rsidRPr="00460DDD" w:rsidRDefault="00460DDD" w:rsidP="00460DDD">
      <w:pPr>
        <w:pBdr>
          <w:bottom w:val="none" w:sz="0" w:space="8" w:color="000000"/>
        </w:pBdr>
        <w:shd w:val="clear" w:color="auto" w:fill="FFFFFF"/>
        <w:tabs>
          <w:tab w:val="left" w:pos="2500"/>
        </w:tabs>
        <w:spacing w:line="432" w:lineRule="auto"/>
        <w:jc w:val="both"/>
      </w:pPr>
      <w:r w:rsidRPr="00460DDD">
        <w:t>Fonte: dados da pesquisa</w:t>
      </w:r>
    </w:p>
    <w:p w14:paraId="5D145710" w14:textId="2460285F" w:rsidR="003326F5" w:rsidRDefault="003326F5" w:rsidP="003326F5">
      <w:pPr>
        <w:pBdr>
          <w:bottom w:val="none" w:sz="0" w:space="8" w:color="000000"/>
        </w:pBdr>
        <w:shd w:val="clear" w:color="auto" w:fill="FFFFFF"/>
        <w:tabs>
          <w:tab w:val="left" w:pos="2500"/>
        </w:tabs>
        <w:spacing w:line="432" w:lineRule="auto"/>
        <w:ind w:firstLine="700"/>
        <w:jc w:val="both"/>
        <w:rPr>
          <w:sz w:val="24"/>
          <w:szCs w:val="24"/>
        </w:rPr>
      </w:pPr>
      <w:r w:rsidRPr="003326F5">
        <w:rPr>
          <w:sz w:val="24"/>
          <w:szCs w:val="24"/>
        </w:rPr>
        <w:t xml:space="preserve">A análise dos indicadores evidenciou que 66,7% dos municípios utilizam lixões para descarte dos RSU, prática que apresenta sérios riscos ambientais e sanitários. A ausência de aterros sanitários regulares e a utilização de métodos inadequados de disposição final comprometem a saúde pública ao propiciar a proliferação de doenças </w:t>
      </w:r>
      <w:r>
        <w:rPr>
          <w:sz w:val="24"/>
          <w:szCs w:val="24"/>
        </w:rPr>
        <w:t>infectocontagiosas.</w:t>
      </w:r>
    </w:p>
    <w:p w14:paraId="48438AF1" w14:textId="77777777" w:rsidR="00047E90" w:rsidRDefault="00047E90" w:rsidP="00047E90">
      <w:pPr>
        <w:pBdr>
          <w:bottom w:val="none" w:sz="0" w:space="8" w:color="000000"/>
        </w:pBdr>
        <w:shd w:val="clear" w:color="auto" w:fill="FFFFFF"/>
        <w:tabs>
          <w:tab w:val="left" w:pos="2500"/>
        </w:tabs>
        <w:spacing w:line="432" w:lineRule="auto"/>
        <w:jc w:val="both"/>
        <w:rPr>
          <w:sz w:val="24"/>
          <w:szCs w:val="24"/>
        </w:rPr>
      </w:pPr>
    </w:p>
    <w:p w14:paraId="1AC2FF9D" w14:textId="0815C8FE" w:rsidR="00047E90" w:rsidRDefault="00047E90" w:rsidP="00047E90">
      <w:pPr>
        <w:pBdr>
          <w:bottom w:val="none" w:sz="0" w:space="8" w:color="000000"/>
        </w:pBdr>
        <w:shd w:val="clear" w:color="auto" w:fill="FFFFFF"/>
        <w:tabs>
          <w:tab w:val="left" w:pos="2500"/>
        </w:tabs>
        <w:spacing w:line="432" w:lineRule="auto"/>
        <w:jc w:val="both"/>
        <w:rPr>
          <w:sz w:val="24"/>
          <w:szCs w:val="24"/>
        </w:rPr>
      </w:pPr>
      <w:r>
        <w:rPr>
          <w:sz w:val="24"/>
          <w:szCs w:val="24"/>
        </w:rPr>
        <w:t xml:space="preserve">Tabela 2 – Distribuição de frequências das respostas dos gestores sobre </w:t>
      </w:r>
      <w:r w:rsidRPr="00047E90">
        <w:rPr>
          <w:sz w:val="24"/>
          <w:szCs w:val="24"/>
        </w:rPr>
        <w:t>registro/relato de doenças veiculadas com os resíduos sólidos urbanos no município</w:t>
      </w:r>
      <w:r>
        <w:rPr>
          <w:sz w:val="24"/>
          <w:szCs w:val="24"/>
        </w:rPr>
        <w:t>.</w:t>
      </w:r>
    </w:p>
    <w:tbl>
      <w:tblPr>
        <w:tblW w:w="8784" w:type="dxa"/>
        <w:tblCellMar>
          <w:left w:w="70" w:type="dxa"/>
          <w:right w:w="70" w:type="dxa"/>
        </w:tblCellMar>
        <w:tblLook w:val="04A0" w:firstRow="1" w:lastRow="0" w:firstColumn="1" w:lastColumn="0" w:noHBand="0" w:noVBand="1"/>
      </w:tblPr>
      <w:tblGrid>
        <w:gridCol w:w="5293"/>
        <w:gridCol w:w="1207"/>
        <w:gridCol w:w="651"/>
        <w:gridCol w:w="924"/>
        <w:gridCol w:w="709"/>
      </w:tblGrid>
      <w:tr w:rsidR="00047E90" w:rsidRPr="00047E90" w14:paraId="2483298A" w14:textId="77777777" w:rsidTr="00047E90">
        <w:trPr>
          <w:trHeight w:val="269"/>
        </w:trPr>
        <w:tc>
          <w:tcPr>
            <w:tcW w:w="5293" w:type="dxa"/>
            <w:tcBorders>
              <w:top w:val="single" w:sz="4" w:space="0" w:color="auto"/>
              <w:bottom w:val="single" w:sz="4" w:space="0" w:color="auto"/>
            </w:tcBorders>
            <w:shd w:val="clear" w:color="auto" w:fill="auto"/>
            <w:noWrap/>
            <w:vAlign w:val="bottom"/>
            <w:hideMark/>
          </w:tcPr>
          <w:p w14:paraId="63C51360" w14:textId="77777777" w:rsidR="00047E90" w:rsidRPr="00047E90" w:rsidRDefault="00047E90" w:rsidP="00047E90">
            <w:pPr>
              <w:pStyle w:val="SemEspaamento"/>
              <w:spacing w:line="360" w:lineRule="auto"/>
              <w:rPr>
                <w:b/>
                <w:bCs/>
                <w:sz w:val="24"/>
                <w:szCs w:val="24"/>
                <w:lang w:val="pt-BR" w:eastAsia="pt-BR"/>
              </w:rPr>
            </w:pPr>
            <w:r w:rsidRPr="00047E90">
              <w:rPr>
                <w:b/>
                <w:bCs/>
                <w:sz w:val="24"/>
                <w:szCs w:val="24"/>
                <w:lang w:val="pt-BR" w:eastAsia="pt-BR"/>
              </w:rPr>
              <w:t>Variáveis</w:t>
            </w:r>
          </w:p>
        </w:tc>
        <w:tc>
          <w:tcPr>
            <w:tcW w:w="1207" w:type="dxa"/>
            <w:tcBorders>
              <w:top w:val="single" w:sz="4" w:space="0" w:color="auto"/>
              <w:bottom w:val="single" w:sz="4" w:space="0" w:color="auto"/>
            </w:tcBorders>
            <w:shd w:val="clear" w:color="000000" w:fill="FFFFFF"/>
            <w:vAlign w:val="center"/>
            <w:hideMark/>
          </w:tcPr>
          <w:p w14:paraId="1A853A58" w14:textId="77777777" w:rsidR="00047E90" w:rsidRPr="00047E90" w:rsidRDefault="00047E90" w:rsidP="00047E90">
            <w:pPr>
              <w:pStyle w:val="SemEspaamento"/>
              <w:spacing w:line="360" w:lineRule="auto"/>
              <w:jc w:val="center"/>
              <w:rPr>
                <w:b/>
                <w:bCs/>
                <w:sz w:val="24"/>
                <w:szCs w:val="24"/>
                <w:lang w:val="pt-BR" w:eastAsia="pt-BR"/>
              </w:rPr>
            </w:pPr>
            <w:r w:rsidRPr="00047E90">
              <w:rPr>
                <w:b/>
                <w:bCs/>
                <w:sz w:val="24"/>
                <w:szCs w:val="24"/>
                <w:lang w:val="pt-BR" w:eastAsia="pt-BR"/>
              </w:rPr>
              <w:t>Não respondeu</w:t>
            </w:r>
          </w:p>
        </w:tc>
        <w:tc>
          <w:tcPr>
            <w:tcW w:w="651" w:type="dxa"/>
            <w:tcBorders>
              <w:top w:val="single" w:sz="4" w:space="0" w:color="auto"/>
              <w:bottom w:val="single" w:sz="4" w:space="0" w:color="auto"/>
            </w:tcBorders>
            <w:shd w:val="clear" w:color="000000" w:fill="FFFFFF"/>
            <w:vAlign w:val="center"/>
            <w:hideMark/>
          </w:tcPr>
          <w:p w14:paraId="041C0E1A" w14:textId="77777777" w:rsidR="00047E90" w:rsidRPr="00047E90" w:rsidRDefault="00047E90" w:rsidP="00047E90">
            <w:pPr>
              <w:pStyle w:val="SemEspaamento"/>
              <w:spacing w:line="360" w:lineRule="auto"/>
              <w:jc w:val="center"/>
              <w:rPr>
                <w:b/>
                <w:bCs/>
                <w:sz w:val="24"/>
                <w:szCs w:val="24"/>
                <w:lang w:val="pt-BR" w:eastAsia="pt-BR"/>
              </w:rPr>
            </w:pPr>
            <w:r w:rsidRPr="00047E90">
              <w:rPr>
                <w:b/>
                <w:bCs/>
                <w:sz w:val="24"/>
                <w:szCs w:val="24"/>
                <w:lang w:val="pt-BR" w:eastAsia="pt-BR"/>
              </w:rPr>
              <w:t>Não</w:t>
            </w:r>
          </w:p>
        </w:tc>
        <w:tc>
          <w:tcPr>
            <w:tcW w:w="924" w:type="dxa"/>
            <w:tcBorders>
              <w:top w:val="single" w:sz="4" w:space="0" w:color="auto"/>
              <w:bottom w:val="single" w:sz="4" w:space="0" w:color="auto"/>
            </w:tcBorders>
            <w:shd w:val="clear" w:color="000000" w:fill="FFFFFF"/>
            <w:vAlign w:val="center"/>
            <w:hideMark/>
          </w:tcPr>
          <w:p w14:paraId="43559D8A" w14:textId="77777777" w:rsidR="00047E90" w:rsidRPr="00047E90" w:rsidRDefault="00047E90" w:rsidP="00047E90">
            <w:pPr>
              <w:pStyle w:val="SemEspaamento"/>
              <w:spacing w:line="360" w:lineRule="auto"/>
              <w:jc w:val="center"/>
              <w:rPr>
                <w:b/>
                <w:bCs/>
                <w:sz w:val="24"/>
                <w:szCs w:val="24"/>
                <w:lang w:val="pt-BR" w:eastAsia="pt-BR"/>
              </w:rPr>
            </w:pPr>
            <w:r w:rsidRPr="00047E90">
              <w:rPr>
                <w:b/>
                <w:bCs/>
                <w:sz w:val="24"/>
                <w:szCs w:val="24"/>
                <w:lang w:val="pt-BR" w:eastAsia="pt-BR"/>
              </w:rPr>
              <w:t>Não sei dizer</w:t>
            </w:r>
          </w:p>
        </w:tc>
        <w:tc>
          <w:tcPr>
            <w:tcW w:w="709" w:type="dxa"/>
            <w:tcBorders>
              <w:top w:val="single" w:sz="4" w:space="0" w:color="auto"/>
              <w:bottom w:val="single" w:sz="4" w:space="0" w:color="auto"/>
            </w:tcBorders>
            <w:shd w:val="clear" w:color="000000" w:fill="FFFFFF"/>
            <w:vAlign w:val="center"/>
            <w:hideMark/>
          </w:tcPr>
          <w:p w14:paraId="46898369" w14:textId="77777777" w:rsidR="00047E90" w:rsidRPr="00047E90" w:rsidRDefault="00047E90" w:rsidP="00047E90">
            <w:pPr>
              <w:pStyle w:val="SemEspaamento"/>
              <w:spacing w:line="360" w:lineRule="auto"/>
              <w:jc w:val="center"/>
              <w:rPr>
                <w:b/>
                <w:bCs/>
                <w:sz w:val="24"/>
                <w:szCs w:val="24"/>
                <w:lang w:val="pt-BR" w:eastAsia="pt-BR"/>
              </w:rPr>
            </w:pPr>
            <w:r w:rsidRPr="00047E90">
              <w:rPr>
                <w:b/>
                <w:bCs/>
                <w:sz w:val="24"/>
                <w:szCs w:val="24"/>
                <w:lang w:val="pt-BR" w:eastAsia="pt-BR"/>
              </w:rPr>
              <w:t>Sim</w:t>
            </w:r>
          </w:p>
        </w:tc>
      </w:tr>
      <w:tr w:rsidR="00047E90" w:rsidRPr="00047E90" w14:paraId="6260A5C0" w14:textId="77777777" w:rsidTr="00047E90">
        <w:trPr>
          <w:trHeight w:val="269"/>
        </w:trPr>
        <w:tc>
          <w:tcPr>
            <w:tcW w:w="5293" w:type="dxa"/>
            <w:tcBorders>
              <w:top w:val="single" w:sz="4" w:space="0" w:color="auto"/>
            </w:tcBorders>
            <w:shd w:val="clear" w:color="auto" w:fill="auto"/>
            <w:noWrap/>
            <w:vAlign w:val="bottom"/>
            <w:hideMark/>
          </w:tcPr>
          <w:p w14:paraId="56DD572B"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Doenças diarreicas (infecções intestinais por bactérias, protozoários ou vírus)</w:t>
            </w:r>
          </w:p>
        </w:tc>
        <w:tc>
          <w:tcPr>
            <w:tcW w:w="1207" w:type="dxa"/>
            <w:tcBorders>
              <w:top w:val="single" w:sz="4" w:space="0" w:color="auto"/>
            </w:tcBorders>
            <w:shd w:val="clear" w:color="000000" w:fill="FFFFFF"/>
            <w:vAlign w:val="center"/>
            <w:hideMark/>
          </w:tcPr>
          <w:p w14:paraId="0465E3C4"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9</w:t>
            </w:r>
          </w:p>
        </w:tc>
        <w:tc>
          <w:tcPr>
            <w:tcW w:w="651" w:type="dxa"/>
            <w:tcBorders>
              <w:top w:val="single" w:sz="4" w:space="0" w:color="auto"/>
            </w:tcBorders>
            <w:shd w:val="clear" w:color="000000" w:fill="FFFFFF"/>
            <w:vAlign w:val="center"/>
            <w:hideMark/>
          </w:tcPr>
          <w:p w14:paraId="53DF9332"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tcBorders>
              <w:top w:val="single" w:sz="4" w:space="0" w:color="auto"/>
            </w:tcBorders>
            <w:shd w:val="clear" w:color="000000" w:fill="FFFFFF"/>
            <w:vAlign w:val="center"/>
            <w:hideMark/>
          </w:tcPr>
          <w:p w14:paraId="431EB975"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4</w:t>
            </w:r>
          </w:p>
        </w:tc>
        <w:tc>
          <w:tcPr>
            <w:tcW w:w="709" w:type="dxa"/>
            <w:tcBorders>
              <w:top w:val="single" w:sz="4" w:space="0" w:color="auto"/>
            </w:tcBorders>
            <w:shd w:val="clear" w:color="000000" w:fill="FFFFFF"/>
            <w:vAlign w:val="center"/>
            <w:hideMark/>
          </w:tcPr>
          <w:p w14:paraId="0CBDA49C"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4</w:t>
            </w:r>
          </w:p>
        </w:tc>
      </w:tr>
      <w:tr w:rsidR="00047E90" w:rsidRPr="00047E90" w14:paraId="11084F04" w14:textId="77777777" w:rsidTr="00047E90">
        <w:trPr>
          <w:trHeight w:val="269"/>
        </w:trPr>
        <w:tc>
          <w:tcPr>
            <w:tcW w:w="5293" w:type="dxa"/>
            <w:shd w:val="clear" w:color="auto" w:fill="auto"/>
            <w:noWrap/>
            <w:vAlign w:val="bottom"/>
            <w:hideMark/>
          </w:tcPr>
          <w:p w14:paraId="30C38F9E"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Febre</w:t>
            </w:r>
          </w:p>
        </w:tc>
        <w:tc>
          <w:tcPr>
            <w:tcW w:w="1207" w:type="dxa"/>
            <w:shd w:val="clear" w:color="000000" w:fill="FFFFFF"/>
            <w:vAlign w:val="center"/>
            <w:hideMark/>
          </w:tcPr>
          <w:p w14:paraId="59696435"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9</w:t>
            </w:r>
          </w:p>
        </w:tc>
        <w:tc>
          <w:tcPr>
            <w:tcW w:w="651" w:type="dxa"/>
            <w:shd w:val="clear" w:color="000000" w:fill="FFFFFF"/>
            <w:vAlign w:val="center"/>
            <w:hideMark/>
          </w:tcPr>
          <w:p w14:paraId="3B362DDB"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shd w:val="clear" w:color="000000" w:fill="FFFFFF"/>
            <w:vAlign w:val="center"/>
            <w:hideMark/>
          </w:tcPr>
          <w:p w14:paraId="2889F3EA"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4</w:t>
            </w:r>
          </w:p>
        </w:tc>
        <w:tc>
          <w:tcPr>
            <w:tcW w:w="709" w:type="dxa"/>
            <w:shd w:val="clear" w:color="000000" w:fill="FFFFFF"/>
            <w:vAlign w:val="center"/>
            <w:hideMark/>
          </w:tcPr>
          <w:p w14:paraId="4F5F2B2D"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4</w:t>
            </w:r>
          </w:p>
        </w:tc>
      </w:tr>
      <w:tr w:rsidR="00047E90" w:rsidRPr="00047E90" w14:paraId="5230FCEC" w14:textId="77777777" w:rsidTr="00047E90">
        <w:trPr>
          <w:trHeight w:val="269"/>
        </w:trPr>
        <w:tc>
          <w:tcPr>
            <w:tcW w:w="5293" w:type="dxa"/>
            <w:shd w:val="clear" w:color="auto" w:fill="auto"/>
            <w:noWrap/>
            <w:vAlign w:val="bottom"/>
            <w:hideMark/>
          </w:tcPr>
          <w:p w14:paraId="06CC14FD"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Hepatite A, poliomielite, leptospirose, ascaridíase, tricuríase</w:t>
            </w:r>
          </w:p>
        </w:tc>
        <w:tc>
          <w:tcPr>
            <w:tcW w:w="1207" w:type="dxa"/>
            <w:shd w:val="clear" w:color="000000" w:fill="FFFFFF"/>
            <w:vAlign w:val="center"/>
            <w:hideMark/>
          </w:tcPr>
          <w:p w14:paraId="5E4DDACA"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10</w:t>
            </w:r>
          </w:p>
        </w:tc>
        <w:tc>
          <w:tcPr>
            <w:tcW w:w="651" w:type="dxa"/>
            <w:shd w:val="clear" w:color="000000" w:fill="FFFFFF"/>
            <w:vAlign w:val="center"/>
            <w:hideMark/>
          </w:tcPr>
          <w:p w14:paraId="6BCF7004"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2</w:t>
            </w:r>
          </w:p>
        </w:tc>
        <w:tc>
          <w:tcPr>
            <w:tcW w:w="924" w:type="dxa"/>
            <w:shd w:val="clear" w:color="000000" w:fill="FFFFFF"/>
            <w:vAlign w:val="center"/>
            <w:hideMark/>
          </w:tcPr>
          <w:p w14:paraId="1009343B"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5</w:t>
            </w:r>
          </w:p>
        </w:tc>
        <w:tc>
          <w:tcPr>
            <w:tcW w:w="709" w:type="dxa"/>
            <w:shd w:val="clear" w:color="000000" w:fill="FFFFFF"/>
            <w:vAlign w:val="center"/>
            <w:hideMark/>
          </w:tcPr>
          <w:p w14:paraId="4C2568C4"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r>
      <w:tr w:rsidR="00047E90" w:rsidRPr="00047E90" w14:paraId="60B6C9D3" w14:textId="77777777" w:rsidTr="00047E90">
        <w:trPr>
          <w:trHeight w:val="269"/>
        </w:trPr>
        <w:tc>
          <w:tcPr>
            <w:tcW w:w="5293" w:type="dxa"/>
            <w:shd w:val="clear" w:color="auto" w:fill="auto"/>
            <w:noWrap/>
            <w:vAlign w:val="bottom"/>
            <w:hideMark/>
          </w:tcPr>
          <w:p w14:paraId="3C63BBC8"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Filariose linfática, malária, doença de chagas, dengue, febre amarela, leishmanioses</w:t>
            </w:r>
          </w:p>
        </w:tc>
        <w:tc>
          <w:tcPr>
            <w:tcW w:w="1207" w:type="dxa"/>
            <w:shd w:val="clear" w:color="000000" w:fill="FFFFFF"/>
            <w:vAlign w:val="center"/>
            <w:hideMark/>
          </w:tcPr>
          <w:p w14:paraId="5927BD86"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9</w:t>
            </w:r>
          </w:p>
        </w:tc>
        <w:tc>
          <w:tcPr>
            <w:tcW w:w="651" w:type="dxa"/>
            <w:shd w:val="clear" w:color="000000" w:fill="FFFFFF"/>
            <w:vAlign w:val="center"/>
            <w:hideMark/>
          </w:tcPr>
          <w:p w14:paraId="649E9DA9"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shd w:val="clear" w:color="000000" w:fill="FFFFFF"/>
            <w:vAlign w:val="center"/>
            <w:hideMark/>
          </w:tcPr>
          <w:p w14:paraId="34135062"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5</w:t>
            </w:r>
          </w:p>
        </w:tc>
        <w:tc>
          <w:tcPr>
            <w:tcW w:w="709" w:type="dxa"/>
            <w:shd w:val="clear" w:color="000000" w:fill="FFFFFF"/>
            <w:vAlign w:val="center"/>
            <w:hideMark/>
          </w:tcPr>
          <w:p w14:paraId="63FFA055"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3</w:t>
            </w:r>
          </w:p>
        </w:tc>
      </w:tr>
      <w:tr w:rsidR="00047E90" w:rsidRPr="00047E90" w14:paraId="27AD115D" w14:textId="77777777" w:rsidTr="00047E90">
        <w:trPr>
          <w:trHeight w:val="269"/>
        </w:trPr>
        <w:tc>
          <w:tcPr>
            <w:tcW w:w="5293" w:type="dxa"/>
            <w:shd w:val="clear" w:color="auto" w:fill="auto"/>
            <w:noWrap/>
            <w:vAlign w:val="bottom"/>
            <w:hideMark/>
          </w:tcPr>
          <w:p w14:paraId="5F698189"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Doença do sono</w:t>
            </w:r>
          </w:p>
        </w:tc>
        <w:tc>
          <w:tcPr>
            <w:tcW w:w="1207" w:type="dxa"/>
            <w:shd w:val="clear" w:color="000000" w:fill="FFFFFF"/>
            <w:vAlign w:val="center"/>
            <w:hideMark/>
          </w:tcPr>
          <w:p w14:paraId="6D9B5576"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10</w:t>
            </w:r>
          </w:p>
        </w:tc>
        <w:tc>
          <w:tcPr>
            <w:tcW w:w="651" w:type="dxa"/>
            <w:shd w:val="clear" w:color="000000" w:fill="FFFFFF"/>
            <w:vAlign w:val="center"/>
            <w:hideMark/>
          </w:tcPr>
          <w:p w14:paraId="7B2A70E5"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3</w:t>
            </w:r>
          </w:p>
        </w:tc>
        <w:tc>
          <w:tcPr>
            <w:tcW w:w="924" w:type="dxa"/>
            <w:shd w:val="clear" w:color="000000" w:fill="FFFFFF"/>
            <w:vAlign w:val="center"/>
            <w:hideMark/>
          </w:tcPr>
          <w:p w14:paraId="263A0A16"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5</w:t>
            </w:r>
          </w:p>
        </w:tc>
        <w:tc>
          <w:tcPr>
            <w:tcW w:w="709" w:type="dxa"/>
            <w:shd w:val="clear" w:color="auto" w:fill="auto"/>
            <w:noWrap/>
            <w:vAlign w:val="center"/>
            <w:hideMark/>
          </w:tcPr>
          <w:p w14:paraId="1BA1C270"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0</w:t>
            </w:r>
          </w:p>
        </w:tc>
      </w:tr>
      <w:tr w:rsidR="00047E90" w:rsidRPr="00047E90" w14:paraId="75F7AA69" w14:textId="77777777" w:rsidTr="00047E90">
        <w:trPr>
          <w:trHeight w:val="269"/>
        </w:trPr>
        <w:tc>
          <w:tcPr>
            <w:tcW w:w="5293" w:type="dxa"/>
            <w:shd w:val="clear" w:color="auto" w:fill="auto"/>
            <w:noWrap/>
            <w:vAlign w:val="bottom"/>
            <w:hideMark/>
          </w:tcPr>
          <w:p w14:paraId="357FEBFC"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Esquistossomose</w:t>
            </w:r>
          </w:p>
        </w:tc>
        <w:tc>
          <w:tcPr>
            <w:tcW w:w="1207" w:type="dxa"/>
            <w:shd w:val="clear" w:color="000000" w:fill="FFFFFF"/>
            <w:vAlign w:val="center"/>
            <w:hideMark/>
          </w:tcPr>
          <w:p w14:paraId="078CFC2A"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10</w:t>
            </w:r>
          </w:p>
        </w:tc>
        <w:tc>
          <w:tcPr>
            <w:tcW w:w="651" w:type="dxa"/>
            <w:shd w:val="clear" w:color="000000" w:fill="FFFFFF"/>
            <w:vAlign w:val="center"/>
            <w:hideMark/>
          </w:tcPr>
          <w:p w14:paraId="46B29406"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2</w:t>
            </w:r>
          </w:p>
        </w:tc>
        <w:tc>
          <w:tcPr>
            <w:tcW w:w="924" w:type="dxa"/>
            <w:shd w:val="clear" w:color="000000" w:fill="FFFFFF"/>
            <w:vAlign w:val="center"/>
            <w:hideMark/>
          </w:tcPr>
          <w:p w14:paraId="4BE58FEF"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5</w:t>
            </w:r>
          </w:p>
        </w:tc>
        <w:tc>
          <w:tcPr>
            <w:tcW w:w="709" w:type="dxa"/>
            <w:shd w:val="clear" w:color="000000" w:fill="FFFFFF"/>
            <w:vAlign w:val="center"/>
            <w:hideMark/>
          </w:tcPr>
          <w:p w14:paraId="40CF90ED"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r>
      <w:tr w:rsidR="00047E90" w:rsidRPr="00047E90" w14:paraId="79D794CB" w14:textId="77777777" w:rsidTr="00047E90">
        <w:trPr>
          <w:trHeight w:val="269"/>
        </w:trPr>
        <w:tc>
          <w:tcPr>
            <w:tcW w:w="5293" w:type="dxa"/>
            <w:shd w:val="clear" w:color="auto" w:fill="auto"/>
            <w:noWrap/>
            <w:vAlign w:val="bottom"/>
            <w:hideMark/>
          </w:tcPr>
          <w:p w14:paraId="395187F0"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Infecções por helmintos, teníase e cisticercose</w:t>
            </w:r>
          </w:p>
        </w:tc>
        <w:tc>
          <w:tcPr>
            <w:tcW w:w="1207" w:type="dxa"/>
            <w:shd w:val="clear" w:color="000000" w:fill="FFFFFF"/>
            <w:vAlign w:val="center"/>
            <w:hideMark/>
          </w:tcPr>
          <w:p w14:paraId="07D8DD87"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10</w:t>
            </w:r>
          </w:p>
        </w:tc>
        <w:tc>
          <w:tcPr>
            <w:tcW w:w="651" w:type="dxa"/>
            <w:shd w:val="clear" w:color="000000" w:fill="FFFFFF"/>
            <w:vAlign w:val="center"/>
            <w:hideMark/>
          </w:tcPr>
          <w:p w14:paraId="25B747A1"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shd w:val="clear" w:color="000000" w:fill="FFFFFF"/>
            <w:vAlign w:val="center"/>
            <w:hideMark/>
          </w:tcPr>
          <w:p w14:paraId="0343BF30"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6</w:t>
            </w:r>
          </w:p>
        </w:tc>
        <w:tc>
          <w:tcPr>
            <w:tcW w:w="709" w:type="dxa"/>
            <w:shd w:val="clear" w:color="000000" w:fill="FFFFFF"/>
            <w:vAlign w:val="center"/>
            <w:hideMark/>
          </w:tcPr>
          <w:p w14:paraId="590A43CA"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r>
      <w:tr w:rsidR="00047E90" w:rsidRPr="00047E90" w14:paraId="7BDE36A0" w14:textId="77777777" w:rsidTr="00047E90">
        <w:trPr>
          <w:trHeight w:val="269"/>
        </w:trPr>
        <w:tc>
          <w:tcPr>
            <w:tcW w:w="5293" w:type="dxa"/>
            <w:shd w:val="clear" w:color="auto" w:fill="auto"/>
            <w:noWrap/>
            <w:vAlign w:val="bottom"/>
            <w:hideMark/>
          </w:tcPr>
          <w:p w14:paraId="5E741C9E"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lastRenderedPageBreak/>
              <w:t>Doenças dos olhos (tracoma e conjuntivite)</w:t>
            </w:r>
          </w:p>
        </w:tc>
        <w:tc>
          <w:tcPr>
            <w:tcW w:w="1207" w:type="dxa"/>
            <w:shd w:val="clear" w:color="000000" w:fill="FFFFFF"/>
            <w:vAlign w:val="center"/>
            <w:hideMark/>
          </w:tcPr>
          <w:p w14:paraId="277AB064"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9</w:t>
            </w:r>
          </w:p>
        </w:tc>
        <w:tc>
          <w:tcPr>
            <w:tcW w:w="651" w:type="dxa"/>
            <w:shd w:val="clear" w:color="000000" w:fill="FFFFFF"/>
            <w:vAlign w:val="center"/>
            <w:hideMark/>
          </w:tcPr>
          <w:p w14:paraId="28CDC1C0"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shd w:val="clear" w:color="000000" w:fill="FFFFFF"/>
            <w:vAlign w:val="center"/>
            <w:hideMark/>
          </w:tcPr>
          <w:p w14:paraId="788E98EC"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6</w:t>
            </w:r>
          </w:p>
        </w:tc>
        <w:tc>
          <w:tcPr>
            <w:tcW w:w="709" w:type="dxa"/>
            <w:shd w:val="clear" w:color="000000" w:fill="FFFFFF"/>
            <w:vAlign w:val="center"/>
            <w:hideMark/>
          </w:tcPr>
          <w:p w14:paraId="118D7C17"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2</w:t>
            </w:r>
          </w:p>
        </w:tc>
      </w:tr>
      <w:tr w:rsidR="00047E90" w:rsidRPr="00047E90" w14:paraId="3F1DAEAC" w14:textId="77777777" w:rsidTr="00047E90">
        <w:trPr>
          <w:trHeight w:val="269"/>
        </w:trPr>
        <w:tc>
          <w:tcPr>
            <w:tcW w:w="5293" w:type="dxa"/>
            <w:shd w:val="clear" w:color="auto" w:fill="auto"/>
            <w:noWrap/>
            <w:vAlign w:val="bottom"/>
            <w:hideMark/>
          </w:tcPr>
          <w:p w14:paraId="16E281C7" w14:textId="69E5B49A"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Doenças da pele (</w:t>
            </w:r>
            <w:r w:rsidRPr="00047E90">
              <w:rPr>
                <w:sz w:val="24"/>
                <w:szCs w:val="24"/>
                <w:lang w:val="pt-BR" w:eastAsia="pt-BR"/>
              </w:rPr>
              <w:t>dermatites)</w:t>
            </w:r>
          </w:p>
        </w:tc>
        <w:tc>
          <w:tcPr>
            <w:tcW w:w="1207" w:type="dxa"/>
            <w:shd w:val="clear" w:color="000000" w:fill="FFFFFF"/>
            <w:vAlign w:val="center"/>
            <w:hideMark/>
          </w:tcPr>
          <w:p w14:paraId="0A996745"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9</w:t>
            </w:r>
          </w:p>
        </w:tc>
        <w:tc>
          <w:tcPr>
            <w:tcW w:w="651" w:type="dxa"/>
            <w:shd w:val="clear" w:color="000000" w:fill="FFFFFF"/>
            <w:vAlign w:val="center"/>
            <w:hideMark/>
          </w:tcPr>
          <w:p w14:paraId="3A1B697B"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shd w:val="clear" w:color="000000" w:fill="FFFFFF"/>
            <w:vAlign w:val="center"/>
            <w:hideMark/>
          </w:tcPr>
          <w:p w14:paraId="48AA5BFD"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6</w:t>
            </w:r>
          </w:p>
        </w:tc>
        <w:tc>
          <w:tcPr>
            <w:tcW w:w="709" w:type="dxa"/>
            <w:shd w:val="clear" w:color="000000" w:fill="FFFFFF"/>
            <w:vAlign w:val="center"/>
            <w:hideMark/>
          </w:tcPr>
          <w:p w14:paraId="4A97DD9D"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2</w:t>
            </w:r>
          </w:p>
        </w:tc>
      </w:tr>
      <w:tr w:rsidR="00047E90" w:rsidRPr="00047E90" w14:paraId="67E16319" w14:textId="77777777" w:rsidTr="00047E90">
        <w:trPr>
          <w:trHeight w:val="269"/>
        </w:trPr>
        <w:tc>
          <w:tcPr>
            <w:tcW w:w="5293" w:type="dxa"/>
            <w:shd w:val="clear" w:color="auto" w:fill="auto"/>
            <w:noWrap/>
            <w:vAlign w:val="bottom"/>
            <w:hideMark/>
          </w:tcPr>
          <w:p w14:paraId="70C2BFC4"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Acidentes de trabalho (cortes, perfurações, queimaduras)</w:t>
            </w:r>
          </w:p>
        </w:tc>
        <w:tc>
          <w:tcPr>
            <w:tcW w:w="1207" w:type="dxa"/>
            <w:shd w:val="clear" w:color="000000" w:fill="FFFFFF"/>
            <w:vAlign w:val="center"/>
            <w:hideMark/>
          </w:tcPr>
          <w:p w14:paraId="7A43C6BF"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9</w:t>
            </w:r>
          </w:p>
        </w:tc>
        <w:tc>
          <w:tcPr>
            <w:tcW w:w="651" w:type="dxa"/>
            <w:shd w:val="clear" w:color="000000" w:fill="FFFFFF"/>
            <w:vAlign w:val="center"/>
            <w:hideMark/>
          </w:tcPr>
          <w:p w14:paraId="152C9A08"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shd w:val="clear" w:color="000000" w:fill="FFFFFF"/>
            <w:vAlign w:val="center"/>
            <w:hideMark/>
          </w:tcPr>
          <w:p w14:paraId="6B1DD622"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4</w:t>
            </w:r>
          </w:p>
        </w:tc>
        <w:tc>
          <w:tcPr>
            <w:tcW w:w="709" w:type="dxa"/>
            <w:shd w:val="clear" w:color="000000" w:fill="FFFFFF"/>
            <w:vAlign w:val="center"/>
            <w:hideMark/>
          </w:tcPr>
          <w:p w14:paraId="72ACBD27"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4</w:t>
            </w:r>
          </w:p>
        </w:tc>
      </w:tr>
      <w:tr w:rsidR="00047E90" w:rsidRPr="00047E90" w14:paraId="7FF7DF1A" w14:textId="77777777" w:rsidTr="00047E90">
        <w:trPr>
          <w:trHeight w:val="269"/>
        </w:trPr>
        <w:tc>
          <w:tcPr>
            <w:tcW w:w="5293" w:type="dxa"/>
            <w:tcBorders>
              <w:bottom w:val="single" w:sz="4" w:space="0" w:color="auto"/>
            </w:tcBorders>
            <w:shd w:val="clear" w:color="auto" w:fill="auto"/>
            <w:noWrap/>
            <w:vAlign w:val="bottom"/>
            <w:hideMark/>
          </w:tcPr>
          <w:p w14:paraId="4CA39F81" w14:textId="77777777" w:rsidR="00047E90" w:rsidRPr="00047E90" w:rsidRDefault="00047E90" w:rsidP="00047E90">
            <w:pPr>
              <w:pStyle w:val="SemEspaamento"/>
              <w:spacing w:line="360" w:lineRule="auto"/>
              <w:rPr>
                <w:sz w:val="24"/>
                <w:szCs w:val="24"/>
                <w:lang w:val="pt-BR" w:eastAsia="pt-BR"/>
              </w:rPr>
            </w:pPr>
            <w:r w:rsidRPr="00047E90">
              <w:rPr>
                <w:sz w:val="24"/>
                <w:szCs w:val="24"/>
                <w:lang w:val="pt-BR" w:eastAsia="pt-BR"/>
              </w:rPr>
              <w:t>Intoxicações alimentares</w:t>
            </w:r>
          </w:p>
        </w:tc>
        <w:tc>
          <w:tcPr>
            <w:tcW w:w="1207" w:type="dxa"/>
            <w:tcBorders>
              <w:bottom w:val="single" w:sz="4" w:space="0" w:color="auto"/>
            </w:tcBorders>
            <w:shd w:val="clear" w:color="000000" w:fill="FFFFFF"/>
            <w:vAlign w:val="center"/>
            <w:hideMark/>
          </w:tcPr>
          <w:p w14:paraId="3C2B0782"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9</w:t>
            </w:r>
          </w:p>
        </w:tc>
        <w:tc>
          <w:tcPr>
            <w:tcW w:w="651" w:type="dxa"/>
            <w:tcBorders>
              <w:bottom w:val="single" w:sz="4" w:space="0" w:color="auto"/>
            </w:tcBorders>
            <w:shd w:val="clear" w:color="000000" w:fill="FFFFFF"/>
            <w:vAlign w:val="center"/>
            <w:hideMark/>
          </w:tcPr>
          <w:p w14:paraId="59CBD26D"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1</w:t>
            </w:r>
          </w:p>
        </w:tc>
        <w:tc>
          <w:tcPr>
            <w:tcW w:w="924" w:type="dxa"/>
            <w:tcBorders>
              <w:bottom w:val="single" w:sz="4" w:space="0" w:color="auto"/>
            </w:tcBorders>
            <w:shd w:val="clear" w:color="000000" w:fill="FFFFFF"/>
            <w:vAlign w:val="center"/>
            <w:hideMark/>
          </w:tcPr>
          <w:p w14:paraId="7B549562"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6</w:t>
            </w:r>
          </w:p>
        </w:tc>
        <w:tc>
          <w:tcPr>
            <w:tcW w:w="709" w:type="dxa"/>
            <w:tcBorders>
              <w:bottom w:val="single" w:sz="4" w:space="0" w:color="auto"/>
            </w:tcBorders>
            <w:shd w:val="clear" w:color="000000" w:fill="FFFFFF"/>
            <w:vAlign w:val="center"/>
            <w:hideMark/>
          </w:tcPr>
          <w:p w14:paraId="76F3BF1E" w14:textId="77777777" w:rsidR="00047E90" w:rsidRPr="00047E90" w:rsidRDefault="00047E90" w:rsidP="00047E90">
            <w:pPr>
              <w:pStyle w:val="SemEspaamento"/>
              <w:spacing w:line="360" w:lineRule="auto"/>
              <w:jc w:val="center"/>
              <w:rPr>
                <w:sz w:val="24"/>
                <w:szCs w:val="24"/>
                <w:lang w:val="pt-BR" w:eastAsia="pt-BR"/>
              </w:rPr>
            </w:pPr>
            <w:r w:rsidRPr="00047E90">
              <w:rPr>
                <w:sz w:val="24"/>
                <w:szCs w:val="24"/>
                <w:lang w:val="pt-BR" w:eastAsia="pt-BR"/>
              </w:rPr>
              <w:t>2</w:t>
            </w:r>
          </w:p>
        </w:tc>
      </w:tr>
    </w:tbl>
    <w:p w14:paraId="4F6D8F07" w14:textId="77777777" w:rsidR="00047E90" w:rsidRDefault="00047E90" w:rsidP="00047E90">
      <w:pPr>
        <w:pBdr>
          <w:bottom w:val="none" w:sz="0" w:space="8" w:color="000000"/>
        </w:pBdr>
        <w:shd w:val="clear" w:color="auto" w:fill="FFFFFF"/>
        <w:tabs>
          <w:tab w:val="left" w:pos="2500"/>
        </w:tabs>
        <w:spacing w:line="432" w:lineRule="auto"/>
        <w:jc w:val="both"/>
        <w:rPr>
          <w:sz w:val="24"/>
          <w:szCs w:val="24"/>
        </w:rPr>
      </w:pPr>
    </w:p>
    <w:p w14:paraId="61A43212" w14:textId="60F152D0" w:rsidR="003326F5" w:rsidRDefault="003326F5" w:rsidP="003326F5">
      <w:pPr>
        <w:pBdr>
          <w:bottom w:val="none" w:sz="0" w:space="8" w:color="000000"/>
        </w:pBdr>
        <w:shd w:val="clear" w:color="auto" w:fill="FFFFFF"/>
        <w:tabs>
          <w:tab w:val="left" w:pos="2500"/>
        </w:tabs>
        <w:spacing w:line="432" w:lineRule="auto"/>
        <w:ind w:firstLine="700"/>
        <w:jc w:val="both"/>
        <w:rPr>
          <w:sz w:val="24"/>
          <w:szCs w:val="24"/>
        </w:rPr>
      </w:pPr>
      <w:r>
        <w:rPr>
          <w:sz w:val="24"/>
          <w:szCs w:val="24"/>
        </w:rPr>
        <w:t>P</w:t>
      </w:r>
      <w:r w:rsidRPr="003326F5">
        <w:rPr>
          <w:sz w:val="24"/>
          <w:szCs w:val="24"/>
        </w:rPr>
        <w:t>resentes em 50% das respostas, doenças diarreicas e episódios de febre indicam um padrão de contaminação provavelmente relacionado à exposição inadequada a resíduos e ao contato direto com ambientes insalubres nos lixões. A falta de tratamento adequado do lixo pode levar à proliferação de patógenos, especialmente em ambientes onde resíduos orgânicos se decompõem</w:t>
      </w:r>
      <w:r>
        <w:rPr>
          <w:sz w:val="24"/>
          <w:szCs w:val="24"/>
        </w:rPr>
        <w:t xml:space="preserve"> (CARDOSO, CARDOSO, 2016)</w:t>
      </w:r>
      <w:r w:rsidRPr="003326F5">
        <w:rPr>
          <w:sz w:val="24"/>
          <w:szCs w:val="24"/>
        </w:rPr>
        <w:t>.</w:t>
      </w:r>
    </w:p>
    <w:p w14:paraId="5B207830" w14:textId="6E5691F8" w:rsidR="003326F5" w:rsidRDefault="003326F5" w:rsidP="003326F5">
      <w:pPr>
        <w:pBdr>
          <w:bottom w:val="none" w:sz="0" w:space="8" w:color="000000"/>
        </w:pBdr>
        <w:shd w:val="clear" w:color="auto" w:fill="FFFFFF"/>
        <w:tabs>
          <w:tab w:val="left" w:pos="2500"/>
        </w:tabs>
        <w:spacing w:line="432" w:lineRule="auto"/>
        <w:ind w:firstLine="700"/>
        <w:jc w:val="both"/>
        <w:rPr>
          <w:sz w:val="24"/>
          <w:szCs w:val="24"/>
        </w:rPr>
      </w:pPr>
      <w:r w:rsidRPr="003326F5">
        <w:rPr>
          <w:sz w:val="24"/>
          <w:szCs w:val="24"/>
        </w:rPr>
        <w:t xml:space="preserve">Doenças como malária, dengue e febre amarela, presentes em 50% dos municípios, são de especial preocupação devido à falta de controle nos lixões, que servem de criadouros para vetores como o mosquito </w:t>
      </w:r>
      <w:r w:rsidRPr="003326F5">
        <w:rPr>
          <w:i/>
          <w:iCs/>
          <w:sz w:val="24"/>
          <w:szCs w:val="24"/>
        </w:rPr>
        <w:t>Aedes aegypti</w:t>
      </w:r>
      <w:r w:rsidRPr="003326F5">
        <w:rPr>
          <w:sz w:val="24"/>
          <w:szCs w:val="24"/>
        </w:rPr>
        <w:t>. Esses vetores encontram nos lixões locais propícios para a reprodução, especialmente em áreas onde há acúmulo de água</w:t>
      </w:r>
      <w:r w:rsidR="00711B17">
        <w:rPr>
          <w:sz w:val="24"/>
          <w:szCs w:val="24"/>
        </w:rPr>
        <w:t xml:space="preserve"> (</w:t>
      </w:r>
      <w:r w:rsidR="00711B17" w:rsidRPr="00711B17">
        <w:rPr>
          <w:sz w:val="24"/>
          <w:szCs w:val="24"/>
        </w:rPr>
        <w:t>GOMES, BELÉM,</w:t>
      </w:r>
      <w:r w:rsidR="00711B17">
        <w:rPr>
          <w:sz w:val="24"/>
          <w:szCs w:val="24"/>
        </w:rPr>
        <w:t xml:space="preserve"> 2022)</w:t>
      </w:r>
      <w:r w:rsidRPr="003326F5">
        <w:rPr>
          <w:sz w:val="24"/>
          <w:szCs w:val="24"/>
        </w:rPr>
        <w:t>.</w:t>
      </w:r>
    </w:p>
    <w:p w14:paraId="7A9D87F3" w14:textId="71D239BF" w:rsidR="003326F5" w:rsidRPr="003326F5" w:rsidRDefault="003326F5" w:rsidP="003326F5">
      <w:pPr>
        <w:pBdr>
          <w:bottom w:val="none" w:sz="0" w:space="8" w:color="000000"/>
        </w:pBdr>
        <w:shd w:val="clear" w:color="auto" w:fill="FFFFFF"/>
        <w:tabs>
          <w:tab w:val="left" w:pos="2500"/>
        </w:tabs>
        <w:spacing w:line="432" w:lineRule="auto"/>
        <w:ind w:firstLine="700"/>
        <w:jc w:val="both"/>
        <w:rPr>
          <w:sz w:val="24"/>
          <w:szCs w:val="24"/>
          <w:lang w:val="pt-BR"/>
        </w:rPr>
      </w:pPr>
      <w:r w:rsidRPr="003326F5">
        <w:rPr>
          <w:sz w:val="24"/>
          <w:szCs w:val="24"/>
          <w:lang w:val="pt-BR"/>
        </w:rPr>
        <w:t>Os acidentes de trabalho, registrados em metade dos municípios, são resultado da falta de condições seguras de manejo e descarte dos resíduos. Catadores que trabalham em lixões sem equipamentos de proteção individual (EPIs) ficam expostos a objetos cortantes, metais e produtos tóxicos</w:t>
      </w:r>
      <w:r w:rsidR="00711B17">
        <w:rPr>
          <w:sz w:val="24"/>
          <w:szCs w:val="24"/>
          <w:lang w:val="pt-BR"/>
        </w:rPr>
        <w:t xml:space="preserve"> (AUGUSTO, 2017)</w:t>
      </w:r>
      <w:r w:rsidRPr="003326F5">
        <w:rPr>
          <w:sz w:val="24"/>
          <w:szCs w:val="24"/>
          <w:lang w:val="pt-BR"/>
        </w:rPr>
        <w:t>. Esses acidentes são agravados pela ausência de monitoramento de saúde, relatado em 44,4% dos municípios, o que implica a falta de uma assistência sistemática e preventiva para esses trabalhadores.</w:t>
      </w:r>
    </w:p>
    <w:p w14:paraId="5C053FDE" w14:textId="47BE70C5" w:rsidR="003326F5" w:rsidRDefault="003326F5" w:rsidP="003326F5">
      <w:pPr>
        <w:pBdr>
          <w:bottom w:val="none" w:sz="0" w:space="8" w:color="000000"/>
        </w:pBdr>
        <w:shd w:val="clear" w:color="auto" w:fill="FFFFFF"/>
        <w:tabs>
          <w:tab w:val="left" w:pos="2500"/>
        </w:tabs>
        <w:spacing w:line="432" w:lineRule="auto"/>
        <w:ind w:firstLine="700"/>
        <w:jc w:val="both"/>
        <w:rPr>
          <w:sz w:val="24"/>
          <w:szCs w:val="24"/>
        </w:rPr>
      </w:pPr>
      <w:r w:rsidRPr="003326F5">
        <w:rPr>
          <w:sz w:val="24"/>
          <w:szCs w:val="24"/>
          <w:lang w:val="pt-BR"/>
        </w:rPr>
        <w:t>As intoxicações alimentares representam 11,1% dos casos, resultado potencial da contaminação direta ou indireta em áreas de disposição final de resíduos, onde o contato com agentes patogênicos é facilitado pela degradação inadequada dos RSU e a exposição a alimentos deteriorados.</w:t>
      </w:r>
    </w:p>
    <w:p w14:paraId="5081C4F6" w14:textId="77777777" w:rsidR="003326F5" w:rsidRPr="003326F5" w:rsidRDefault="003326F5" w:rsidP="003326F5">
      <w:pPr>
        <w:pBdr>
          <w:bottom w:val="none" w:sz="0" w:space="8" w:color="000000"/>
        </w:pBdr>
        <w:shd w:val="clear" w:color="auto" w:fill="FFFFFF"/>
        <w:tabs>
          <w:tab w:val="left" w:pos="2500"/>
        </w:tabs>
        <w:spacing w:line="432" w:lineRule="auto"/>
        <w:ind w:firstLine="700"/>
        <w:jc w:val="both"/>
        <w:rPr>
          <w:sz w:val="24"/>
          <w:szCs w:val="24"/>
        </w:rPr>
      </w:pPr>
      <w:r w:rsidRPr="003326F5">
        <w:rPr>
          <w:sz w:val="24"/>
          <w:szCs w:val="24"/>
        </w:rPr>
        <w:t xml:space="preserve">Os obstáculos enfrentados na destinação final dos resíduos incluem a ausência de </w:t>
      </w:r>
      <w:r w:rsidRPr="003326F5">
        <w:rPr>
          <w:sz w:val="24"/>
          <w:szCs w:val="24"/>
        </w:rPr>
        <w:lastRenderedPageBreak/>
        <w:t>políticas públicas integradas (50% dos municípios) e a falta de veículos adequados (27,8%). A ausência de consórcios intermunicipais limita ainda mais o gerenciamento de resíduos, apesar de essa forma de cooperação poder otimizar recursos e reduzir gastos. A gestão consorciada surge, assim, como uma alternativa viável para os pequenos municípios, uma vez que possibilita a divisão de custos e a melhoria na cobertura dos serviços.</w:t>
      </w:r>
    </w:p>
    <w:p w14:paraId="1CF94106" w14:textId="77777777" w:rsidR="003326F5" w:rsidRPr="003326F5" w:rsidRDefault="003326F5" w:rsidP="003326F5">
      <w:pPr>
        <w:pBdr>
          <w:bottom w:val="none" w:sz="0" w:space="8" w:color="000000"/>
        </w:pBdr>
        <w:shd w:val="clear" w:color="auto" w:fill="FFFFFF"/>
        <w:tabs>
          <w:tab w:val="left" w:pos="2500"/>
        </w:tabs>
        <w:spacing w:line="432" w:lineRule="auto"/>
        <w:ind w:firstLine="700"/>
        <w:jc w:val="both"/>
        <w:rPr>
          <w:sz w:val="24"/>
          <w:szCs w:val="24"/>
        </w:rPr>
      </w:pPr>
      <w:r w:rsidRPr="003326F5">
        <w:rPr>
          <w:sz w:val="24"/>
          <w:szCs w:val="24"/>
        </w:rPr>
        <w:t>No entanto, para viabilizar os consórcios intermunicipais, é necessária uma colaboração política mais robusta, que envolva tanto o setor público quanto a sociedade civil. Um planejamento estratégico conjunto e a capacitação técnica são fundamentais para superar os desafios observados. O fortalecimento de políticas públicas que incentivem a reciclagem e a educação ambiental também são essenciais para reduzir o impacto ambiental e promover uma economia circular.</w:t>
      </w:r>
    </w:p>
    <w:p w14:paraId="6500EBAB" w14:textId="06E03F7D" w:rsidR="003949CE" w:rsidRDefault="003326F5" w:rsidP="003326F5">
      <w:pPr>
        <w:pBdr>
          <w:bottom w:val="none" w:sz="0" w:space="8" w:color="000000"/>
        </w:pBdr>
        <w:shd w:val="clear" w:color="auto" w:fill="FFFFFF"/>
        <w:tabs>
          <w:tab w:val="left" w:pos="2500"/>
        </w:tabs>
        <w:spacing w:line="432" w:lineRule="auto"/>
        <w:ind w:firstLine="700"/>
        <w:jc w:val="both"/>
        <w:rPr>
          <w:sz w:val="24"/>
          <w:szCs w:val="24"/>
        </w:rPr>
      </w:pPr>
      <w:r w:rsidRPr="003326F5">
        <w:rPr>
          <w:sz w:val="24"/>
          <w:szCs w:val="24"/>
        </w:rPr>
        <w:t>Portanto, a integração e a cooperação intermunicipal, aliadas a políticas públicas consistentes e práticas de gestão sustentável, são fundamentais para superar as deficiências identificadas na gestão de RSU na RIC. As iniciativas de consórcios intermunicipais, a implantação de aterros sanitários e o monitoramento de saúde e condições de trabalho dos catadores representam pilares essenciais para a sustentabilidade e a saúde pública na região.</w:t>
      </w:r>
    </w:p>
    <w:p w14:paraId="087E438F" w14:textId="77777777" w:rsidR="003949CE" w:rsidRDefault="003949CE" w:rsidP="003949CE">
      <w:pPr>
        <w:widowControl/>
        <w:tabs>
          <w:tab w:val="left" w:pos="1290"/>
        </w:tabs>
        <w:spacing w:after="160" w:line="259" w:lineRule="auto"/>
        <w:jc w:val="both"/>
        <w:rPr>
          <w:b/>
          <w:sz w:val="24"/>
          <w:szCs w:val="24"/>
        </w:rPr>
      </w:pPr>
    </w:p>
    <w:p w14:paraId="6EF26A43" w14:textId="3CCA647F" w:rsidR="003949CE" w:rsidRDefault="003949CE" w:rsidP="003949CE">
      <w:pPr>
        <w:widowControl/>
        <w:tabs>
          <w:tab w:val="left" w:pos="1290"/>
        </w:tabs>
        <w:spacing w:after="160" w:line="259" w:lineRule="auto"/>
        <w:jc w:val="both"/>
        <w:rPr>
          <w:sz w:val="28"/>
          <w:szCs w:val="28"/>
        </w:rPr>
      </w:pPr>
      <w:r>
        <w:rPr>
          <w:b/>
          <w:sz w:val="24"/>
          <w:szCs w:val="24"/>
        </w:rPr>
        <w:t>4. CONSIDERAÇÕES FINAIS</w:t>
      </w:r>
    </w:p>
    <w:p w14:paraId="1F648FE2" w14:textId="62B99E53" w:rsidR="00047E90" w:rsidRPr="00047E90" w:rsidRDefault="00047E90" w:rsidP="00047E90">
      <w:pPr>
        <w:pBdr>
          <w:bottom w:val="none" w:sz="0" w:space="8" w:color="000000"/>
        </w:pBdr>
        <w:shd w:val="clear" w:color="auto" w:fill="FFFFFF"/>
        <w:tabs>
          <w:tab w:val="left" w:pos="2500"/>
        </w:tabs>
        <w:spacing w:line="432" w:lineRule="auto"/>
        <w:ind w:firstLine="700"/>
        <w:jc w:val="both"/>
        <w:rPr>
          <w:sz w:val="24"/>
          <w:szCs w:val="24"/>
        </w:rPr>
      </w:pPr>
      <w:r>
        <w:rPr>
          <w:sz w:val="24"/>
          <w:szCs w:val="24"/>
        </w:rPr>
        <w:t>A</w:t>
      </w:r>
      <w:r w:rsidRPr="00047E90">
        <w:rPr>
          <w:sz w:val="24"/>
          <w:szCs w:val="24"/>
        </w:rPr>
        <w:t xml:space="preserve"> análise dos dados sobre a gestão de resíduos sólidos urbanos (RSU) na Região de Integração do Carajás revelou desafios críticos tanto na disposição final de resíduos quanto nas condições de trabalho de catadores, que enfrentam condições insalubres e riscos ocupacionais elevados. A predominância de lixões e a falta de monitoramento de saúde dos trabalhadores indicam que a gestão de resíduos na região ainda carece de uma estrutura básica de segurança e sustentabilidade. Além disso, a ausência de políticas integradas entre os municípios limita a implementação de práticas eficazes e seguras. Este cenário não só compromete a saúde pública </w:t>
      </w:r>
      <w:r w:rsidRPr="00047E90">
        <w:rPr>
          <w:sz w:val="24"/>
          <w:szCs w:val="24"/>
        </w:rPr>
        <w:lastRenderedPageBreak/>
        <w:t>e ambiental, mas também expõe a necessidade urgente de estratégias coordenadas, como os consórcios intermunicipais, para superar essas limitações.</w:t>
      </w:r>
    </w:p>
    <w:p w14:paraId="6FF088EC" w14:textId="366CF4C5" w:rsidR="00047E90" w:rsidRDefault="00047E90" w:rsidP="00047E90">
      <w:pPr>
        <w:pBdr>
          <w:bottom w:val="none" w:sz="0" w:space="8" w:color="000000"/>
        </w:pBdr>
        <w:shd w:val="clear" w:color="auto" w:fill="FFFFFF"/>
        <w:tabs>
          <w:tab w:val="left" w:pos="2500"/>
        </w:tabs>
        <w:spacing w:line="432" w:lineRule="auto"/>
        <w:ind w:firstLine="700"/>
        <w:jc w:val="both"/>
        <w:rPr>
          <w:sz w:val="24"/>
          <w:szCs w:val="24"/>
        </w:rPr>
      </w:pPr>
      <w:r>
        <w:rPr>
          <w:sz w:val="24"/>
          <w:szCs w:val="24"/>
        </w:rPr>
        <w:t>R</w:t>
      </w:r>
      <w:r w:rsidRPr="00047E90">
        <w:rPr>
          <w:sz w:val="24"/>
          <w:szCs w:val="24"/>
        </w:rPr>
        <w:t>ecomenda-se a ampliação de investimentos em infraestrutura adequada, como aterros sanitários e programas de coleta seletiva, bem como a capacitação dos trabalhadores em práticas seguras de manejo de resíduos. A implementação de consórcios públicos pode permitir a distribuição dos custos e a otimização dos recursos, promovendo uma gestão mais eficaz. Além disso, é fundamental o desenvolvimento de políticas de saúde ocupacional que monitorem regularmente a saúde dos trabalhadores e incluam a distribuição de equipamentos de proteção individual. Estudos futuros explorarão o impacto dessas melhorias no bem-estar dos catadores e podem na qualidade ambiental da região, contribuindo para modelos replicáveis em outras localidades que enfrentam problemas semelhantes.</w:t>
      </w:r>
    </w:p>
    <w:p w14:paraId="5D816746" w14:textId="721ABEC2" w:rsidR="003949CE" w:rsidRDefault="003949CE" w:rsidP="00047E90">
      <w:pPr>
        <w:widowControl/>
        <w:tabs>
          <w:tab w:val="left" w:pos="1290"/>
        </w:tabs>
        <w:spacing w:after="160" w:line="259" w:lineRule="auto"/>
        <w:jc w:val="both"/>
        <w:rPr>
          <w:color w:val="FF0000"/>
          <w:sz w:val="24"/>
          <w:szCs w:val="24"/>
        </w:rPr>
      </w:pPr>
      <w:r>
        <w:rPr>
          <w:b/>
          <w:sz w:val="24"/>
          <w:szCs w:val="24"/>
        </w:rPr>
        <w:t>REFERÊNCIAS</w:t>
      </w:r>
    </w:p>
    <w:p w14:paraId="7A83C356" w14:textId="69C3F8EA" w:rsidR="00CC5089" w:rsidRDefault="00CC5089" w:rsidP="003326F5">
      <w:pPr>
        <w:rPr>
          <w:sz w:val="24"/>
          <w:szCs w:val="24"/>
        </w:rPr>
      </w:pPr>
      <w:bookmarkStart w:id="0" w:name="_gjdgxs" w:colFirst="0" w:colLast="0"/>
      <w:bookmarkEnd w:id="0"/>
      <w:r w:rsidRPr="00CC5089">
        <w:rPr>
          <w:sz w:val="24"/>
          <w:szCs w:val="24"/>
        </w:rPr>
        <w:t>AUGUSTO, Alexandre Romero. Segurança e saúde no trabalho de catadores de materiais recicláveis: formação continuada em educação ambiental. 2017. 113 f. Dissertação (Mestrado em Ensino em Ciências da Saúde e do Meio Ambiente) – Centro Universitário de Volta Redonda, Volta Redonda, 2017. Disponível em: https://sites.unifoa.edu.br/portal_ensino/mestrado/mecsma/arquivos/2017/alexandre-romero.pdf. Acesso em:</w:t>
      </w:r>
      <w:r>
        <w:rPr>
          <w:sz w:val="24"/>
          <w:szCs w:val="24"/>
        </w:rPr>
        <w:t xml:space="preserve"> 14 nov. 2024.</w:t>
      </w:r>
    </w:p>
    <w:p w14:paraId="3E01D76C" w14:textId="77777777" w:rsidR="00CC5089" w:rsidRDefault="00CC5089" w:rsidP="003326F5">
      <w:pPr>
        <w:rPr>
          <w:sz w:val="24"/>
          <w:szCs w:val="24"/>
        </w:rPr>
      </w:pPr>
    </w:p>
    <w:p w14:paraId="0BF6E3A2" w14:textId="2C36A939" w:rsidR="00074B88" w:rsidRDefault="00074B88" w:rsidP="00074B88">
      <w:pPr>
        <w:rPr>
          <w:sz w:val="24"/>
          <w:szCs w:val="24"/>
        </w:rPr>
      </w:pPr>
      <w:r w:rsidRPr="00074B88">
        <w:rPr>
          <w:sz w:val="24"/>
          <w:szCs w:val="24"/>
        </w:rPr>
        <w:t>CUNHA,</w:t>
      </w:r>
      <w:r>
        <w:rPr>
          <w:sz w:val="24"/>
          <w:szCs w:val="24"/>
        </w:rPr>
        <w:t xml:space="preserve"> </w:t>
      </w:r>
      <w:r w:rsidRPr="00074B88">
        <w:rPr>
          <w:sz w:val="24"/>
          <w:szCs w:val="24"/>
        </w:rPr>
        <w:t>Belinda Pereira da</w:t>
      </w:r>
      <w:r>
        <w:rPr>
          <w:sz w:val="24"/>
          <w:szCs w:val="24"/>
        </w:rPr>
        <w:t>;</w:t>
      </w:r>
      <w:r w:rsidRPr="00074B88">
        <w:rPr>
          <w:sz w:val="24"/>
          <w:szCs w:val="24"/>
        </w:rPr>
        <w:t xml:space="preserve"> AUGUSTIN</w:t>
      </w:r>
      <w:r>
        <w:rPr>
          <w:sz w:val="24"/>
          <w:szCs w:val="24"/>
        </w:rPr>
        <w:t>,</w:t>
      </w:r>
      <w:r w:rsidRPr="00074B88">
        <w:rPr>
          <w:sz w:val="24"/>
          <w:szCs w:val="24"/>
        </w:rPr>
        <w:t xml:space="preserve"> Sérgio</w:t>
      </w:r>
      <w:r>
        <w:rPr>
          <w:sz w:val="24"/>
          <w:szCs w:val="24"/>
        </w:rPr>
        <w:t>.</w:t>
      </w:r>
      <w:r w:rsidRPr="00074B88">
        <w:rPr>
          <w:sz w:val="24"/>
          <w:szCs w:val="24"/>
        </w:rPr>
        <w:t xml:space="preserve"> </w:t>
      </w:r>
      <w:r w:rsidRPr="00074B88">
        <w:rPr>
          <w:sz w:val="24"/>
          <w:szCs w:val="24"/>
        </w:rPr>
        <w:t>Sustentabilidade ambiental [recurso eletrônico]: estudos jurídicos e sociais</w:t>
      </w:r>
      <w:r>
        <w:rPr>
          <w:sz w:val="24"/>
          <w:szCs w:val="24"/>
        </w:rPr>
        <w:t xml:space="preserve">. </w:t>
      </w:r>
      <w:r w:rsidRPr="00074B88">
        <w:rPr>
          <w:sz w:val="24"/>
          <w:szCs w:val="24"/>
        </w:rPr>
        <w:t>Dados EletrônicosCaxias do Sul, RS: Educs, 2014.</w:t>
      </w:r>
    </w:p>
    <w:p w14:paraId="7F3850F9" w14:textId="77777777" w:rsidR="00074B88" w:rsidRDefault="00074B88" w:rsidP="00074B88">
      <w:pPr>
        <w:rPr>
          <w:sz w:val="24"/>
          <w:szCs w:val="24"/>
        </w:rPr>
      </w:pPr>
    </w:p>
    <w:p w14:paraId="37BF9371" w14:textId="77777777" w:rsidR="00BC185B" w:rsidRDefault="00BC185B" w:rsidP="003326F5">
      <w:pPr>
        <w:rPr>
          <w:sz w:val="24"/>
          <w:szCs w:val="24"/>
        </w:rPr>
      </w:pPr>
      <w:r w:rsidRPr="00BC185B">
        <w:rPr>
          <w:sz w:val="24"/>
          <w:szCs w:val="24"/>
        </w:rPr>
        <w:t>CARDOSO, Fernanda de Cássia Israel; CARDOSO, Jean Carlos. O problema do lixo e algumas perspectivas para redução de impactos. Ciência e Cultura, São Paulo, v. 68, n. 4, p. 30-39, out./dez. 2016. Disponível em: http://dx.doi.org/10.21800/2317-66602016000400010. Acesso em:</w:t>
      </w:r>
      <w:r>
        <w:rPr>
          <w:sz w:val="24"/>
          <w:szCs w:val="24"/>
        </w:rPr>
        <w:t xml:space="preserve"> 14 NOV. 2024.</w:t>
      </w:r>
    </w:p>
    <w:p w14:paraId="44261E0B" w14:textId="77777777" w:rsidR="00BC185B" w:rsidRDefault="00BC185B" w:rsidP="003326F5">
      <w:pPr>
        <w:rPr>
          <w:sz w:val="24"/>
          <w:szCs w:val="24"/>
        </w:rPr>
      </w:pPr>
    </w:p>
    <w:p w14:paraId="06AB9947" w14:textId="77777777" w:rsidR="00FA2326" w:rsidRDefault="00FA2326" w:rsidP="003326F5">
      <w:pPr>
        <w:rPr>
          <w:sz w:val="24"/>
          <w:szCs w:val="24"/>
        </w:rPr>
      </w:pPr>
      <w:r w:rsidRPr="00FA2326">
        <w:rPr>
          <w:sz w:val="24"/>
          <w:szCs w:val="24"/>
        </w:rPr>
        <w:t xml:space="preserve">GOMES, A. O. S.; BELÉM, M. O. O lixo como um fator de risco à saúde pública na cidade de Fortaleza, Ceará. </w:t>
      </w:r>
      <w:r w:rsidRPr="00FA2326">
        <w:rPr>
          <w:i/>
          <w:iCs/>
          <w:sz w:val="24"/>
          <w:szCs w:val="24"/>
        </w:rPr>
        <w:t>Sanare</w:t>
      </w:r>
      <w:r w:rsidRPr="00FA2326">
        <w:rPr>
          <w:sz w:val="24"/>
          <w:szCs w:val="24"/>
        </w:rPr>
        <w:t>, v. 21, n. 1, p. 21-28, 2022.</w:t>
      </w:r>
    </w:p>
    <w:p w14:paraId="28389DDC" w14:textId="25F016E8" w:rsidR="003326F5" w:rsidRPr="003326F5" w:rsidRDefault="003326F5" w:rsidP="003326F5">
      <w:pPr>
        <w:rPr>
          <w:sz w:val="24"/>
          <w:szCs w:val="24"/>
        </w:rPr>
      </w:pPr>
      <w:r w:rsidRPr="003326F5">
        <w:rPr>
          <w:sz w:val="24"/>
          <w:szCs w:val="24"/>
        </w:rPr>
        <w:t>IBGE – INSTITUTO BRASILEIRO DE GEOGRAFIA E ESTATÍSTICA. Censo Agropecuário. Pesquisa da Pecuária Municipal, 2021. Disponível em: https://www.ibge.gov.br/estatisticas/economicas/agricultura-e-pecuaria/9107-producao-da-pecuaria-municipal.html?=&amp;t=resultados. Acesso em: 16 jul. 2023.</w:t>
      </w:r>
    </w:p>
    <w:p w14:paraId="5B0D1F7F" w14:textId="77777777" w:rsidR="003326F5" w:rsidRDefault="003326F5" w:rsidP="003326F5">
      <w:pPr>
        <w:rPr>
          <w:sz w:val="24"/>
          <w:szCs w:val="24"/>
        </w:rPr>
      </w:pPr>
    </w:p>
    <w:p w14:paraId="74D32050" w14:textId="477127B5" w:rsidR="00DB5854" w:rsidRPr="003949CE" w:rsidRDefault="003326F5" w:rsidP="003326F5">
      <w:r w:rsidRPr="003326F5">
        <w:rPr>
          <w:sz w:val="24"/>
          <w:szCs w:val="24"/>
        </w:rPr>
        <w:t>MONTEIRO, M. A.; SILVA, R. P. Expansão geográfica, fronteira e regionalização: a região de Carajás. Confins, v. 1, p. 49, 2021.</w:t>
      </w:r>
    </w:p>
    <w:sectPr w:rsidR="00DB5854" w:rsidRPr="003949CE" w:rsidSect="005A1575">
      <w:headerReference w:type="default" r:id="rId7"/>
      <w:footerReference w:type="default" r:id="rId8"/>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F446" w14:textId="77777777" w:rsidR="007D759B" w:rsidRDefault="007D759B" w:rsidP="005A1575">
      <w:r>
        <w:separator/>
      </w:r>
    </w:p>
  </w:endnote>
  <w:endnote w:type="continuationSeparator" w:id="0">
    <w:p w14:paraId="2BFE3473" w14:textId="77777777" w:rsidR="007D759B" w:rsidRDefault="007D759B"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5BD9" w14:textId="77777777" w:rsidR="007D759B" w:rsidRDefault="007D759B" w:rsidP="005A1575">
      <w:r>
        <w:separator/>
      </w:r>
    </w:p>
  </w:footnote>
  <w:footnote w:type="continuationSeparator" w:id="0">
    <w:p w14:paraId="3D29E144" w14:textId="77777777" w:rsidR="007D759B" w:rsidRDefault="007D759B"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47E90"/>
    <w:rsid w:val="00051265"/>
    <w:rsid w:val="00074B88"/>
    <w:rsid w:val="001846E6"/>
    <w:rsid w:val="0031571D"/>
    <w:rsid w:val="003326F5"/>
    <w:rsid w:val="003949CE"/>
    <w:rsid w:val="003C252C"/>
    <w:rsid w:val="004404EC"/>
    <w:rsid w:val="00440B68"/>
    <w:rsid w:val="00440BC9"/>
    <w:rsid w:val="00460DDD"/>
    <w:rsid w:val="004B3806"/>
    <w:rsid w:val="004E409D"/>
    <w:rsid w:val="00502FD8"/>
    <w:rsid w:val="00585209"/>
    <w:rsid w:val="005A1575"/>
    <w:rsid w:val="00620334"/>
    <w:rsid w:val="006458BF"/>
    <w:rsid w:val="00686E22"/>
    <w:rsid w:val="00694E4B"/>
    <w:rsid w:val="007113F4"/>
    <w:rsid w:val="00711B17"/>
    <w:rsid w:val="0075651C"/>
    <w:rsid w:val="00790F1B"/>
    <w:rsid w:val="007B00E2"/>
    <w:rsid w:val="007B20B5"/>
    <w:rsid w:val="007D759B"/>
    <w:rsid w:val="00836259"/>
    <w:rsid w:val="008B7562"/>
    <w:rsid w:val="00920754"/>
    <w:rsid w:val="009F023B"/>
    <w:rsid w:val="00A52233"/>
    <w:rsid w:val="00B13EDB"/>
    <w:rsid w:val="00B2699B"/>
    <w:rsid w:val="00B50874"/>
    <w:rsid w:val="00B75D4C"/>
    <w:rsid w:val="00BC185B"/>
    <w:rsid w:val="00BD261C"/>
    <w:rsid w:val="00CC5089"/>
    <w:rsid w:val="00CC629E"/>
    <w:rsid w:val="00DB5854"/>
    <w:rsid w:val="00E16A5E"/>
    <w:rsid w:val="00EB6253"/>
    <w:rsid w:val="00F46632"/>
    <w:rsid w:val="00F948A7"/>
    <w:rsid w:val="00FA2326"/>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SemEspaamento">
    <w:name w:val="No Spacing"/>
    <w:uiPriority w:val="1"/>
    <w:qFormat/>
    <w:rsid w:val="00686E22"/>
    <w:rPr>
      <w:rFonts w:ascii="Times New Roman" w:eastAsia="Times New Roman" w:hAnsi="Times New Roman" w:cs="Times New Roman"/>
      <w:lang w:val="pt-PT"/>
    </w:rPr>
  </w:style>
  <w:style w:type="character" w:styleId="Hyperlink">
    <w:name w:val="Hyperlink"/>
    <w:basedOn w:val="Fontepargpadro"/>
    <w:uiPriority w:val="99"/>
    <w:unhideWhenUsed/>
    <w:rsid w:val="00686E22"/>
    <w:rPr>
      <w:color w:val="0000FF" w:themeColor="hyperlink"/>
      <w:u w:val="single"/>
    </w:rPr>
  </w:style>
  <w:style w:type="character" w:styleId="MenoPendente">
    <w:name w:val="Unresolved Mention"/>
    <w:basedOn w:val="Fontepargpadro"/>
    <w:uiPriority w:val="99"/>
    <w:semiHidden/>
    <w:unhideWhenUsed/>
    <w:rsid w:val="0068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24685">
      <w:bodyDiv w:val="1"/>
      <w:marLeft w:val="0"/>
      <w:marRight w:val="0"/>
      <w:marTop w:val="0"/>
      <w:marBottom w:val="0"/>
      <w:divBdr>
        <w:top w:val="none" w:sz="0" w:space="0" w:color="auto"/>
        <w:left w:val="none" w:sz="0" w:space="0" w:color="auto"/>
        <w:bottom w:val="none" w:sz="0" w:space="0" w:color="auto"/>
        <w:right w:val="none" w:sz="0" w:space="0" w:color="auto"/>
      </w:divBdr>
      <w:divsChild>
        <w:div w:id="872424388">
          <w:marLeft w:val="0"/>
          <w:marRight w:val="0"/>
          <w:marTop w:val="0"/>
          <w:marBottom w:val="0"/>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sChild>
                <w:div w:id="718474909">
                  <w:marLeft w:val="0"/>
                  <w:marRight w:val="0"/>
                  <w:marTop w:val="0"/>
                  <w:marBottom w:val="0"/>
                  <w:divBdr>
                    <w:top w:val="none" w:sz="0" w:space="0" w:color="auto"/>
                    <w:left w:val="none" w:sz="0" w:space="0" w:color="auto"/>
                    <w:bottom w:val="none" w:sz="0" w:space="0" w:color="auto"/>
                    <w:right w:val="none" w:sz="0" w:space="0" w:color="auto"/>
                  </w:divBdr>
                  <w:divsChild>
                    <w:div w:id="1652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09582">
      <w:bodyDiv w:val="1"/>
      <w:marLeft w:val="0"/>
      <w:marRight w:val="0"/>
      <w:marTop w:val="0"/>
      <w:marBottom w:val="0"/>
      <w:divBdr>
        <w:top w:val="none" w:sz="0" w:space="0" w:color="auto"/>
        <w:left w:val="none" w:sz="0" w:space="0" w:color="auto"/>
        <w:bottom w:val="none" w:sz="0" w:space="0" w:color="auto"/>
        <w:right w:val="none" w:sz="0" w:space="0" w:color="auto"/>
      </w:divBdr>
    </w:div>
    <w:div w:id="807288319">
      <w:bodyDiv w:val="1"/>
      <w:marLeft w:val="0"/>
      <w:marRight w:val="0"/>
      <w:marTop w:val="0"/>
      <w:marBottom w:val="0"/>
      <w:divBdr>
        <w:top w:val="none" w:sz="0" w:space="0" w:color="auto"/>
        <w:left w:val="none" w:sz="0" w:space="0" w:color="auto"/>
        <w:bottom w:val="none" w:sz="0" w:space="0" w:color="auto"/>
        <w:right w:val="none" w:sz="0" w:space="0" w:color="auto"/>
      </w:divBdr>
    </w:div>
    <w:div w:id="1056247894">
      <w:bodyDiv w:val="1"/>
      <w:marLeft w:val="0"/>
      <w:marRight w:val="0"/>
      <w:marTop w:val="0"/>
      <w:marBottom w:val="0"/>
      <w:divBdr>
        <w:top w:val="none" w:sz="0" w:space="0" w:color="auto"/>
        <w:left w:val="none" w:sz="0" w:space="0" w:color="auto"/>
        <w:bottom w:val="none" w:sz="0" w:space="0" w:color="auto"/>
        <w:right w:val="none" w:sz="0" w:space="0" w:color="auto"/>
      </w:divBdr>
      <w:divsChild>
        <w:div w:id="303245323">
          <w:marLeft w:val="0"/>
          <w:marRight w:val="0"/>
          <w:marTop w:val="0"/>
          <w:marBottom w:val="0"/>
          <w:divBdr>
            <w:top w:val="none" w:sz="0" w:space="0" w:color="auto"/>
            <w:left w:val="none" w:sz="0" w:space="0" w:color="auto"/>
            <w:bottom w:val="none" w:sz="0" w:space="0" w:color="auto"/>
            <w:right w:val="none" w:sz="0" w:space="0" w:color="auto"/>
          </w:divBdr>
          <w:divsChild>
            <w:div w:id="929238528">
              <w:marLeft w:val="0"/>
              <w:marRight w:val="0"/>
              <w:marTop w:val="0"/>
              <w:marBottom w:val="0"/>
              <w:divBdr>
                <w:top w:val="none" w:sz="0" w:space="0" w:color="auto"/>
                <w:left w:val="none" w:sz="0" w:space="0" w:color="auto"/>
                <w:bottom w:val="none" w:sz="0" w:space="0" w:color="auto"/>
                <w:right w:val="none" w:sz="0" w:space="0" w:color="auto"/>
              </w:divBdr>
              <w:divsChild>
                <w:div w:id="442309232">
                  <w:marLeft w:val="0"/>
                  <w:marRight w:val="0"/>
                  <w:marTop w:val="0"/>
                  <w:marBottom w:val="0"/>
                  <w:divBdr>
                    <w:top w:val="none" w:sz="0" w:space="0" w:color="auto"/>
                    <w:left w:val="none" w:sz="0" w:space="0" w:color="auto"/>
                    <w:bottom w:val="none" w:sz="0" w:space="0" w:color="auto"/>
                    <w:right w:val="none" w:sz="0" w:space="0" w:color="auto"/>
                  </w:divBdr>
                  <w:divsChild>
                    <w:div w:id="14093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79562">
      <w:bodyDiv w:val="1"/>
      <w:marLeft w:val="0"/>
      <w:marRight w:val="0"/>
      <w:marTop w:val="0"/>
      <w:marBottom w:val="0"/>
      <w:divBdr>
        <w:top w:val="none" w:sz="0" w:space="0" w:color="auto"/>
        <w:left w:val="none" w:sz="0" w:space="0" w:color="auto"/>
        <w:bottom w:val="none" w:sz="0" w:space="0" w:color="auto"/>
        <w:right w:val="none" w:sz="0" w:space="0" w:color="auto"/>
      </w:divBdr>
    </w:div>
    <w:div w:id="2140805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2282</Words>
  <Characters>12329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Ana Cristina Viana Campos</cp:lastModifiedBy>
  <cp:revision>3</cp:revision>
  <dcterms:created xsi:type="dcterms:W3CDTF">2024-11-14T22:59:00Z</dcterms:created>
  <dcterms:modified xsi:type="dcterms:W3CDTF">2024-11-14T23:00:00Z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