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37A5" w14:textId="77777777" w:rsidR="009D129B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CF8BB" w14:textId="77777777" w:rsidR="00BF3109" w:rsidRPr="00BF3109" w:rsidRDefault="00BF3109" w:rsidP="00BF3109">
      <w:pPr>
        <w:pStyle w:val="Corpodetexto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109">
        <w:rPr>
          <w:rFonts w:ascii="Times New Roman" w:hAnsi="Times New Roman" w:cs="Times New Roman"/>
          <w:b/>
          <w:bCs/>
          <w:sz w:val="28"/>
          <w:szCs w:val="28"/>
        </w:rPr>
        <w:t>ECONOMIA, CONTRATO E PANDEMIA</w:t>
      </w:r>
    </w:p>
    <w:p w14:paraId="01B4A3C0" w14:textId="6105B824" w:rsidR="009D129B" w:rsidRPr="0019190C" w:rsidRDefault="00BF3109" w:rsidP="00BF3109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  <w:r w:rsidRPr="00BF3109">
        <w:rPr>
          <w:rFonts w:ascii="Times New Roman" w:hAnsi="Times New Roman" w:cs="Times New Roman"/>
          <w:b/>
          <w:bCs/>
          <w:sz w:val="28"/>
          <w:szCs w:val="28"/>
        </w:rPr>
        <w:t>NEGOCIAÇÕES DOS CONTRATOS EM CRISE CONTINGECIADA</w:t>
      </w:r>
    </w:p>
    <w:p w14:paraId="09098A61" w14:textId="3D43E756" w:rsidR="00D02558" w:rsidRPr="00A1173C" w:rsidRDefault="00D02558" w:rsidP="00CA2BE1">
      <w:pPr>
        <w:pStyle w:val="Corpodetexto"/>
        <w:spacing w:after="0" w:line="360" w:lineRule="atLeast"/>
        <w:rPr>
          <w:rFonts w:ascii="Times New Roman" w:hAnsi="Times New Roman" w:cs="Times New Roman"/>
          <w:sz w:val="20"/>
          <w:szCs w:val="20"/>
        </w:rPr>
      </w:pPr>
    </w:p>
    <w:p w14:paraId="66D62CBE" w14:textId="77777777" w:rsidR="00CA2BE1" w:rsidRDefault="00CA2BE1" w:rsidP="00CA2BE1">
      <w:pPr>
        <w:jc w:val="right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</w:rPr>
        <w:t>Rogério da Silva e Souza</w:t>
      </w:r>
    </w:p>
    <w:p w14:paraId="417F7513" w14:textId="0EA3BC4C" w:rsidR="00CA2BE1" w:rsidRDefault="00CA2BE1" w:rsidP="00CA2BE1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C73D2">
        <w:rPr>
          <w:rFonts w:ascii="Times New Roman" w:hAnsi="Times New Roman" w:cs="Times New Roman"/>
          <w:sz w:val="20"/>
          <w:szCs w:val="20"/>
        </w:rPr>
        <w:t>Docente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51BB4400" w14:textId="77777777" w:rsidR="00CA2BE1" w:rsidRDefault="00CA2BE1" w:rsidP="00CA2BE1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rogerio.souza@professor.unifametro.edu.br </w:t>
      </w:r>
    </w:p>
    <w:p w14:paraId="182C95A2" w14:textId="77777777" w:rsidR="00CA2BE1" w:rsidRDefault="00CA2BE1" w:rsidP="00CA2BE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Sara Monteiro Matias </w:t>
      </w:r>
    </w:p>
    <w:p w14:paraId="01753555" w14:textId="220AF2D0" w:rsidR="00CA2BE1" w:rsidRDefault="00CA2BE1" w:rsidP="00CA2BE1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A2BE1">
        <w:rPr>
          <w:rFonts w:ascii="Times New Roman" w:hAnsi="Times New Roman" w:cs="Times New Roman"/>
          <w:sz w:val="20"/>
          <w:szCs w:val="20"/>
        </w:rPr>
        <w:t>Discente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088BAA51" w14:textId="77777777" w:rsidR="00CA2BE1" w:rsidRDefault="00CA2BE1" w:rsidP="00CA2BE1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sara.matias01@aluno.unifametro.edu.br </w:t>
      </w:r>
    </w:p>
    <w:p w14:paraId="71118DE3" w14:textId="77777777" w:rsidR="00CA2BE1" w:rsidRDefault="00CA2BE1" w:rsidP="00CA2BE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José Lucas Lima da Costa </w:t>
      </w:r>
    </w:p>
    <w:p w14:paraId="61E92B70" w14:textId="6556E42F" w:rsidR="00CA2BE1" w:rsidRDefault="00CA2BE1" w:rsidP="00CA2BE1">
      <w:pPr>
        <w:jc w:val="right"/>
        <w:rPr>
          <w:rFonts w:ascii="Times New Roman" w:hAnsi="Times New Roman" w:cs="Times New Roman"/>
          <w:sz w:val="20"/>
          <w:szCs w:val="20"/>
        </w:rPr>
      </w:pPr>
      <w:r w:rsidRPr="00CA2BE1">
        <w:rPr>
          <w:rFonts w:ascii="Times New Roman" w:hAnsi="Times New Roman" w:cs="Times New Roman"/>
          <w:sz w:val="20"/>
          <w:szCs w:val="20"/>
        </w:rPr>
        <w:t xml:space="preserve">Discente </w:t>
      </w:r>
      <w:r w:rsidRPr="002C73D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2C73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4E0E4EC1" w14:textId="1CF9B1C4" w:rsidR="00D02558" w:rsidRDefault="00CA2BE1" w:rsidP="00CA2BE1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A2BE1">
        <w:rPr>
          <w:rFonts w:ascii="Times New Roman" w:hAnsi="Times New Roman" w:cs="Times New Roman"/>
          <w:bCs/>
          <w:sz w:val="20"/>
          <w:szCs w:val="20"/>
        </w:rPr>
        <w:t>jose.lucas@aluno.unifametro.edu.br</w:t>
      </w:r>
    </w:p>
    <w:p w14:paraId="5C4A08AB" w14:textId="77777777" w:rsidR="00CA2BE1" w:rsidRPr="00CA2BE1" w:rsidRDefault="00CA2BE1" w:rsidP="00CA2BE1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15F01FB4" w14:textId="4A621344" w:rsidR="000F57F7" w:rsidRPr="0019190C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Pr="00774C55">
        <w:rPr>
          <w:rFonts w:ascii="Times New Roman" w:hAnsi="Times New Roman" w:cs="Times New Roman"/>
          <w:b/>
        </w:rPr>
        <w:t xml:space="preserve">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2A06B31A77454B8A98D842474A2C2FC7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6146B7">
            <w:rPr>
              <w:rFonts w:ascii="Times New Roman" w:hAnsi="Times New Roman" w:cs="Times New Roman"/>
            </w:rPr>
            <w:t>Direitos Fundamentais, Sustentabilidade e Democracia</w:t>
          </w:r>
        </w:sdtContent>
      </w:sdt>
    </w:p>
    <w:p w14:paraId="37FCEAD9" w14:textId="3CF07DAF" w:rsidR="000F57F7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Pr="00774C5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2A06B31A77454B8A98D842474A2C2FC7"/>
          </w:placeholder>
          <w:dropDownList>
            <w:listItem w:value="Escolher um item."/>
            <w:listItem w:displayText="IX Encontro de Iniciação à Pesquisa" w:value="IX Encontro de Iniciação à Pesquisa"/>
            <w:listItem w:displayText="IX Encontro de Monitoria e Iniciação Científica" w:value="IX Encontro de Monitoria e Iniciação Científica"/>
            <w:listItem w:displayText="XI Encontro de Pós-graduação" w:value="XI Encontro de Pós-graduação"/>
            <w:listItem w:displayText="II Encontro de Experiências Docentes" w:value="II Encontro de Experiências Docentes"/>
          </w:dropDownList>
        </w:sdtPr>
        <w:sdtEndPr/>
        <w:sdtContent>
          <w:r w:rsidR="004C136A">
            <w:rPr>
              <w:rFonts w:ascii="Times New Roman" w:hAnsi="Times New Roman" w:cs="Times New Roman"/>
              <w:bCs/>
            </w:rPr>
            <w:t>IX Encontro de Monitoria e Iniciação Científica</w:t>
          </w:r>
        </w:sdtContent>
      </w:sdt>
    </w:p>
    <w:p w14:paraId="7CCA51FB" w14:textId="77777777" w:rsidR="009D129B" w:rsidRPr="00A1173C" w:rsidRDefault="009D129B" w:rsidP="009D12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78B81180" w14:textId="77777777" w:rsidR="009D129B" w:rsidRPr="00134253" w:rsidRDefault="009D129B" w:rsidP="00A957DE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B0F0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bookmarkStart w:id="0" w:name="Texto3"/>
      <w:bookmarkEnd w:id="0"/>
      <w:r w:rsidRPr="00134253">
        <w:rPr>
          <w:rFonts w:ascii="Times New Roman" w:hAnsi="Times New Roman" w:cs="Times New Roman"/>
          <w:b/>
          <w:bCs/>
          <w:color w:val="FFFFFF" w:themeColor="background1"/>
        </w:rPr>
        <w:t>RESUMO</w:t>
      </w:r>
    </w:p>
    <w:p w14:paraId="1903D709" w14:textId="46996DD3" w:rsidR="009D129B" w:rsidRDefault="00BF3109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F3109">
        <w:rPr>
          <w:rFonts w:ascii="Times New Roman" w:hAnsi="Times New Roman" w:cs="Times New Roman"/>
          <w:bCs/>
        </w:rPr>
        <w:t>O estudo tem por escopo, compreender a arregimentação do discurso econômico-financeiro pertinentes à situação dos negócios jurídicos em face das instituições, em período pandêmico, É de urgência ressaltar os efeitos da crise humanitária, sanitária e até econômica que paira tal com uma curva exponencial sobre o mundo, sem suavizar a situação nacional que como incidência reflete em ambientes diversos no Brasil, a despeito da frágil economia do país e seu desenvolvimento para salvaguardar as relações negociais no cenário da Covid-19. A pesquisa tem abordagem livre e exploratória, além da tipificação bibliográfica estruturada em núcleo temático específico. Compreende-se, que se faz necessário as adaptações persistentes e precisas adotadas pelas instituições financeiras, em um esforço comum que conjuguem os empresários, clientes-credores. É factual que renegociações e medidas se façam com o escopo de deslindar o máximo impacto da Covid-19 às pessoas em situação contingencial de contratos</w:t>
      </w:r>
    </w:p>
    <w:p w14:paraId="682919B5" w14:textId="7156F41F" w:rsidR="009D129B" w:rsidRPr="00DB77F7" w:rsidRDefault="00BF3109" w:rsidP="00BF3109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BF3109">
        <w:rPr>
          <w:rFonts w:ascii="Times New Roman" w:hAnsi="Times New Roman" w:cs="Times New Roman"/>
          <w:b/>
        </w:rPr>
        <w:t xml:space="preserve">Palavras-chave: </w:t>
      </w:r>
      <w:r w:rsidRPr="00BF3109">
        <w:rPr>
          <w:rFonts w:ascii="Times New Roman" w:hAnsi="Times New Roman" w:cs="Times New Roman"/>
          <w:bCs/>
        </w:rPr>
        <w:t>Direito Privado 1; Direito Econômico-Fiscal 2; Dirigismo contratual 3; Crise econômica 4; Pandemia</w:t>
      </w:r>
      <w:r>
        <w:rPr>
          <w:rFonts w:ascii="Times New Roman" w:hAnsi="Times New Roman" w:cs="Times New Roman"/>
          <w:bCs/>
        </w:rPr>
        <w:t xml:space="preserve"> 5</w:t>
      </w:r>
      <w:r w:rsidR="009D129B" w:rsidRPr="00BF3109">
        <w:rPr>
          <w:rFonts w:ascii="Times New Roman" w:hAnsi="Times New Roman" w:cs="Times New Roman"/>
        </w:rPr>
        <w:t>.</w:t>
      </w:r>
    </w:p>
    <w:p w14:paraId="0BCC27C6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INTRODUÇÃO</w:t>
      </w:r>
    </w:p>
    <w:p w14:paraId="79C610A2" w14:textId="1EF14AC0" w:rsidR="00BF3109" w:rsidRPr="00BF3109" w:rsidRDefault="00BF3109" w:rsidP="00BF3109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BF3109">
        <w:rPr>
          <w:rFonts w:ascii="Times New Roman" w:hAnsi="Times New Roman" w:cs="Times New Roman"/>
        </w:rPr>
        <w:t xml:space="preserve">A preocupação em torno dos negócios e da pandemia é veemente, isto porque a crise assola, desastrosamente, uma sociedade marcada pelo consumo. Não há de se negar que esta é uma era para o consumo, por essa razão nunca o mercado foi tão fornecedor de bens de consumo, a ponto de deflagar questões atuais como o consumidor superendividado e mesmo a </w:t>
      </w:r>
      <w:r w:rsidRPr="00BF3109">
        <w:rPr>
          <w:rFonts w:ascii="Times New Roman" w:hAnsi="Times New Roman" w:cs="Times New Roman"/>
        </w:rPr>
        <w:lastRenderedPageBreak/>
        <w:t xml:space="preserve">transformação da pessoa em mercadoria, como reflete o sociólogo polonês Zygmunt </w:t>
      </w:r>
      <w:proofErr w:type="spellStart"/>
      <w:r w:rsidRPr="00BF3109">
        <w:rPr>
          <w:rFonts w:ascii="Times New Roman" w:hAnsi="Times New Roman" w:cs="Times New Roman"/>
        </w:rPr>
        <w:t>Bauman</w:t>
      </w:r>
      <w:proofErr w:type="spellEnd"/>
      <w:r w:rsidRPr="00BF3109">
        <w:rPr>
          <w:rFonts w:ascii="Times New Roman" w:hAnsi="Times New Roman" w:cs="Times New Roman"/>
        </w:rPr>
        <w:t xml:space="preserve"> em sua Vida para consumo.</w:t>
      </w:r>
      <w:r>
        <w:rPr>
          <w:rStyle w:val="Refdenotaderodap"/>
          <w:rFonts w:ascii="Times New Roman" w:hAnsi="Times New Roman" w:cs="Times New Roman"/>
        </w:rPr>
        <w:footnoteReference w:id="1"/>
      </w:r>
      <w:r w:rsidRPr="00BF3109">
        <w:rPr>
          <w:rFonts w:ascii="Times New Roman" w:hAnsi="Times New Roman" w:cs="Times New Roman"/>
        </w:rPr>
        <w:t xml:space="preserve"> </w:t>
      </w:r>
    </w:p>
    <w:p w14:paraId="3E7919D4" w14:textId="77777777" w:rsidR="00BF3109" w:rsidRPr="00BF3109" w:rsidRDefault="00BF3109" w:rsidP="00BF3109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BF3109">
        <w:rPr>
          <w:rFonts w:ascii="Times New Roman" w:hAnsi="Times New Roman" w:cs="Times New Roman"/>
        </w:rPr>
        <w:t>Uma concepção contemporânea de obrigação contratual, como aquela que é vista como um processo dinâmico, vale dizer, como uma série de atos exigidos do credor e do devedor para que suas pretensões sejam alcançadas.</w:t>
      </w:r>
    </w:p>
    <w:p w14:paraId="46E0A0F9" w14:textId="77777777" w:rsidR="00BF3109" w:rsidRPr="00BF3109" w:rsidRDefault="00BF3109" w:rsidP="00BF3109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BF3109">
        <w:rPr>
          <w:rFonts w:ascii="Times New Roman" w:hAnsi="Times New Roman" w:cs="Times New Roman"/>
        </w:rPr>
        <w:t xml:space="preserve">De maneira recorrente nos últimos anos a evolução da dependência dos indivíduos para com as instituições financeira sejam eles comerciais, de desenvolvimento ou de investimentos, por meio de pagamentos, empréstimos, seguros, contas bancárias, transferências têm sido notoriamente </w:t>
      </w:r>
      <w:proofErr w:type="gramStart"/>
      <w:r w:rsidRPr="00BF3109">
        <w:rPr>
          <w:rFonts w:ascii="Times New Roman" w:hAnsi="Times New Roman" w:cs="Times New Roman"/>
        </w:rPr>
        <w:t>elevada</w:t>
      </w:r>
      <w:proofErr w:type="gramEnd"/>
      <w:r w:rsidRPr="00BF3109">
        <w:rPr>
          <w:rFonts w:ascii="Times New Roman" w:hAnsi="Times New Roman" w:cs="Times New Roman"/>
        </w:rPr>
        <w:t xml:space="preserve"> devido à informatização dos sistemas oferecendo informalidade nas ações realizadas. Também, o produto dessa manifesta evolução digitalizada dá-se no fato das renegociações entre o credor e o devedor serem flexibilizadas a qualquer momento, sobremaneira, em tempos de pandemia.</w:t>
      </w:r>
    </w:p>
    <w:p w14:paraId="328C4AD2" w14:textId="77777777" w:rsidR="00BF3109" w:rsidRPr="00BF3109" w:rsidRDefault="00BF3109" w:rsidP="00BF3109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BF3109">
        <w:rPr>
          <w:rFonts w:ascii="Times New Roman" w:hAnsi="Times New Roman" w:cs="Times New Roman"/>
        </w:rPr>
        <w:t>O efeito pandêmico causado pela Covid-19 alargou as possibilidades das negociações com o fim de produzir os menores impactos negativos possíveis, promovendo a seguinte problemática, qual o discurso econômico dos direitos, diante das negociações obrigacionais diante da realidade pandêmica?</w:t>
      </w:r>
    </w:p>
    <w:p w14:paraId="0775E3C9" w14:textId="77777777" w:rsidR="00BF3109" w:rsidRPr="00BF3109" w:rsidRDefault="00BF3109" w:rsidP="00BF3109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BF3109">
        <w:rPr>
          <w:rFonts w:ascii="Times New Roman" w:hAnsi="Times New Roman" w:cs="Times New Roman"/>
        </w:rPr>
        <w:t>Na primeira parte assinala-se a evidência da política econômica do país, marcado pelo historicismo de crises morais e ausência de um modelo de desenvolvimento promissor para o Brasil, cujas consequências é a inabilidade para lidar com a crise econômica em tempos de pandemia.</w:t>
      </w:r>
    </w:p>
    <w:p w14:paraId="50B04081" w14:textId="77777777" w:rsidR="00BF3109" w:rsidRPr="00BF3109" w:rsidRDefault="00BF3109" w:rsidP="00BF3109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BF3109">
        <w:rPr>
          <w:rFonts w:ascii="Times New Roman" w:hAnsi="Times New Roman" w:cs="Times New Roman"/>
        </w:rPr>
        <w:t>Na segunda parte, ostenta-se a discussão em torno da econômica privada, cujo papel é destacado às instituições financeiras em salvaguardar a segurança contratual, ora pela imprevisibilidade das relações contratuais, ora pela quebra objetiva dos contratos nas relações de consumo, perante a crise pandêmica.</w:t>
      </w:r>
    </w:p>
    <w:p w14:paraId="57A5357B" w14:textId="14A76E55" w:rsidR="009D129B" w:rsidRDefault="00BF3109" w:rsidP="00BF3109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BF3109">
        <w:rPr>
          <w:rFonts w:ascii="Times New Roman" w:hAnsi="Times New Roman" w:cs="Times New Roman"/>
        </w:rPr>
        <w:lastRenderedPageBreak/>
        <w:t>Por fim, salienta-se o panorama no presente momento com o fortalecimento da economia, bem como da judicialização dos contratos frente às instituições financeiras a viabilizar a continuidade dos vínculos negociais em tempos obscuros como estes.</w:t>
      </w:r>
      <w:r w:rsidR="009D129B" w:rsidRPr="00D51162">
        <w:rPr>
          <w:rFonts w:ascii="Times New Roman" w:hAnsi="Times New Roman" w:cs="Times New Roman"/>
        </w:rPr>
        <w:t xml:space="preserve"> </w:t>
      </w:r>
    </w:p>
    <w:p w14:paraId="780188B2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METODOLOGIA</w:t>
      </w:r>
    </w:p>
    <w:p w14:paraId="5ED308EE" w14:textId="2E35293D" w:rsidR="009D129B" w:rsidRDefault="00A77817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A77817">
        <w:rPr>
          <w:rFonts w:ascii="Times New Roman" w:hAnsi="Times New Roman" w:cs="Times New Roman"/>
        </w:rPr>
        <w:t>abordagem da pesquisa se dá de forma livre e exploratória em torno da temática, pode-se dizer até experimental, com manifesta reflexão crítica sobre a crise econômica nos setores institucionais e a política fiscal que se apropriam das desigualdades econômicas dos brasileiros. É ainda do tipo bibliográfica, pois, tratou de conferir decisões esparsas nos tribunais pátrios, bem como de referências literárias em obras especializadas.</w:t>
      </w:r>
    </w:p>
    <w:p w14:paraId="610A87CC" w14:textId="77777777" w:rsidR="009D129B" w:rsidRPr="0013425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RESULTADOS E DISCUSSÃO</w:t>
      </w:r>
    </w:p>
    <w:p w14:paraId="42AD85C2" w14:textId="77777777" w:rsidR="00A77817" w:rsidRPr="004778E8" w:rsidRDefault="00A77817" w:rsidP="00A7781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778E8">
        <w:rPr>
          <w:rFonts w:ascii="Times New Roman" w:eastAsia="Times New Roman" w:hAnsi="Times New Roman" w:cs="Times New Roman"/>
        </w:rPr>
        <w:t>Não há como nomear os abalos decorrentes da pandemia a lesar desde as grandes empresas até os trabalhadores informais entre as pessoas naturais e jurídicas encaminhando-se aos vínculos privados que geram obrigações às partes.</w:t>
      </w:r>
    </w:p>
    <w:p w14:paraId="15F13321" w14:textId="77777777" w:rsidR="00A77817" w:rsidRPr="004778E8" w:rsidRDefault="00A77817" w:rsidP="00A7781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4778E8">
        <w:rPr>
          <w:rFonts w:ascii="Times New Roman" w:eastAsia="Times New Roman" w:hAnsi="Times New Roman" w:cs="Times New Roman"/>
        </w:rPr>
        <w:t>É inegável que se vive na quarta revolução industrial transformadora que semeia seus efeitos em todos os ambientes possívei</w:t>
      </w:r>
      <w:r>
        <w:rPr>
          <w:rFonts w:ascii="Times New Roman" w:eastAsia="Times New Roman" w:hAnsi="Times New Roman" w:cs="Times New Roman"/>
        </w:rPr>
        <w:t xml:space="preserve">s e dos mais variados produtos. A </w:t>
      </w:r>
      <w:r w:rsidRPr="004778E8">
        <w:rPr>
          <w:rFonts w:ascii="Times New Roman" w:eastAsia="Times New Roman" w:hAnsi="Times New Roman" w:cs="Times New Roman"/>
        </w:rPr>
        <w:t>par disso, com a pandemia atingindo sem distinção a todos, é nítido o malabarismo dos bancos e seus contratos com o fim de não só se manterem, sem a forte pressão da liquidez, como também proteger seus vínculos obrigacionais e atender as necessidades de seus clientes.</w:t>
      </w:r>
    </w:p>
    <w:p w14:paraId="61432FAF" w14:textId="77777777" w:rsidR="00A77817" w:rsidRDefault="00A77817" w:rsidP="00A7781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4778E8">
        <w:rPr>
          <w:rFonts w:ascii="Times New Roman" w:eastAsia="Times New Roman" w:hAnsi="Times New Roman" w:cs="Times New Roman"/>
        </w:rPr>
        <w:t xml:space="preserve">Com efeito, o mundo dos contratos em tempos obscuros como estes tem sido discutido visto que o descumprimento de uma parte e a onerosidade excessiva estão em mão duplas. Com o advento do cenário complicado os vínculos obrigacionais por sua vez acarretaram classificações que de início não era o pensável, a exemplo da onerosidade na qual há benefícios para uma parte e sacrifícios para outra, quadro este presente para milhares de brasileiros demandaram às compras e às vendas, mas, pela externalidade pandêmica houve mais dificuldades para o devedor que </w:t>
      </w:r>
      <w:r>
        <w:rPr>
          <w:rFonts w:ascii="Times New Roman" w:eastAsia="Times New Roman" w:hAnsi="Times New Roman" w:cs="Times New Roman"/>
        </w:rPr>
        <w:t>se acresce</w:t>
      </w:r>
      <w:r w:rsidRPr="004778E8">
        <w:rPr>
          <w:rFonts w:ascii="Times New Roman" w:eastAsia="Times New Roman" w:hAnsi="Times New Roman" w:cs="Times New Roman"/>
        </w:rPr>
        <w:t xml:space="preserve"> desemprega</w:t>
      </w:r>
      <w:r>
        <w:rPr>
          <w:rFonts w:ascii="Times New Roman" w:eastAsia="Times New Roman" w:hAnsi="Times New Roman" w:cs="Times New Roman"/>
        </w:rPr>
        <w:t>do</w:t>
      </w:r>
      <w:r w:rsidRPr="004778E8">
        <w:rPr>
          <w:rFonts w:ascii="Times New Roman" w:eastAsia="Times New Roman" w:hAnsi="Times New Roman" w:cs="Times New Roman"/>
        </w:rPr>
        <w:t>.</w:t>
      </w:r>
    </w:p>
    <w:p w14:paraId="69893D57" w14:textId="77777777" w:rsidR="00A77817" w:rsidRDefault="00A77817" w:rsidP="00A7781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778E8">
        <w:rPr>
          <w:rFonts w:ascii="Times New Roman" w:eastAsia="Times New Roman" w:hAnsi="Times New Roman" w:cs="Times New Roman"/>
        </w:rPr>
        <w:t>No mais é basilar que se os efeitos atingiram os bancos em su</w:t>
      </w:r>
      <w:r>
        <w:rPr>
          <w:rFonts w:ascii="Times New Roman" w:eastAsia="Times New Roman" w:hAnsi="Times New Roman" w:cs="Times New Roman"/>
        </w:rPr>
        <w:t>a</w:t>
      </w:r>
      <w:r w:rsidRPr="004778E8">
        <w:rPr>
          <w:rFonts w:ascii="Times New Roman" w:eastAsia="Times New Roman" w:hAnsi="Times New Roman" w:cs="Times New Roman"/>
        </w:rPr>
        <w:t xml:space="preserve"> rotatividade econômica,</w:t>
      </w:r>
      <w:r>
        <w:rPr>
          <w:rFonts w:ascii="Times New Roman" w:eastAsia="Times New Roman" w:hAnsi="Times New Roman" w:cs="Times New Roman"/>
        </w:rPr>
        <w:t xml:space="preserve"> </w:t>
      </w:r>
      <w:r w:rsidRPr="004778E8">
        <w:rPr>
          <w:rFonts w:ascii="Times New Roman" w:eastAsia="Times New Roman" w:hAnsi="Times New Roman" w:cs="Times New Roman"/>
        </w:rPr>
        <w:t>os devedores foram inversamente atingidos,</w:t>
      </w:r>
      <w:r>
        <w:rPr>
          <w:rFonts w:ascii="Times New Roman" w:eastAsia="Times New Roman" w:hAnsi="Times New Roman" w:cs="Times New Roman"/>
        </w:rPr>
        <w:t xml:space="preserve"> </w:t>
      </w:r>
      <w:r w:rsidRPr="004778E8">
        <w:rPr>
          <w:rFonts w:ascii="Times New Roman" w:eastAsia="Times New Roman" w:hAnsi="Times New Roman" w:cs="Times New Roman"/>
        </w:rPr>
        <w:t>visto que para alguns que precisam de empréstimos ou sobrevivem pelo trabalho informal no terceiro setor,</w:t>
      </w:r>
      <w:r>
        <w:rPr>
          <w:rFonts w:ascii="Times New Roman" w:eastAsia="Times New Roman" w:hAnsi="Times New Roman" w:cs="Times New Roman"/>
        </w:rPr>
        <w:t xml:space="preserve"> foi-</w:t>
      </w:r>
      <w:r w:rsidRPr="004778E8">
        <w:rPr>
          <w:rFonts w:ascii="Times New Roman" w:eastAsia="Times New Roman" w:hAnsi="Times New Roman" w:cs="Times New Roman"/>
        </w:rPr>
        <w:t xml:space="preserve">se pedida em face desta </w:t>
      </w:r>
      <w:r>
        <w:rPr>
          <w:rFonts w:ascii="Times New Roman" w:eastAsia="Times New Roman" w:hAnsi="Times New Roman" w:cs="Times New Roman"/>
        </w:rPr>
        <w:t xml:space="preserve">calamidade pública, o afamado </w:t>
      </w:r>
      <w:r w:rsidRPr="00CB193C">
        <w:rPr>
          <w:rFonts w:ascii="Times New Roman" w:eastAsia="Times New Roman" w:hAnsi="Times New Roman" w:cs="Times New Roman"/>
          <w:i/>
        </w:rPr>
        <w:t>rebus sic stantibus</w:t>
      </w:r>
      <w:r>
        <w:rPr>
          <w:rFonts w:ascii="Times New Roman" w:eastAsia="Times New Roman" w:hAnsi="Times New Roman" w:cs="Times New Roman"/>
        </w:rPr>
        <w:t xml:space="preserve"> </w:t>
      </w:r>
      <w:r w:rsidRPr="004778E8">
        <w:rPr>
          <w:rFonts w:ascii="Times New Roman" w:eastAsia="Times New Roman" w:hAnsi="Times New Roman" w:cs="Times New Roman"/>
        </w:rPr>
        <w:t>que traz a resolução do contrato onerosa</w:t>
      </w:r>
      <w:r>
        <w:rPr>
          <w:rFonts w:ascii="Times New Roman" w:eastAsia="Times New Roman" w:hAnsi="Times New Roman" w:cs="Times New Roman"/>
        </w:rPr>
        <w:t>mente excessivo à sua resolução.</w:t>
      </w:r>
    </w:p>
    <w:p w14:paraId="51031A9B" w14:textId="77777777" w:rsidR="00A77817" w:rsidRPr="00462838" w:rsidRDefault="00A77817" w:rsidP="00A7781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462838">
        <w:rPr>
          <w:rFonts w:ascii="Times New Roman" w:hAnsi="Times New Roman" w:cs="Times New Roman"/>
          <w:bCs/>
        </w:rPr>
        <w:lastRenderedPageBreak/>
        <w:t xml:space="preserve">Nos negócios jurídicos de consumo, a relação obrigacional não é diferente, a despeito do princípio da vulnerabilidade, o objeto da relação é aquele que se firma em razão da proteção equilibrada do contrato, levando-se em consideração um negócio, genuinamente ético, com base na honestidade e boa-fé contratuais. </w:t>
      </w:r>
    </w:p>
    <w:p w14:paraId="1048404A" w14:textId="3126191B" w:rsidR="000A7AB3" w:rsidRPr="000A7AB3" w:rsidRDefault="00A77817" w:rsidP="000A7AB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462838">
        <w:rPr>
          <w:rFonts w:ascii="Times New Roman" w:hAnsi="Times New Roman" w:cs="Times New Roman"/>
          <w:bCs/>
        </w:rPr>
        <w:t>As teorias que alcançam os contratos de consumo, como a da imprevisão contratual, bem como a da base objetiva nos negócios jurídicos, perpassam os valores de reciprocidade, alteridade e ética contratuais. Não obstante a diferença entre a codificação civilist</w:t>
      </w:r>
      <w:r>
        <w:rPr>
          <w:rFonts w:ascii="Times New Roman" w:hAnsi="Times New Roman" w:cs="Times New Roman"/>
          <w:bCs/>
        </w:rPr>
        <w:t>a e a codificação consumerista. Pois, q</w:t>
      </w:r>
      <w:r w:rsidRPr="00462838">
        <w:rPr>
          <w:rFonts w:ascii="Times New Roman" w:hAnsi="Times New Roman" w:cs="Times New Roman"/>
          <w:bCs/>
        </w:rPr>
        <w:t>uanto à possibilidade de rev</w:t>
      </w:r>
      <w:r>
        <w:rPr>
          <w:rFonts w:ascii="Times New Roman" w:hAnsi="Times New Roman" w:cs="Times New Roman"/>
          <w:bCs/>
        </w:rPr>
        <w:t>isão de cláusulas contratuais, o</w:t>
      </w:r>
      <w:r w:rsidRPr="00462838">
        <w:rPr>
          <w:rFonts w:ascii="Times New Roman" w:hAnsi="Times New Roman" w:cs="Times New Roman"/>
          <w:bCs/>
        </w:rPr>
        <w:t xml:space="preserve"> Código Civil recorre à teoria da imprevisão, com assento no modelo francês, considerando a imprevisibilidade do fato superveniente como requisito para que se </w:t>
      </w:r>
      <w:r>
        <w:rPr>
          <w:rFonts w:ascii="Times New Roman" w:hAnsi="Times New Roman" w:cs="Times New Roman"/>
          <w:bCs/>
        </w:rPr>
        <w:t>possa revisar um contrato. O Código de Defesa do Consumidor (CDC), por sua vez,</w:t>
      </w:r>
      <w:r w:rsidRPr="00462838">
        <w:rPr>
          <w:rFonts w:ascii="Times New Roman" w:hAnsi="Times New Roman" w:cs="Times New Roman"/>
          <w:bCs/>
        </w:rPr>
        <w:t xml:space="preserve"> dispensa qualquer ocorrência de eventos imprevisíveis ou extraordinários, bastando que se desencadeie fato novo, resultante de um acontecimento superveniente.</w:t>
      </w:r>
      <w:r>
        <w:rPr>
          <w:rFonts w:ascii="Times New Roman" w:hAnsi="Times New Roman" w:cs="Times New Roman"/>
          <w:bCs/>
        </w:rPr>
        <w:t xml:space="preserve"> Conforme,</w:t>
      </w:r>
      <w:r w:rsidRPr="004628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 pensamento majoritário, a teoria adotada no CDC é </w:t>
      </w:r>
      <w:r w:rsidRPr="00462838">
        <w:rPr>
          <w:rFonts w:ascii="Times New Roman" w:hAnsi="Times New Roman" w:cs="Times New Roman"/>
          <w:bCs/>
        </w:rPr>
        <w:t>a da quebra da base objetiva do negócio jurídico, com raízes no direito alemão segundo a qual a ocorrência de fato superveniente que torne a prestação excessivamente onerosa seria capaz de justificar a revisão de um contrato.</w:t>
      </w:r>
    </w:p>
    <w:p w14:paraId="50CCA35B" w14:textId="77777777" w:rsidR="00A77817" w:rsidRDefault="00A77817" w:rsidP="00A7781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462838">
        <w:rPr>
          <w:rFonts w:ascii="Times New Roman" w:hAnsi="Times New Roman" w:cs="Times New Roman"/>
          <w:bCs/>
        </w:rPr>
        <w:t>Neste sentido, um contrato pode ser modificado ou revisado em virtude da mera onerosidade excessiva, sempre que se inviabilize o adimplemento contratual do consumidor. Tal reflexão preza pelo amparo ao consumidor nos contratos, com realce para os contratos de adesão, usados em larga escala, nos quais o consumidor, é surpreendido com cláusulas iníquas e abusivas, como se pode abstrair também do art. 51, § 2° CDC</w:t>
      </w:r>
      <w:r w:rsidRPr="00462838">
        <w:rPr>
          <w:rFonts w:ascii="Times New Roman" w:hAnsi="Times New Roman" w:cs="Times New Roman"/>
          <w:b/>
          <w:bCs/>
        </w:rPr>
        <w:t>.</w:t>
      </w:r>
    </w:p>
    <w:p w14:paraId="55A3AD4E" w14:textId="77777777" w:rsidR="00A77817" w:rsidRDefault="00A77817" w:rsidP="00A7781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atual conjuntura, destaca-se que há diversos acórdãos em torno da situação econômica e financeira da sociedade brasileira, contingenciada pela pandemia e seus efeitos, Pavan </w:t>
      </w:r>
      <w:proofErr w:type="spellStart"/>
      <w:r>
        <w:rPr>
          <w:rFonts w:ascii="Times New Roman" w:eastAsia="Times New Roman" w:hAnsi="Times New Roman" w:cs="Times New Roman"/>
        </w:rPr>
        <w:t>Sukhdev</w:t>
      </w:r>
      <w:proofErr w:type="spellEnd"/>
      <w:r>
        <w:rPr>
          <w:rFonts w:ascii="Times New Roman" w:eastAsia="Times New Roman" w:hAnsi="Times New Roman" w:cs="Times New Roman"/>
        </w:rPr>
        <w:t xml:space="preserve"> (2013, p.240), embora anteriormente à crise pandêmica e a despeito da pandemia, considera:</w:t>
      </w:r>
    </w:p>
    <w:p w14:paraId="033C5B9C" w14:textId="77777777" w:rsidR="00A77817" w:rsidRDefault="00A77817" w:rsidP="00A77817">
      <w:pPr>
        <w:ind w:left="226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 sistema econômico atual, a prática não é bem monitorada, bem gerida nem bem controlada. Instituições de caráter financeiro ou não usaram seu poder político de maneira eficiente nas últimas décadas para assegurar que os governos de todo o mundo se afastassem dos problemas financeiros empresariais, e tiveram êxito e retroceder ou evitar regulamentação em muitas áreas.</w:t>
      </w:r>
    </w:p>
    <w:p w14:paraId="3D933415" w14:textId="77777777" w:rsidR="00A77817" w:rsidRPr="0060656A" w:rsidRDefault="00A77817" w:rsidP="00A7781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6C08882E" w14:textId="2C038C59" w:rsidR="009D129B" w:rsidRDefault="00A77817" w:rsidP="00A77817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0656A">
        <w:rPr>
          <w:rFonts w:ascii="Times New Roman" w:hAnsi="Times New Roman" w:cs="Times New Roman"/>
        </w:rPr>
        <w:lastRenderedPageBreak/>
        <w:t>No Brasil de hoje, a ausência de uma regulação social em prol do fisiologismo financeiro acaba por retardar a retomada do equilíbrio e da educação financeira do brasileiro, sobretudo em tempos de pandemia.</w:t>
      </w:r>
      <w:r w:rsidR="009D129B" w:rsidRPr="00D51162">
        <w:rPr>
          <w:rFonts w:ascii="Times New Roman" w:hAnsi="Times New Roman" w:cs="Times New Roman"/>
        </w:rPr>
        <w:t xml:space="preserve"> </w:t>
      </w:r>
    </w:p>
    <w:p w14:paraId="1E5D3C35" w14:textId="7D20043D" w:rsidR="009D129B" w:rsidRPr="0013425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CONSIDERAÇÕES FINAIS</w:t>
      </w:r>
    </w:p>
    <w:p w14:paraId="63051E1D" w14:textId="77777777" w:rsidR="000A7AB3" w:rsidRDefault="000A7AB3" w:rsidP="000A7AB3">
      <w:pPr>
        <w:pStyle w:val="Default"/>
        <w:spacing w:before="120" w:after="120" w:line="360" w:lineRule="auto"/>
        <w:ind w:firstLine="708"/>
        <w:jc w:val="both"/>
        <w:rPr>
          <w:rFonts w:ascii="Times New Roman" w:hAnsi="Times New Roman" w:cs="Times New Roman"/>
          <w:color w:val="auto"/>
          <w:kern w:val="1"/>
          <w:lang w:eastAsia="zh-CN" w:bidi="hi-IN"/>
        </w:rPr>
      </w:pPr>
      <w:r w:rsidRPr="003B698B">
        <w:rPr>
          <w:rFonts w:ascii="Times New Roman" w:hAnsi="Times New Roman" w:cs="Times New Roman"/>
          <w:color w:val="auto"/>
          <w:kern w:val="1"/>
          <w:lang w:eastAsia="zh-CN" w:bidi="hi-IN"/>
        </w:rPr>
        <w:t xml:space="preserve">Vê-se que é nítida a relação mútua entre os bancos e seus clientes para que ocorra a movimentação do capital de giro e que para isso </w:t>
      </w:r>
      <w:proofErr w:type="gramStart"/>
      <w:r w:rsidRPr="003B698B">
        <w:rPr>
          <w:rFonts w:ascii="Times New Roman" w:hAnsi="Times New Roman" w:cs="Times New Roman"/>
          <w:color w:val="auto"/>
          <w:kern w:val="1"/>
          <w:lang w:eastAsia="zh-CN" w:bidi="hi-IN"/>
        </w:rPr>
        <w:t>a adoção de medidas foram</w:t>
      </w:r>
      <w:proofErr w:type="gramEnd"/>
      <w:r w:rsidRPr="003B698B">
        <w:rPr>
          <w:rFonts w:ascii="Times New Roman" w:hAnsi="Times New Roman" w:cs="Times New Roman"/>
          <w:color w:val="auto"/>
          <w:kern w:val="1"/>
          <w:lang w:eastAsia="zh-CN" w:bidi="hi-IN"/>
        </w:rPr>
        <w:t xml:space="preserve"> p</w:t>
      </w:r>
      <w:r>
        <w:rPr>
          <w:rFonts w:ascii="Times New Roman" w:hAnsi="Times New Roman" w:cs="Times New Roman"/>
          <w:color w:val="auto"/>
          <w:kern w:val="1"/>
          <w:lang w:eastAsia="zh-CN" w:bidi="hi-IN"/>
        </w:rPr>
        <w:t>ostas em voga ligeiramente com fim de não haver queda desproporcional</w:t>
      </w:r>
      <w:r w:rsidRPr="003B698B">
        <w:rPr>
          <w:rFonts w:ascii="Times New Roman" w:hAnsi="Times New Roman" w:cs="Times New Roman"/>
          <w:color w:val="auto"/>
          <w:kern w:val="1"/>
          <w:lang w:eastAsia="zh-CN" w:bidi="hi-IN"/>
        </w:rPr>
        <w:t>. Haja vista que</w:t>
      </w:r>
      <w:r>
        <w:rPr>
          <w:rFonts w:ascii="Times New Roman" w:hAnsi="Times New Roman" w:cs="Times New Roman"/>
          <w:color w:val="auto"/>
          <w:kern w:val="1"/>
          <w:lang w:eastAsia="zh-CN" w:bidi="hi-IN"/>
        </w:rPr>
        <w:t xml:space="preserve"> a rotação do capital movimenta</w:t>
      </w:r>
      <w:r w:rsidRPr="003B698B">
        <w:rPr>
          <w:rFonts w:ascii="Times New Roman" w:hAnsi="Times New Roman" w:cs="Times New Roman"/>
          <w:color w:val="auto"/>
          <w:kern w:val="1"/>
          <w:lang w:eastAsia="zh-CN" w:bidi="hi-IN"/>
        </w:rPr>
        <w:t xml:space="preserve"> toda a esfera socioeconômica além de atividades i</w:t>
      </w:r>
      <w:r>
        <w:rPr>
          <w:rFonts w:ascii="Times New Roman" w:hAnsi="Times New Roman" w:cs="Times New Roman"/>
          <w:color w:val="auto"/>
          <w:kern w:val="1"/>
          <w:lang w:eastAsia="zh-CN" w:bidi="hi-IN"/>
        </w:rPr>
        <w:t>nformais</w:t>
      </w:r>
      <w:r w:rsidRPr="003B698B">
        <w:rPr>
          <w:rFonts w:ascii="Times New Roman" w:hAnsi="Times New Roman" w:cs="Times New Roman"/>
          <w:color w:val="auto"/>
          <w:kern w:val="1"/>
          <w:lang w:eastAsia="zh-CN" w:bidi="hi-IN"/>
        </w:rPr>
        <w:t>. Contudo,</w:t>
      </w:r>
      <w:r>
        <w:rPr>
          <w:rFonts w:ascii="Times New Roman" w:hAnsi="Times New Roman" w:cs="Times New Roman"/>
          <w:color w:val="auto"/>
          <w:kern w:val="1"/>
          <w:lang w:eastAsia="zh-CN" w:bidi="hi-IN"/>
        </w:rPr>
        <w:t xml:space="preserve"> </w:t>
      </w:r>
      <w:r w:rsidRPr="003B698B">
        <w:rPr>
          <w:rFonts w:ascii="Times New Roman" w:hAnsi="Times New Roman" w:cs="Times New Roman"/>
          <w:color w:val="auto"/>
          <w:kern w:val="1"/>
          <w:lang w:eastAsia="zh-CN" w:bidi="hi-IN"/>
        </w:rPr>
        <w:t>por mais que tempos como estes não tenham previsão de chegada e pouco se tenha de seu fim os bancos estão equilibrando-se com o intuito de facilitar a progressão contratual obrigacional para com os brasileiros.</w:t>
      </w:r>
    </w:p>
    <w:p w14:paraId="415F72FE" w14:textId="56612017" w:rsidR="000A7AB3" w:rsidRDefault="000A7AB3" w:rsidP="000A7AB3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 w:rsidRPr="0060656A">
        <w:rPr>
          <w:rFonts w:ascii="Times New Roman" w:hAnsi="Times New Roman" w:cs="Times New Roman"/>
          <w:color w:val="auto"/>
          <w:kern w:val="1"/>
          <w:lang w:eastAsia="zh-CN" w:bidi="hi-IN"/>
        </w:rPr>
        <w:t xml:space="preserve"> N</w:t>
      </w:r>
      <w:r>
        <w:rPr>
          <w:rFonts w:ascii="Times New Roman" w:hAnsi="Times New Roman" w:cs="Times New Roman"/>
          <w:color w:val="auto"/>
          <w:kern w:val="1"/>
          <w:lang w:eastAsia="zh-CN" w:bidi="hi-IN"/>
        </w:rPr>
        <w:t>o mais é basilar a</w:t>
      </w:r>
      <w:r w:rsidRPr="0060656A">
        <w:rPr>
          <w:rFonts w:ascii="Times New Roman" w:hAnsi="Times New Roman" w:cs="Times New Roman"/>
          <w:color w:val="auto"/>
          <w:kern w:val="1"/>
          <w:lang w:eastAsia="zh-CN" w:bidi="hi-IN"/>
        </w:rPr>
        <w:t xml:space="preserve"> busca com o fim de moldar um núcleo </w:t>
      </w:r>
      <w:r>
        <w:rPr>
          <w:rFonts w:ascii="Times New Roman" w:hAnsi="Times New Roman" w:cs="Times New Roman"/>
          <w:color w:val="auto"/>
          <w:kern w:val="1"/>
          <w:lang w:eastAsia="zh-CN" w:bidi="hi-IN"/>
        </w:rPr>
        <w:t>de reorganização</w:t>
      </w:r>
      <w:r w:rsidRPr="0060656A">
        <w:rPr>
          <w:rFonts w:ascii="Times New Roman" w:hAnsi="Times New Roman" w:cs="Times New Roman"/>
          <w:color w:val="auto"/>
          <w:kern w:val="1"/>
          <w:lang w:eastAsia="zh-CN" w:bidi="hi-IN"/>
        </w:rPr>
        <w:t xml:space="preserve"> quanto ao </w:t>
      </w:r>
      <w:r>
        <w:rPr>
          <w:rFonts w:ascii="Times New Roman" w:hAnsi="Times New Roman" w:cs="Times New Roman"/>
          <w:color w:val="auto"/>
          <w:kern w:val="1"/>
          <w:lang w:eastAsia="zh-CN" w:bidi="hi-IN"/>
        </w:rPr>
        <w:t xml:space="preserve">desfecho </w:t>
      </w:r>
      <w:r w:rsidRPr="0060656A">
        <w:rPr>
          <w:rFonts w:ascii="Times New Roman" w:hAnsi="Times New Roman" w:cs="Times New Roman"/>
          <w:color w:val="auto"/>
          <w:kern w:val="1"/>
          <w:lang w:eastAsia="zh-CN" w:bidi="hi-IN"/>
        </w:rPr>
        <w:t xml:space="preserve">de contratos e suas negociações, </w:t>
      </w:r>
      <w:r>
        <w:rPr>
          <w:rFonts w:ascii="Times New Roman" w:hAnsi="Times New Roman" w:cs="Times New Roman"/>
          <w:color w:val="auto"/>
          <w:kern w:val="1"/>
          <w:lang w:eastAsia="zh-CN" w:bidi="hi-IN"/>
        </w:rPr>
        <w:t>ampliando as diretrizes no plano econômico d</w:t>
      </w:r>
      <w:r w:rsidRPr="0060656A">
        <w:rPr>
          <w:rFonts w:ascii="Times New Roman" w:hAnsi="Times New Roman" w:cs="Times New Roman"/>
          <w:color w:val="auto"/>
          <w:kern w:val="1"/>
          <w:lang w:eastAsia="zh-CN" w:bidi="hi-IN"/>
        </w:rPr>
        <w:t>as mais diversas áreas do direito</w:t>
      </w:r>
      <w:r>
        <w:rPr>
          <w:rFonts w:ascii="Times New Roman" w:hAnsi="Times New Roman" w:cs="Times New Roman"/>
          <w:color w:val="auto"/>
          <w:kern w:val="1"/>
          <w:lang w:eastAsia="zh-CN" w:bidi="hi-IN"/>
        </w:rPr>
        <w:t xml:space="preserve">, como, </w:t>
      </w:r>
      <w:r w:rsidRPr="0060656A">
        <w:rPr>
          <w:rFonts w:ascii="Times New Roman" w:hAnsi="Times New Roman" w:cs="Times New Roman"/>
          <w:color w:val="auto"/>
          <w:kern w:val="1"/>
          <w:lang w:eastAsia="zh-CN" w:bidi="hi-IN"/>
        </w:rPr>
        <w:t>por exemplo, o consumidor, comercial e empresarial, dado o recorte das re</w:t>
      </w:r>
      <w:r>
        <w:rPr>
          <w:rFonts w:ascii="Times New Roman" w:hAnsi="Times New Roman" w:cs="Times New Roman"/>
          <w:color w:val="auto"/>
          <w:kern w:val="1"/>
          <w:lang w:eastAsia="zh-CN" w:bidi="hi-IN"/>
        </w:rPr>
        <w:t>l</w:t>
      </w:r>
      <w:r w:rsidRPr="0060656A">
        <w:rPr>
          <w:rFonts w:ascii="Times New Roman" w:hAnsi="Times New Roman" w:cs="Times New Roman"/>
          <w:color w:val="auto"/>
          <w:kern w:val="1"/>
          <w:lang w:eastAsia="zh-CN" w:bidi="hi-IN"/>
        </w:rPr>
        <w:t xml:space="preserve">ações </w:t>
      </w:r>
      <w:r>
        <w:rPr>
          <w:rFonts w:ascii="Times New Roman" w:hAnsi="Times New Roman" w:cs="Times New Roman"/>
          <w:color w:val="auto"/>
          <w:kern w:val="1"/>
          <w:lang w:eastAsia="zh-CN" w:bidi="hi-IN"/>
        </w:rPr>
        <w:t>jurídico-</w:t>
      </w:r>
      <w:r w:rsidRPr="0060656A">
        <w:rPr>
          <w:rFonts w:ascii="Times New Roman" w:hAnsi="Times New Roman" w:cs="Times New Roman"/>
          <w:color w:val="auto"/>
          <w:kern w:val="1"/>
          <w:lang w:eastAsia="zh-CN" w:bidi="hi-IN"/>
        </w:rPr>
        <w:t>con</w:t>
      </w:r>
      <w:r>
        <w:rPr>
          <w:rFonts w:ascii="Times New Roman" w:hAnsi="Times New Roman" w:cs="Times New Roman"/>
          <w:color w:val="auto"/>
          <w:kern w:val="1"/>
          <w:lang w:eastAsia="zh-CN" w:bidi="hi-IN"/>
        </w:rPr>
        <w:t>tratuais que se passa</w:t>
      </w:r>
      <w:r w:rsidRPr="0060656A">
        <w:rPr>
          <w:rFonts w:ascii="Times New Roman" w:hAnsi="Times New Roman" w:cs="Times New Roman"/>
          <w:color w:val="auto"/>
          <w:kern w:val="1"/>
          <w:lang w:eastAsia="zh-CN" w:bidi="hi-IN"/>
        </w:rPr>
        <w:t xml:space="preserve"> a considerar</w:t>
      </w:r>
      <w:r>
        <w:rPr>
          <w:rFonts w:ascii="Times New Roman" w:hAnsi="Times New Roman" w:cs="Times New Roman"/>
          <w:color w:val="auto"/>
          <w:kern w:val="1"/>
          <w:lang w:eastAsia="zh-CN" w:bidi="hi-IN"/>
        </w:rPr>
        <w:t xml:space="preserve"> em vista do comportamento das i</w:t>
      </w:r>
      <w:r w:rsidRPr="0060656A">
        <w:rPr>
          <w:rFonts w:ascii="Times New Roman" w:hAnsi="Times New Roman" w:cs="Times New Roman"/>
          <w:color w:val="auto"/>
          <w:kern w:val="1"/>
          <w:lang w:eastAsia="zh-CN" w:bidi="hi-IN"/>
        </w:rPr>
        <w:t>nst</w:t>
      </w:r>
      <w:r>
        <w:rPr>
          <w:rFonts w:ascii="Times New Roman" w:hAnsi="Times New Roman" w:cs="Times New Roman"/>
          <w:color w:val="auto"/>
          <w:kern w:val="1"/>
          <w:lang w:eastAsia="zh-CN" w:bidi="hi-IN"/>
        </w:rPr>
        <w:t>ituições de grande/médio porte frente à</w:t>
      </w:r>
      <w:r w:rsidRPr="0060656A">
        <w:rPr>
          <w:rFonts w:ascii="Times New Roman" w:hAnsi="Times New Roman" w:cs="Times New Roman"/>
          <w:color w:val="auto"/>
          <w:kern w:val="1"/>
          <w:lang w:eastAsia="zh-CN" w:bidi="hi-IN"/>
        </w:rPr>
        <w:t xml:space="preserve"> estagnação generalizada espelhada pelos efeitos da covid-19 no Brasil.</w:t>
      </w:r>
    </w:p>
    <w:p w14:paraId="741E74FB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REFERÊNCIAS</w:t>
      </w:r>
    </w:p>
    <w:p w14:paraId="309C6445" w14:textId="05B25D6D" w:rsidR="009D129B" w:rsidRPr="00CA2BE1" w:rsidRDefault="00CA2BE1" w:rsidP="00CA2BE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2BE1">
        <w:rPr>
          <w:rFonts w:ascii="Times New Roman" w:eastAsia="Lucida Sans Unicode" w:hAnsi="Times New Roman" w:cs="Times New Roman"/>
          <w:bCs/>
          <w:color w:val="auto"/>
          <w:kern w:val="1"/>
          <w:lang w:eastAsia="zh-CN" w:bidi="hi-IN"/>
        </w:rPr>
        <w:t xml:space="preserve">BAUMAN, Zygmunt. </w:t>
      </w:r>
      <w:r w:rsidRPr="00CA2BE1">
        <w:rPr>
          <w:rFonts w:ascii="Times New Roman" w:eastAsia="Lucida Sans Unicode" w:hAnsi="Times New Roman" w:cs="Times New Roman"/>
          <w:b/>
          <w:color w:val="auto"/>
          <w:kern w:val="1"/>
          <w:lang w:eastAsia="zh-CN" w:bidi="hi-IN"/>
        </w:rPr>
        <w:t>Vida para consumo</w:t>
      </w:r>
      <w:r w:rsidRPr="00CA2BE1">
        <w:rPr>
          <w:rFonts w:ascii="Times New Roman" w:eastAsia="Lucida Sans Unicode" w:hAnsi="Times New Roman" w:cs="Times New Roman"/>
          <w:bCs/>
          <w:color w:val="auto"/>
          <w:kern w:val="1"/>
          <w:lang w:eastAsia="zh-CN" w:bidi="hi-IN"/>
        </w:rPr>
        <w:t>: a transformação das pessoas em mercadoria. Trad. Carlos Alberto Medeiros. Rio de Janeiro: Zahar, 2012</w:t>
      </w:r>
      <w:r w:rsidR="009D129B" w:rsidRPr="00CA2BE1">
        <w:rPr>
          <w:rFonts w:ascii="Times New Roman" w:hAnsi="Times New Roman" w:cs="Times New Roman"/>
          <w:color w:val="auto"/>
        </w:rPr>
        <w:t xml:space="preserve">. </w:t>
      </w:r>
    </w:p>
    <w:p w14:paraId="088F0D13" w14:textId="4C5F220A" w:rsidR="00CA2BE1" w:rsidRDefault="00CA2BE1" w:rsidP="00CA2BE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2BE1">
        <w:rPr>
          <w:rFonts w:ascii="Times New Roman" w:hAnsi="Times New Roman" w:cs="Times New Roman"/>
          <w:color w:val="auto"/>
        </w:rPr>
        <w:t xml:space="preserve">BRASIL. </w:t>
      </w:r>
      <w:r w:rsidRPr="00CA2BE1">
        <w:rPr>
          <w:rFonts w:ascii="Times New Roman" w:hAnsi="Times New Roman" w:cs="Times New Roman"/>
          <w:b/>
          <w:bCs/>
          <w:color w:val="auto"/>
        </w:rPr>
        <w:t>Constituição da República Federativa do Brasil</w:t>
      </w:r>
      <w:r w:rsidRPr="00CA2BE1">
        <w:rPr>
          <w:rFonts w:ascii="Times New Roman" w:hAnsi="Times New Roman" w:cs="Times New Roman"/>
          <w:color w:val="auto"/>
        </w:rPr>
        <w:t>, de 05 de outubro de 1988. planalto. Disponível em: http://www.planalto.gov.br/ccivil_03/constituicao/constituicao.htm. Acesso em 31 jan. 2020.</w:t>
      </w:r>
    </w:p>
    <w:p w14:paraId="78A9CA52" w14:textId="419C84EB" w:rsidR="00890D0C" w:rsidRPr="00CA2BE1" w:rsidRDefault="00890D0C" w:rsidP="00CA2BE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2BE1">
        <w:rPr>
          <w:rFonts w:ascii="Times New Roman" w:hAnsi="Times New Roman" w:cs="Times New Roman"/>
          <w:color w:val="auto"/>
        </w:rPr>
        <w:t xml:space="preserve">BRASIL. </w:t>
      </w:r>
      <w:r>
        <w:rPr>
          <w:rFonts w:ascii="Times New Roman" w:hAnsi="Times New Roman" w:cs="Times New Roman"/>
          <w:b/>
          <w:bCs/>
          <w:color w:val="auto"/>
        </w:rPr>
        <w:t>Código Civil</w:t>
      </w:r>
      <w:r w:rsidRPr="00CA2BE1">
        <w:rPr>
          <w:rFonts w:ascii="Times New Roman" w:hAnsi="Times New Roman" w:cs="Times New Roman"/>
          <w:color w:val="auto"/>
        </w:rPr>
        <w:t xml:space="preserve">: Lei nº </w:t>
      </w:r>
      <w:r>
        <w:rPr>
          <w:rFonts w:ascii="Times New Roman" w:hAnsi="Times New Roman" w:cs="Times New Roman"/>
          <w:color w:val="auto"/>
        </w:rPr>
        <w:t>10.406</w:t>
      </w:r>
      <w:r w:rsidRPr="00CA2BE1">
        <w:rPr>
          <w:rFonts w:ascii="Times New Roman" w:hAnsi="Times New Roman" w:cs="Times New Roman"/>
          <w:color w:val="auto"/>
        </w:rPr>
        <w:t xml:space="preserve">, de </w:t>
      </w:r>
      <w:r>
        <w:rPr>
          <w:rFonts w:ascii="Times New Roman" w:hAnsi="Times New Roman" w:cs="Times New Roman"/>
          <w:color w:val="auto"/>
        </w:rPr>
        <w:t>10 de janeiro de 2002</w:t>
      </w:r>
      <w:r w:rsidRPr="00CA2BE1">
        <w:rPr>
          <w:rFonts w:ascii="Times New Roman" w:hAnsi="Times New Roman" w:cs="Times New Roman"/>
          <w:color w:val="auto"/>
        </w:rPr>
        <w:t xml:space="preserve">. planalto. Disponível em: </w:t>
      </w:r>
      <w:r w:rsidRPr="00890D0C">
        <w:rPr>
          <w:rFonts w:ascii="Times New Roman" w:hAnsi="Times New Roman" w:cs="Times New Roman"/>
          <w:color w:val="auto"/>
        </w:rPr>
        <w:t>http://www.planalto.gov.br/ccivil_03/leis/2002/l10406compilada.htm</w:t>
      </w:r>
      <w:r w:rsidRPr="00CA2BE1">
        <w:rPr>
          <w:rFonts w:ascii="Times New Roman" w:hAnsi="Times New Roman" w:cs="Times New Roman"/>
          <w:color w:val="auto"/>
        </w:rPr>
        <w:t xml:space="preserve">. Acesso em </w:t>
      </w:r>
      <w:r>
        <w:rPr>
          <w:rFonts w:ascii="Times New Roman" w:hAnsi="Times New Roman" w:cs="Times New Roman"/>
          <w:color w:val="auto"/>
        </w:rPr>
        <w:t>02</w:t>
      </w:r>
      <w:r w:rsidRPr="00CA2BE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set</w:t>
      </w:r>
      <w:r w:rsidRPr="00CA2BE1">
        <w:rPr>
          <w:rFonts w:ascii="Times New Roman" w:hAnsi="Times New Roman" w:cs="Times New Roman"/>
          <w:color w:val="auto"/>
        </w:rPr>
        <w:t>. 2021</w:t>
      </w:r>
    </w:p>
    <w:p w14:paraId="6DA41357" w14:textId="4A86D6E2" w:rsidR="00890D0C" w:rsidRDefault="00CA2BE1" w:rsidP="00CA2BE1">
      <w:pPr>
        <w:pStyle w:val="Default"/>
        <w:jc w:val="both"/>
        <w:rPr>
          <w:rFonts w:ascii="Times New Roman" w:hAnsi="Times New Roman" w:cs="Times New Roman"/>
        </w:rPr>
      </w:pPr>
      <w:r w:rsidRPr="00CA2BE1">
        <w:rPr>
          <w:rFonts w:ascii="Times New Roman" w:hAnsi="Times New Roman" w:cs="Times New Roman"/>
          <w:color w:val="auto"/>
        </w:rPr>
        <w:t xml:space="preserve">BRASIL. </w:t>
      </w:r>
      <w:r w:rsidRPr="00CA2BE1">
        <w:rPr>
          <w:rFonts w:ascii="Times New Roman" w:hAnsi="Times New Roman" w:cs="Times New Roman"/>
          <w:b/>
          <w:bCs/>
          <w:color w:val="auto"/>
        </w:rPr>
        <w:t>Código de Proteção e Defesa do Consumidor</w:t>
      </w:r>
      <w:r w:rsidRPr="00CA2BE1">
        <w:rPr>
          <w:rFonts w:ascii="Times New Roman" w:hAnsi="Times New Roman" w:cs="Times New Roman"/>
          <w:color w:val="auto"/>
        </w:rPr>
        <w:t>: Lei nº 8.078, de 11 de setembro de 1990. planalto. Disponível em: http://www.planalto.gov.br/ccivil_03/leis/l8078compilado.htm. Acesso em 13 jan. 2021</w:t>
      </w:r>
      <w:r w:rsidR="00890D0C">
        <w:rPr>
          <w:rFonts w:ascii="Times New Roman" w:hAnsi="Times New Roman" w:cs="Times New Roman"/>
          <w:color w:val="auto"/>
        </w:rPr>
        <w:t>.</w:t>
      </w:r>
      <w:r w:rsidR="00890D0C" w:rsidRPr="00890D0C">
        <w:rPr>
          <w:rFonts w:ascii="Times New Roman" w:hAnsi="Times New Roman" w:cs="Times New Roman"/>
        </w:rPr>
        <w:t xml:space="preserve"> </w:t>
      </w:r>
    </w:p>
    <w:p w14:paraId="26B6D021" w14:textId="66EB5837" w:rsidR="00CA2BE1" w:rsidRPr="00CA2BE1" w:rsidRDefault="00890D0C" w:rsidP="00CA2BE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SUKHDEV, Pavan. </w:t>
      </w:r>
      <w:r>
        <w:rPr>
          <w:rFonts w:ascii="Times New Roman" w:hAnsi="Times New Roman" w:cs="Times New Roman"/>
          <w:b/>
        </w:rPr>
        <w:t>Corporação 2020</w:t>
      </w:r>
      <w:r>
        <w:rPr>
          <w:rFonts w:ascii="Times New Roman" w:hAnsi="Times New Roman" w:cs="Times New Roman"/>
        </w:rPr>
        <w:t>: como transformar as empresas para o mundo de amanhã. São Paulo: Editora Abril. 2013</w:t>
      </w:r>
    </w:p>
    <w:sectPr w:rsidR="00CA2BE1" w:rsidRPr="00CA2BE1" w:rsidSect="00E370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1912" w14:textId="77777777" w:rsidR="00A7712B" w:rsidRDefault="00A7712B">
      <w:r>
        <w:separator/>
      </w:r>
    </w:p>
  </w:endnote>
  <w:endnote w:type="continuationSeparator" w:id="0">
    <w:p w14:paraId="19108728" w14:textId="77777777" w:rsidR="00A7712B" w:rsidRDefault="00A7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0372" w14:textId="77777777" w:rsidR="001857B5" w:rsidRDefault="009D0E45">
    <w:pPr>
      <w:pStyle w:val="Rodap"/>
    </w:pPr>
    <w:r w:rsidRPr="009D0E45"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8677F7" wp14:editId="7AB501CA">
              <wp:simplePos x="0" y="0"/>
              <wp:positionH relativeFrom="column">
                <wp:posOffset>-1533525</wp:posOffset>
              </wp:positionH>
              <wp:positionV relativeFrom="paragraph">
                <wp:posOffset>457200</wp:posOffset>
              </wp:positionV>
              <wp:extent cx="9144000" cy="182879"/>
              <wp:effectExtent l="0" t="0" r="0" b="8255"/>
              <wp:wrapNone/>
              <wp:docPr id="16" name="Retângulo 15">
                <a:extLst xmlns:a="http://schemas.openxmlformats.org/drawingml/2006/main">
                  <a:ext uri="{FF2B5EF4-FFF2-40B4-BE49-F238E27FC236}">
                    <a16:creationId xmlns:a16="http://schemas.microsoft.com/office/drawing/2014/main" id="{9B6B83AA-CB6A-4B23-B492-87D5FD6F218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879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70175732" id="Retângulo 15" o:spid="_x0000_s1026" style="position:absolute;margin-left:-120.75pt;margin-top:36pt;width:10in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" fillcolor="#2683c6 [3205]" stroked="f" strokeweight="1pt"/>
          </w:pict>
        </mc:Fallback>
      </mc:AlternateContent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D129208" wp14:editId="1C78E2E6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125C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668F6C92" wp14:editId="27450604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E048D4A" wp14:editId="2FAD0E7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4E6B" w14:textId="77777777" w:rsidR="00A7712B" w:rsidRDefault="00A7712B">
      <w:r>
        <w:separator/>
      </w:r>
    </w:p>
  </w:footnote>
  <w:footnote w:type="continuationSeparator" w:id="0">
    <w:p w14:paraId="6EF26468" w14:textId="77777777" w:rsidR="00A7712B" w:rsidRDefault="00A7712B">
      <w:r>
        <w:continuationSeparator/>
      </w:r>
    </w:p>
  </w:footnote>
  <w:footnote w:id="1">
    <w:p w14:paraId="29CD741B" w14:textId="34C45664" w:rsidR="00BF3109" w:rsidRDefault="00BF310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348B9">
        <w:rPr>
          <w:rFonts w:ascii="Times New Roman" w:hAnsi="Times New Roman" w:cs="Times New Roman"/>
        </w:rPr>
        <w:t xml:space="preserve">A este respeito, vide a reflexão de Zygmunt </w:t>
      </w:r>
      <w:proofErr w:type="spellStart"/>
      <w:r w:rsidRPr="00C348B9">
        <w:rPr>
          <w:rFonts w:ascii="Times New Roman" w:hAnsi="Times New Roman" w:cs="Times New Roman"/>
        </w:rPr>
        <w:t>Bauman</w:t>
      </w:r>
      <w:proofErr w:type="spellEnd"/>
      <w:r w:rsidRPr="00C348B9">
        <w:rPr>
          <w:rFonts w:ascii="Times New Roman" w:hAnsi="Times New Roman" w:cs="Times New Roman"/>
        </w:rPr>
        <w:t xml:space="preserve"> (2012. p.12): “Os encontros dos potenciais consumidores com os potenciais objetos de consumo tendem a se tornar as principais unidades na rede peculiar de interações humanas conhecida, de maneira abreviada, como “sociedade de consumidores”. Ou melhor, o ambiente existencial que se tornou conhecido como “sociedade de consumidores” se distingue por uma reconstrução das relações humanas a partir do padrão, e à semelhança, das relações entre os consumidores e os objetos de consumo. Esse feito notável foi alcançado mediante a anexação e colonização, pelos mercados de consumo, do espaço que se estende entre os indivíduos – esse espaço em que se estabelecem as ligações que conectam os seres humanos e se erguem as cercas que os separam”.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AA80" w14:textId="77777777" w:rsidR="00E370D8" w:rsidRDefault="009D0E45" w:rsidP="00E370D8">
    <w:pPr>
      <w:pStyle w:val="Cabealho"/>
    </w:pPr>
    <w:r w:rsidRPr="009D0E45"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6735FC0D" wp14:editId="1D136E98">
          <wp:simplePos x="0" y="0"/>
          <wp:positionH relativeFrom="margin">
            <wp:posOffset>-38100</wp:posOffset>
          </wp:positionH>
          <wp:positionV relativeFrom="paragraph">
            <wp:posOffset>48895</wp:posOffset>
          </wp:positionV>
          <wp:extent cx="1961757" cy="838617"/>
          <wp:effectExtent l="0" t="0" r="63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5063" r="54195" b="4128"/>
                  <a:stretch/>
                </pic:blipFill>
                <pic:spPr bwMode="auto">
                  <a:xfrm>
                    <a:off x="0" y="0"/>
                    <a:ext cx="1961757" cy="838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C6B8CE" w14:textId="77777777" w:rsidR="000363D3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21</w:t>
    </w:r>
  </w:p>
  <w:p w14:paraId="41AC9B8A" w14:textId="77777777" w:rsidR="00E370D8" w:rsidRPr="0061289B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15D7DBC5" w14:textId="77777777" w:rsidR="00E370D8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1516D7DB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8F8A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A5488D" wp14:editId="33DD2F8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741904" wp14:editId="4BF08E4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E6073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166E1E9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2F58215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12605"/>
    <w:rsid w:val="00013A77"/>
    <w:rsid w:val="00024325"/>
    <w:rsid w:val="000363D3"/>
    <w:rsid w:val="000A7AB3"/>
    <w:rsid w:val="000F57F7"/>
    <w:rsid w:val="00134253"/>
    <w:rsid w:val="001857B5"/>
    <w:rsid w:val="001D5AF0"/>
    <w:rsid w:val="00205AD7"/>
    <w:rsid w:val="00260DCC"/>
    <w:rsid w:val="002C73D2"/>
    <w:rsid w:val="00445801"/>
    <w:rsid w:val="004C136A"/>
    <w:rsid w:val="00504745"/>
    <w:rsid w:val="00540381"/>
    <w:rsid w:val="005E7D8E"/>
    <w:rsid w:val="005F28FC"/>
    <w:rsid w:val="006146B7"/>
    <w:rsid w:val="00755CFF"/>
    <w:rsid w:val="00890D0C"/>
    <w:rsid w:val="009273EA"/>
    <w:rsid w:val="009D0E45"/>
    <w:rsid w:val="009D129B"/>
    <w:rsid w:val="009F520E"/>
    <w:rsid w:val="00A7712B"/>
    <w:rsid w:val="00A77817"/>
    <w:rsid w:val="00A90C29"/>
    <w:rsid w:val="00A957DE"/>
    <w:rsid w:val="00AA33ED"/>
    <w:rsid w:val="00B933E4"/>
    <w:rsid w:val="00BC1C81"/>
    <w:rsid w:val="00BF3109"/>
    <w:rsid w:val="00C0389C"/>
    <w:rsid w:val="00C348B9"/>
    <w:rsid w:val="00CA2BE1"/>
    <w:rsid w:val="00CD2560"/>
    <w:rsid w:val="00CF477C"/>
    <w:rsid w:val="00D02558"/>
    <w:rsid w:val="00DD331D"/>
    <w:rsid w:val="00E370D8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053EE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3109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3109"/>
    <w:rPr>
      <w:rFonts w:ascii="Liberation Serif" w:eastAsia="Lucida Sans Unicode" w:hAnsi="Liberation Serif" w:cs="Mangal"/>
      <w:kern w:val="1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BF310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CA2BE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348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48B9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48B9"/>
    <w:rPr>
      <w:rFonts w:ascii="Liberation Serif" w:eastAsia="Lucida Sans Unicode" w:hAnsi="Liberation Serif" w:cs="Mangal"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48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48B9"/>
    <w:rPr>
      <w:rFonts w:ascii="Liberation Serif" w:eastAsia="Lucida Sans Unicode" w:hAnsi="Liberation Serif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06B31A77454B8A98D842474A2C2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77614-91AA-4EC1-AB98-6DEB1D9DB5D2}"/>
      </w:docPartPr>
      <w:docPartBody>
        <w:p w:rsidR="00884966" w:rsidRDefault="00ED651C" w:rsidP="00ED651C">
          <w:pPr>
            <w:pStyle w:val="2A06B31A77454B8A98D842474A2C2FC7"/>
          </w:pPr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A3AF6"/>
    <w:rsid w:val="007A46EA"/>
    <w:rsid w:val="00884966"/>
    <w:rsid w:val="009A1F44"/>
    <w:rsid w:val="00BC7785"/>
    <w:rsid w:val="00CB6916"/>
    <w:rsid w:val="00ED651C"/>
    <w:rsid w:val="00EF5936"/>
    <w:rsid w:val="00F9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651C"/>
    <w:rPr>
      <w:color w:val="808080"/>
    </w:rPr>
  </w:style>
  <w:style w:type="paragraph" w:customStyle="1" w:styleId="2A06B31A77454B8A98D842474A2C2FC7">
    <w:name w:val="2A06B31A77454B8A98D842474A2C2FC7"/>
    <w:rsid w:val="00E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DFBD-4F01-4488-A92E-A2082594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1670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Jose Lucas Lima da Costa (1-2019215544)</cp:lastModifiedBy>
  <cp:revision>15</cp:revision>
  <dcterms:created xsi:type="dcterms:W3CDTF">2020-09-12T19:57:00Z</dcterms:created>
  <dcterms:modified xsi:type="dcterms:W3CDTF">2021-10-03T23:20:00Z</dcterms:modified>
</cp:coreProperties>
</file>