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B5E5" w14:textId="77777777" w:rsidR="008B5BEB" w:rsidRDefault="008B5BEB">
      <w:pPr>
        <w:spacing w:line="240" w:lineRule="auto"/>
        <w:ind w:firstLine="0"/>
        <w:jc w:val="left"/>
      </w:pPr>
    </w:p>
    <w:p w14:paraId="2DD0710E" w14:textId="77777777" w:rsidR="00C31459" w:rsidRDefault="00C31459" w:rsidP="00C31459">
      <w:pPr>
        <w:spacing w:line="360" w:lineRule="auto"/>
        <w:rPr>
          <w:b/>
          <w:bCs/>
        </w:rPr>
      </w:pPr>
      <w:r w:rsidRPr="00770F3F">
        <w:rPr>
          <w:b/>
          <w:bCs/>
        </w:rPr>
        <w:t>A CONVENÇÃO-QUADRO DO CONSELHO DA EUROPA SOBRE INTELIGÊNCIA ARTIFICIAL: DESAFIOS REGULATÓRIOS E IMPACTOS NO BRASIL</w:t>
      </w:r>
      <w:r>
        <w:rPr>
          <w:b/>
          <w:bCs/>
        </w:rPr>
        <w:t>.</w:t>
      </w:r>
    </w:p>
    <w:p w14:paraId="05AA16A0" w14:textId="4DCBB2F9" w:rsidR="008B5BEB" w:rsidRDefault="0097470F">
      <w:pPr>
        <w:pStyle w:val="Ttulo2"/>
        <w:keepNext w:val="0"/>
        <w:keepLines w:val="0"/>
        <w:widowControl w:val="0"/>
        <w:spacing w:before="195" w:line="240" w:lineRule="auto"/>
        <w:ind w:left="367" w:right="376"/>
        <w:jc w:val="center"/>
        <w:rPr>
          <w:rFonts w:ascii="Trebuchet MS" w:eastAsia="Trebuchet MS" w:hAnsi="Trebuchet MS" w:cs="Trebuchet MS"/>
          <w:b w:val="0"/>
          <w:sz w:val="16"/>
          <w:szCs w:val="16"/>
        </w:rPr>
      </w:pPr>
      <w:proofErr w:type="spellStart"/>
      <w:r>
        <w:t>Delso</w:t>
      </w:r>
      <w:proofErr w:type="spellEnd"/>
      <w:r>
        <w:t xml:space="preserve"> Silva Neves</w:t>
      </w:r>
      <w:r>
        <w:rPr>
          <w:rFonts w:ascii="Trebuchet MS" w:eastAsia="Trebuchet MS" w:hAnsi="Trebuchet MS" w:cs="Trebuchet MS"/>
          <w:b w:val="0"/>
          <w:sz w:val="26"/>
          <w:vertAlign w:val="superscript"/>
        </w:rPr>
        <w:t>1</w:t>
      </w:r>
      <w:r w:rsidR="00000000">
        <w:t xml:space="preserve">, </w:t>
      </w:r>
      <w:r>
        <w:t>Germano Coelho Ramos Rocha da Silva</w:t>
      </w:r>
      <w:r>
        <w:rPr>
          <w:rFonts w:ascii="Trebuchet MS" w:eastAsia="Trebuchet MS" w:hAnsi="Trebuchet MS" w:cs="Trebuchet MS"/>
          <w:b w:val="0"/>
          <w:sz w:val="26"/>
          <w:vertAlign w:val="superscript"/>
        </w:rPr>
        <w:t>2</w:t>
      </w:r>
    </w:p>
    <w:p w14:paraId="6932A0BC" w14:textId="624D84B8" w:rsidR="008B5BEB" w:rsidRDefault="00000000">
      <w:pPr>
        <w:widowControl w:val="0"/>
        <w:spacing w:before="256" w:line="246" w:lineRule="auto"/>
        <w:ind w:left="367" w:right="365" w:firstLine="0"/>
        <w:jc w:val="center"/>
        <w:rPr>
          <w:rFonts w:ascii="Trebuchet MS" w:eastAsia="Trebuchet MS" w:hAnsi="Trebuchet MS" w:cs="Trebuchet MS"/>
          <w:vertAlign w:val="superscript"/>
        </w:rPr>
      </w:pPr>
      <w:r>
        <w:rPr>
          <w:rFonts w:ascii="Trebuchet MS" w:eastAsia="Trebuchet MS" w:hAnsi="Trebuchet MS" w:cs="Trebuchet MS"/>
          <w:vertAlign w:val="superscript"/>
        </w:rPr>
        <w:t>1</w:t>
      </w:r>
      <w:r w:rsidR="0097470F">
        <w:t xml:space="preserve"> </w:t>
      </w:r>
      <w:r w:rsidR="0097470F" w:rsidRPr="0097470F">
        <w:t>Fundação Getúlio Vargas (FGV) CEP 79005-420– Campo Grande – MS – Brasil</w:t>
      </w:r>
    </w:p>
    <w:p w14:paraId="52E5942A" w14:textId="02182C65" w:rsidR="0097470F" w:rsidRDefault="00000000" w:rsidP="00D92D25">
      <w:pPr>
        <w:widowControl w:val="0"/>
        <w:spacing w:before="256" w:line="246" w:lineRule="auto"/>
        <w:ind w:left="367" w:right="365" w:firstLine="0"/>
        <w:jc w:val="center"/>
      </w:pPr>
      <w:r>
        <w:rPr>
          <w:rFonts w:ascii="Trebuchet MS" w:eastAsia="Trebuchet MS" w:hAnsi="Trebuchet MS" w:cs="Trebuchet MS"/>
          <w:vertAlign w:val="superscript"/>
        </w:rPr>
        <w:t>2</w:t>
      </w:r>
      <w:r>
        <w:t>I</w:t>
      </w:r>
      <w:r w:rsidR="0097470F" w:rsidRPr="0097470F">
        <w:t>nstituto Federal de Educação, Ciência e Tecnologia de Mato Grosso do Sul (IFMS) CEP 79100-510 – Campo Grande – MS – Brasil</w:t>
      </w:r>
      <w:r w:rsidR="00242A61">
        <w:tab/>
      </w:r>
    </w:p>
    <w:p w14:paraId="4EBF19AE" w14:textId="2CA287F5" w:rsidR="0097470F" w:rsidRDefault="0097470F">
      <w:pPr>
        <w:widowControl w:val="0"/>
        <w:spacing w:before="201" w:line="240" w:lineRule="auto"/>
        <w:ind w:left="264" w:right="264" w:firstLine="0"/>
        <w:jc w:val="center"/>
        <w:rPr>
          <w:rFonts w:ascii="Courier New" w:eastAsia="Courier New" w:hAnsi="Courier New" w:cs="Courier New"/>
          <w:sz w:val="20"/>
          <w:szCs w:val="20"/>
        </w:rPr>
      </w:pPr>
      <w:r w:rsidRPr="0097470F">
        <w:rPr>
          <w:rFonts w:ascii="Verdana" w:eastAsia="Verdana" w:hAnsi="Verdana" w:cs="Verdana"/>
          <w:i/>
          <w:sz w:val="20"/>
          <w:szCs w:val="20"/>
        </w:rPr>
        <w:t>delsoneves@hotmail.com</w:t>
      </w:r>
      <w:r>
        <w:rPr>
          <w:rFonts w:ascii="Verdana" w:eastAsia="Verdana" w:hAnsi="Verdana" w:cs="Verdana"/>
          <w:i/>
          <w:sz w:val="20"/>
          <w:szCs w:val="20"/>
        </w:rPr>
        <w:t xml:space="preserve">, </w:t>
      </w:r>
      <w:r w:rsidRPr="0097470F">
        <w:rPr>
          <w:rFonts w:ascii="Verdana" w:eastAsia="Verdana" w:hAnsi="Verdana" w:cs="Verdana"/>
          <w:i/>
          <w:sz w:val="20"/>
          <w:szCs w:val="20"/>
        </w:rPr>
        <w:t>germano.consneo@gmail.com</w:t>
      </w:r>
    </w:p>
    <w:p w14:paraId="58EF26FD" w14:textId="77777777" w:rsidR="0097470F" w:rsidRDefault="0097470F">
      <w:pPr>
        <w:widowControl w:val="0"/>
        <w:spacing w:before="201" w:line="240" w:lineRule="auto"/>
        <w:ind w:left="264" w:right="264" w:firstLine="0"/>
        <w:jc w:val="center"/>
        <w:rPr>
          <w:rFonts w:ascii="Courier New" w:eastAsia="Courier New" w:hAnsi="Courier New" w:cs="Courier New"/>
          <w:sz w:val="20"/>
          <w:szCs w:val="20"/>
        </w:rPr>
      </w:pPr>
    </w:p>
    <w:p w14:paraId="025CE7D5" w14:textId="77777777" w:rsidR="00147F40" w:rsidRDefault="00000000" w:rsidP="00147F40">
      <w:pPr>
        <w:widowControl w:val="0"/>
        <w:spacing w:before="299" w:line="249" w:lineRule="auto"/>
        <w:ind w:left="554" w:right="552" w:firstLine="0"/>
        <w:rPr>
          <w:i/>
        </w:rPr>
      </w:pPr>
      <w:r>
        <w:rPr>
          <w:b/>
          <w:i/>
        </w:rPr>
        <w:t xml:space="preserve">Abstract. </w:t>
      </w:r>
      <w:proofErr w:type="spellStart"/>
      <w:r w:rsidR="00147F40" w:rsidRPr="00147F40">
        <w:rPr>
          <w:i/>
        </w:rPr>
        <w:t>This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article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analyzes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the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Council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of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Europe</w:t>
      </w:r>
      <w:proofErr w:type="spellEnd"/>
      <w:r w:rsidR="00147F40" w:rsidRPr="00147F40">
        <w:rPr>
          <w:i/>
        </w:rPr>
        <w:t xml:space="preserve"> Framework Convention </w:t>
      </w:r>
      <w:proofErr w:type="spellStart"/>
      <w:r w:rsidR="00147F40" w:rsidRPr="00147F40">
        <w:rPr>
          <w:i/>
        </w:rPr>
        <w:t>on</w:t>
      </w:r>
      <w:proofErr w:type="spellEnd"/>
      <w:r w:rsidR="00147F40" w:rsidRPr="00147F40">
        <w:rPr>
          <w:i/>
        </w:rPr>
        <w:t xml:space="preserve"> Artificial </w:t>
      </w:r>
      <w:proofErr w:type="spellStart"/>
      <w:r w:rsidR="00147F40" w:rsidRPr="00147F40">
        <w:rPr>
          <w:i/>
        </w:rPr>
        <w:t>Intelligence</w:t>
      </w:r>
      <w:proofErr w:type="spellEnd"/>
      <w:r w:rsidR="00147F40" w:rsidRPr="00147F40">
        <w:rPr>
          <w:i/>
        </w:rPr>
        <w:t xml:space="preserve">, </w:t>
      </w:r>
      <w:proofErr w:type="spellStart"/>
      <w:r w:rsidR="00147F40" w:rsidRPr="00147F40">
        <w:rPr>
          <w:i/>
        </w:rPr>
        <w:t>formalized</w:t>
      </w:r>
      <w:proofErr w:type="spellEnd"/>
      <w:r w:rsidR="00147F40" w:rsidRPr="00147F40">
        <w:rPr>
          <w:i/>
        </w:rPr>
        <w:t xml:space="preserve"> in </w:t>
      </w:r>
      <w:proofErr w:type="spellStart"/>
      <w:r w:rsidR="00147F40" w:rsidRPr="00147F40">
        <w:rPr>
          <w:i/>
        </w:rPr>
        <w:t>September</w:t>
      </w:r>
      <w:proofErr w:type="spellEnd"/>
      <w:r w:rsidR="00147F40" w:rsidRPr="00147F40">
        <w:rPr>
          <w:i/>
        </w:rPr>
        <w:t xml:space="preserve"> 2024, </w:t>
      </w:r>
      <w:proofErr w:type="spellStart"/>
      <w:r w:rsidR="00147F40" w:rsidRPr="00147F40">
        <w:rPr>
          <w:i/>
        </w:rPr>
        <w:t>the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first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binding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international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treaty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exclusively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dedicated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to</w:t>
      </w:r>
      <w:proofErr w:type="spellEnd"/>
      <w:r w:rsidR="00147F40" w:rsidRPr="00147F40">
        <w:rPr>
          <w:i/>
        </w:rPr>
        <w:t xml:space="preserve"> AI </w:t>
      </w:r>
      <w:proofErr w:type="spellStart"/>
      <w:r w:rsidR="00147F40" w:rsidRPr="00147F40">
        <w:rPr>
          <w:i/>
        </w:rPr>
        <w:t>regulation</w:t>
      </w:r>
      <w:proofErr w:type="spellEnd"/>
      <w:r w:rsidR="00147F40" w:rsidRPr="00147F40">
        <w:rPr>
          <w:i/>
        </w:rPr>
        <w:t xml:space="preserve">. It </w:t>
      </w:r>
      <w:proofErr w:type="spellStart"/>
      <w:r w:rsidR="00147F40" w:rsidRPr="00147F40">
        <w:rPr>
          <w:i/>
        </w:rPr>
        <w:t>presents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the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Convention’s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objectives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and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guidelines</w:t>
      </w:r>
      <w:proofErr w:type="spellEnd"/>
      <w:r w:rsidR="00147F40" w:rsidRPr="00147F40">
        <w:rPr>
          <w:i/>
        </w:rPr>
        <w:t xml:space="preserve">, </w:t>
      </w:r>
      <w:proofErr w:type="spellStart"/>
      <w:r w:rsidR="00147F40" w:rsidRPr="00147F40">
        <w:rPr>
          <w:i/>
        </w:rPr>
        <w:t>aimed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at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safeguarding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human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rights</w:t>
      </w:r>
      <w:proofErr w:type="spellEnd"/>
      <w:r w:rsidR="00147F40" w:rsidRPr="00147F40">
        <w:rPr>
          <w:i/>
        </w:rPr>
        <w:t xml:space="preserve">, </w:t>
      </w:r>
      <w:proofErr w:type="spellStart"/>
      <w:r w:rsidR="00147F40" w:rsidRPr="00147F40">
        <w:rPr>
          <w:i/>
        </w:rPr>
        <w:t>democratic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values</w:t>
      </w:r>
      <w:proofErr w:type="spellEnd"/>
      <w:r w:rsidR="00147F40" w:rsidRPr="00147F40">
        <w:rPr>
          <w:i/>
        </w:rPr>
        <w:t xml:space="preserve">, </w:t>
      </w:r>
      <w:proofErr w:type="spellStart"/>
      <w:r w:rsidR="00147F40" w:rsidRPr="00147F40">
        <w:rPr>
          <w:i/>
        </w:rPr>
        <w:t>and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the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rule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of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law</w:t>
      </w:r>
      <w:proofErr w:type="spellEnd"/>
      <w:r w:rsidR="00147F40" w:rsidRPr="00147F40">
        <w:rPr>
          <w:i/>
        </w:rPr>
        <w:t xml:space="preserve">. The </w:t>
      </w:r>
      <w:proofErr w:type="spellStart"/>
      <w:r w:rsidR="00147F40" w:rsidRPr="00147F40">
        <w:rPr>
          <w:i/>
        </w:rPr>
        <w:t>study</w:t>
      </w:r>
      <w:proofErr w:type="spellEnd"/>
      <w:r w:rsidR="00147F40" w:rsidRPr="00147F40">
        <w:rPr>
          <w:i/>
        </w:rPr>
        <w:t xml:space="preserve"> examines </w:t>
      </w:r>
      <w:proofErr w:type="spellStart"/>
      <w:r w:rsidR="00147F40" w:rsidRPr="00147F40">
        <w:rPr>
          <w:i/>
        </w:rPr>
        <w:t>the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Convention’s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potential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influence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on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the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Brazilian</w:t>
      </w:r>
      <w:proofErr w:type="spellEnd"/>
      <w:r w:rsidR="00147F40" w:rsidRPr="00147F40">
        <w:rPr>
          <w:i/>
        </w:rPr>
        <w:t xml:space="preserve"> legal system, </w:t>
      </w:r>
      <w:proofErr w:type="spellStart"/>
      <w:r w:rsidR="00147F40" w:rsidRPr="00147F40">
        <w:rPr>
          <w:i/>
        </w:rPr>
        <w:t>particularly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regarding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the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development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of</w:t>
      </w:r>
      <w:proofErr w:type="spellEnd"/>
      <w:r w:rsidR="00147F40" w:rsidRPr="00147F40">
        <w:rPr>
          <w:i/>
        </w:rPr>
        <w:t xml:space="preserve"> a </w:t>
      </w:r>
      <w:proofErr w:type="spellStart"/>
      <w:r w:rsidR="00147F40" w:rsidRPr="00147F40">
        <w:rPr>
          <w:i/>
        </w:rPr>
        <w:t>national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regulatory</w:t>
      </w:r>
      <w:proofErr w:type="spellEnd"/>
      <w:r w:rsidR="00147F40" w:rsidRPr="00147F40">
        <w:rPr>
          <w:i/>
        </w:rPr>
        <w:t xml:space="preserve"> framework. </w:t>
      </w:r>
      <w:proofErr w:type="spellStart"/>
      <w:r w:rsidR="00147F40" w:rsidRPr="00147F40">
        <w:rPr>
          <w:i/>
        </w:rPr>
        <w:t>Based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on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qualitative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research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through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bibliographic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and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documentary</w:t>
      </w:r>
      <w:proofErr w:type="spellEnd"/>
      <w:r w:rsidR="00147F40" w:rsidRPr="00147F40">
        <w:rPr>
          <w:i/>
        </w:rPr>
        <w:t xml:space="preserve"> review, </w:t>
      </w:r>
      <w:proofErr w:type="spellStart"/>
      <w:r w:rsidR="00147F40" w:rsidRPr="00147F40">
        <w:rPr>
          <w:i/>
        </w:rPr>
        <w:t>the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article</w:t>
      </w:r>
      <w:proofErr w:type="spellEnd"/>
      <w:r w:rsidR="00147F40" w:rsidRPr="00147F40">
        <w:rPr>
          <w:i/>
        </w:rPr>
        <w:t xml:space="preserve"> compares </w:t>
      </w:r>
      <w:proofErr w:type="spellStart"/>
      <w:r w:rsidR="00147F40" w:rsidRPr="00147F40">
        <w:rPr>
          <w:i/>
        </w:rPr>
        <w:t>the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European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instrument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with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Brazilian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legislative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proposals</w:t>
      </w:r>
      <w:proofErr w:type="spellEnd"/>
      <w:r w:rsidR="00147F40" w:rsidRPr="00147F40">
        <w:rPr>
          <w:i/>
        </w:rPr>
        <w:t xml:space="preserve">, </w:t>
      </w:r>
      <w:proofErr w:type="spellStart"/>
      <w:r w:rsidR="00147F40" w:rsidRPr="00147F40">
        <w:rPr>
          <w:i/>
        </w:rPr>
        <w:t>identifying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convergences</w:t>
      </w:r>
      <w:proofErr w:type="spellEnd"/>
      <w:r w:rsidR="00147F40" w:rsidRPr="00147F40">
        <w:rPr>
          <w:i/>
        </w:rPr>
        <w:t xml:space="preserve">, </w:t>
      </w:r>
      <w:proofErr w:type="spellStart"/>
      <w:r w:rsidR="00147F40" w:rsidRPr="00147F40">
        <w:rPr>
          <w:i/>
        </w:rPr>
        <w:t>divergences</w:t>
      </w:r>
      <w:proofErr w:type="spellEnd"/>
      <w:r w:rsidR="00147F40" w:rsidRPr="00147F40">
        <w:rPr>
          <w:i/>
        </w:rPr>
        <w:t xml:space="preserve">, </w:t>
      </w:r>
      <w:proofErr w:type="spellStart"/>
      <w:r w:rsidR="00147F40" w:rsidRPr="00147F40">
        <w:rPr>
          <w:i/>
        </w:rPr>
        <w:t>and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challenges</w:t>
      </w:r>
      <w:proofErr w:type="spellEnd"/>
      <w:r w:rsidR="00147F40" w:rsidRPr="00147F40">
        <w:rPr>
          <w:i/>
        </w:rPr>
        <w:t xml:space="preserve"> in </w:t>
      </w:r>
      <w:proofErr w:type="spellStart"/>
      <w:r w:rsidR="00147F40" w:rsidRPr="00147F40">
        <w:rPr>
          <w:i/>
        </w:rPr>
        <w:t>normative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harmonization</w:t>
      </w:r>
      <w:proofErr w:type="spellEnd"/>
      <w:r w:rsidR="00147F40" w:rsidRPr="00147F40">
        <w:rPr>
          <w:i/>
        </w:rPr>
        <w:t xml:space="preserve">, </w:t>
      </w:r>
      <w:proofErr w:type="spellStart"/>
      <w:r w:rsidR="00147F40" w:rsidRPr="00147F40">
        <w:rPr>
          <w:i/>
        </w:rPr>
        <w:t>with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emphasis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on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impacts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related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to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intellectual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property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and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technology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transfer</w:t>
      </w:r>
      <w:proofErr w:type="spellEnd"/>
      <w:r w:rsidR="00147F40" w:rsidRPr="00147F40">
        <w:rPr>
          <w:i/>
        </w:rPr>
        <w:t xml:space="preserve"> for </w:t>
      </w:r>
      <w:proofErr w:type="spellStart"/>
      <w:r w:rsidR="00147F40" w:rsidRPr="00147F40">
        <w:rPr>
          <w:i/>
        </w:rPr>
        <w:t>innovation</w:t>
      </w:r>
      <w:proofErr w:type="spellEnd"/>
      <w:r w:rsidR="00147F40" w:rsidRPr="00147F40">
        <w:rPr>
          <w:i/>
        </w:rPr>
        <w:t>.</w:t>
      </w:r>
    </w:p>
    <w:p w14:paraId="320CE503" w14:textId="07BCEDB4" w:rsidR="008B5BEB" w:rsidRDefault="00000000" w:rsidP="00147F40">
      <w:pPr>
        <w:widowControl w:val="0"/>
        <w:spacing w:before="299" w:line="249" w:lineRule="auto"/>
        <w:ind w:left="554" w:right="552" w:firstLine="0"/>
        <w:rPr>
          <w:b/>
          <w:i/>
        </w:rPr>
      </w:pPr>
      <w:r>
        <w:rPr>
          <w:b/>
          <w:i/>
        </w:rPr>
        <w:t xml:space="preserve">Keywords: </w:t>
      </w:r>
      <w:r w:rsidR="00147F40" w:rsidRPr="00147F40">
        <w:rPr>
          <w:bCs/>
          <w:i/>
        </w:rPr>
        <w:t xml:space="preserve">Artificial </w:t>
      </w:r>
      <w:proofErr w:type="spellStart"/>
      <w:r w:rsidR="00147F40" w:rsidRPr="00147F40">
        <w:rPr>
          <w:bCs/>
          <w:i/>
        </w:rPr>
        <w:t>Intelligence</w:t>
      </w:r>
      <w:proofErr w:type="spellEnd"/>
      <w:r w:rsidR="00147F40" w:rsidRPr="00147F40">
        <w:rPr>
          <w:bCs/>
          <w:i/>
        </w:rPr>
        <w:t xml:space="preserve"> </w:t>
      </w:r>
      <w:proofErr w:type="spellStart"/>
      <w:r w:rsidR="00147F40" w:rsidRPr="00147F40">
        <w:rPr>
          <w:bCs/>
          <w:i/>
        </w:rPr>
        <w:t>Regulation</w:t>
      </w:r>
      <w:proofErr w:type="spellEnd"/>
      <w:r w:rsidR="00147F40" w:rsidRPr="00147F40">
        <w:rPr>
          <w:bCs/>
          <w:i/>
        </w:rPr>
        <w:t xml:space="preserve">; </w:t>
      </w:r>
      <w:proofErr w:type="spellStart"/>
      <w:r w:rsidR="00147F40" w:rsidRPr="00147F40">
        <w:rPr>
          <w:bCs/>
          <w:i/>
        </w:rPr>
        <w:t>Council</w:t>
      </w:r>
      <w:proofErr w:type="spellEnd"/>
      <w:r w:rsidR="00147F40" w:rsidRPr="00147F40">
        <w:rPr>
          <w:bCs/>
          <w:i/>
        </w:rPr>
        <w:t xml:space="preserve"> </w:t>
      </w:r>
      <w:proofErr w:type="spellStart"/>
      <w:r w:rsidR="00147F40" w:rsidRPr="00147F40">
        <w:rPr>
          <w:bCs/>
          <w:i/>
        </w:rPr>
        <w:t>of</w:t>
      </w:r>
      <w:proofErr w:type="spellEnd"/>
      <w:r w:rsidR="00147F40" w:rsidRPr="00147F40">
        <w:rPr>
          <w:bCs/>
          <w:i/>
        </w:rPr>
        <w:t xml:space="preserve"> </w:t>
      </w:r>
      <w:proofErr w:type="spellStart"/>
      <w:r w:rsidR="00147F40" w:rsidRPr="00147F40">
        <w:rPr>
          <w:bCs/>
          <w:i/>
        </w:rPr>
        <w:t>Europe</w:t>
      </w:r>
      <w:proofErr w:type="spellEnd"/>
      <w:r w:rsidR="00147F40" w:rsidRPr="00147F40">
        <w:rPr>
          <w:bCs/>
          <w:i/>
        </w:rPr>
        <w:t xml:space="preserve"> Framework Convention; </w:t>
      </w:r>
      <w:proofErr w:type="spellStart"/>
      <w:r w:rsidR="00147F40" w:rsidRPr="00147F40">
        <w:rPr>
          <w:bCs/>
          <w:i/>
        </w:rPr>
        <w:t>Human</w:t>
      </w:r>
      <w:proofErr w:type="spellEnd"/>
      <w:r w:rsidR="00147F40" w:rsidRPr="00147F40">
        <w:rPr>
          <w:bCs/>
          <w:i/>
        </w:rPr>
        <w:t xml:space="preserve"> </w:t>
      </w:r>
      <w:proofErr w:type="spellStart"/>
      <w:r w:rsidR="00147F40" w:rsidRPr="00147F40">
        <w:rPr>
          <w:bCs/>
          <w:i/>
        </w:rPr>
        <w:t>Rights</w:t>
      </w:r>
      <w:proofErr w:type="spellEnd"/>
      <w:r w:rsidR="00147F40" w:rsidRPr="00147F40">
        <w:rPr>
          <w:bCs/>
          <w:i/>
        </w:rPr>
        <w:t xml:space="preserve"> </w:t>
      </w:r>
      <w:proofErr w:type="spellStart"/>
      <w:r w:rsidR="00147F40" w:rsidRPr="00147F40">
        <w:rPr>
          <w:bCs/>
          <w:i/>
        </w:rPr>
        <w:t>and</w:t>
      </w:r>
      <w:proofErr w:type="spellEnd"/>
      <w:r w:rsidR="00147F40" w:rsidRPr="00147F40">
        <w:rPr>
          <w:bCs/>
          <w:i/>
        </w:rPr>
        <w:t xml:space="preserve"> AI; </w:t>
      </w:r>
      <w:proofErr w:type="spellStart"/>
      <w:r w:rsidR="00147F40" w:rsidRPr="00147F40">
        <w:rPr>
          <w:bCs/>
          <w:i/>
        </w:rPr>
        <w:t>Brazilian</w:t>
      </w:r>
      <w:proofErr w:type="spellEnd"/>
      <w:r w:rsidR="00147F40" w:rsidRPr="00147F40">
        <w:rPr>
          <w:bCs/>
          <w:i/>
        </w:rPr>
        <w:t xml:space="preserve"> Legal System; Technology </w:t>
      </w:r>
      <w:proofErr w:type="spellStart"/>
      <w:r w:rsidR="00147F40" w:rsidRPr="00147F40">
        <w:rPr>
          <w:bCs/>
          <w:i/>
        </w:rPr>
        <w:t>Transfer</w:t>
      </w:r>
      <w:proofErr w:type="spellEnd"/>
      <w:r w:rsidR="00147F40" w:rsidRPr="00147F40">
        <w:rPr>
          <w:bCs/>
          <w:i/>
        </w:rPr>
        <w:t xml:space="preserve"> </w:t>
      </w:r>
      <w:proofErr w:type="spellStart"/>
      <w:r w:rsidR="00147F40" w:rsidRPr="00147F40">
        <w:rPr>
          <w:bCs/>
          <w:i/>
        </w:rPr>
        <w:t>and</w:t>
      </w:r>
      <w:proofErr w:type="spellEnd"/>
      <w:r w:rsidR="00147F40" w:rsidRPr="00147F40">
        <w:rPr>
          <w:bCs/>
          <w:i/>
        </w:rPr>
        <w:t xml:space="preserve"> </w:t>
      </w:r>
      <w:proofErr w:type="spellStart"/>
      <w:r w:rsidR="00147F40" w:rsidRPr="00147F40">
        <w:rPr>
          <w:bCs/>
          <w:i/>
        </w:rPr>
        <w:t>Innovation</w:t>
      </w:r>
      <w:proofErr w:type="spellEnd"/>
    </w:p>
    <w:p w14:paraId="33BA7DC8" w14:textId="77777777" w:rsidR="008B5BEB" w:rsidRDefault="008B5BEB">
      <w:pPr>
        <w:widowControl w:val="0"/>
        <w:spacing w:line="240" w:lineRule="auto"/>
        <w:ind w:firstLine="0"/>
        <w:jc w:val="left"/>
        <w:rPr>
          <w:i/>
          <w:sz w:val="28"/>
          <w:szCs w:val="28"/>
        </w:rPr>
      </w:pPr>
    </w:p>
    <w:p w14:paraId="14782565" w14:textId="149B5DA3" w:rsidR="008B5BEB" w:rsidRDefault="00000000">
      <w:pPr>
        <w:widowControl w:val="0"/>
        <w:spacing w:line="228" w:lineRule="auto"/>
        <w:ind w:left="554" w:right="552" w:firstLine="0"/>
        <w:rPr>
          <w:i/>
        </w:rPr>
      </w:pPr>
      <w:r>
        <w:rPr>
          <w:b/>
          <w:i/>
        </w:rPr>
        <w:t xml:space="preserve">Resumo.  </w:t>
      </w:r>
      <w:r w:rsidR="00147F40" w:rsidRPr="00147F40">
        <w:rPr>
          <w:i/>
        </w:rPr>
        <w:t>Este artigo analisa a Convenção-Quadro do Conselho da Europa sobre Inteligência Artificial, formalizada em setembro de 2024, primeiro tratado internacional vinculante voltado exclusivamente à regulação da IA. Apresentam-se seus objetivos e diretrizes, voltadas à proteção dos direitos humanos, valores democráticos e Estado de Direito. Examina-se a influência potencial da Convenção sobre o ordenamento jurídico brasileiro, especialmente na construção de um marco regulatório nacional. A pesquisa qualitativa, baseada em revisão bibliográfica e documental, compara o instrumento europeu com os projetos legislativos brasileiros, identificando convergências, divergências e desafios de harmonização normativa, com destaque para impactos na propriedade intelectual e na transferência de tecnologia voltada à inovação.</w:t>
      </w:r>
    </w:p>
    <w:p w14:paraId="4550833D" w14:textId="77777777" w:rsidR="00147F40" w:rsidRDefault="00147F40">
      <w:pPr>
        <w:widowControl w:val="0"/>
        <w:spacing w:line="228" w:lineRule="auto"/>
        <w:ind w:left="554" w:right="552" w:firstLine="0"/>
        <w:rPr>
          <w:i/>
        </w:rPr>
      </w:pPr>
    </w:p>
    <w:p w14:paraId="603F4EF5" w14:textId="7E7E194B" w:rsidR="008B5BEB" w:rsidRPr="00147F40" w:rsidRDefault="00000000">
      <w:pPr>
        <w:widowControl w:val="0"/>
        <w:spacing w:line="228" w:lineRule="auto"/>
        <w:ind w:left="554" w:right="552" w:firstLine="0"/>
        <w:rPr>
          <w:bCs/>
          <w:i/>
        </w:rPr>
      </w:pPr>
      <w:r>
        <w:rPr>
          <w:b/>
          <w:i/>
        </w:rPr>
        <w:t xml:space="preserve">Palavras-chave: </w:t>
      </w:r>
      <w:r w:rsidR="00147F40" w:rsidRPr="00147F40">
        <w:rPr>
          <w:bCs/>
          <w:i/>
        </w:rPr>
        <w:t xml:space="preserve">Regulação da Inteligência Artificial; Convenção-Quadro do </w:t>
      </w:r>
      <w:r w:rsidR="00147F40" w:rsidRPr="00147F40">
        <w:rPr>
          <w:bCs/>
          <w:i/>
        </w:rPr>
        <w:lastRenderedPageBreak/>
        <w:t>Conselho da Europa; Direitos Humanos e IA; Ordenamento Jurídico Brasileiro; Transferência de Tecnologia e Inovação</w:t>
      </w:r>
    </w:p>
    <w:p w14:paraId="77C500D7" w14:textId="77777777" w:rsidR="008B5BEB" w:rsidRDefault="008B5BEB">
      <w:pPr>
        <w:widowControl w:val="0"/>
        <w:spacing w:line="240" w:lineRule="auto"/>
        <w:ind w:firstLine="0"/>
        <w:jc w:val="left"/>
        <w:rPr>
          <w:i/>
          <w:sz w:val="28"/>
          <w:szCs w:val="28"/>
        </w:rPr>
      </w:pPr>
    </w:p>
    <w:p w14:paraId="5BBE3143" w14:textId="0933BF65" w:rsidR="008B5BEB" w:rsidRDefault="00000000">
      <w:pPr>
        <w:widowControl w:val="0"/>
        <w:spacing w:line="228" w:lineRule="auto"/>
        <w:ind w:left="554" w:right="552" w:firstLine="0"/>
        <w:rPr>
          <w:i/>
        </w:rPr>
      </w:pPr>
      <w:proofErr w:type="spellStart"/>
      <w:r>
        <w:rPr>
          <w:b/>
          <w:i/>
        </w:rPr>
        <w:t>Resumen</w:t>
      </w:r>
      <w:proofErr w:type="spellEnd"/>
      <w:r>
        <w:rPr>
          <w:b/>
          <w:i/>
        </w:rPr>
        <w:t xml:space="preserve">.  </w:t>
      </w:r>
      <w:r w:rsidR="00147F40" w:rsidRPr="00147F40">
        <w:rPr>
          <w:i/>
        </w:rPr>
        <w:t xml:space="preserve">Este artículo </w:t>
      </w:r>
      <w:proofErr w:type="spellStart"/>
      <w:r w:rsidR="00147F40" w:rsidRPr="00147F40">
        <w:rPr>
          <w:i/>
        </w:rPr>
        <w:t>analiza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el</w:t>
      </w:r>
      <w:proofErr w:type="spellEnd"/>
      <w:r w:rsidR="00147F40" w:rsidRPr="00147F40">
        <w:rPr>
          <w:i/>
        </w:rPr>
        <w:t xml:space="preserve"> Convenio Marco </w:t>
      </w:r>
      <w:proofErr w:type="spellStart"/>
      <w:r w:rsidR="00147F40" w:rsidRPr="00147F40">
        <w:rPr>
          <w:i/>
        </w:rPr>
        <w:t>del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Consejo</w:t>
      </w:r>
      <w:proofErr w:type="spellEnd"/>
      <w:r w:rsidR="00147F40" w:rsidRPr="00147F40">
        <w:rPr>
          <w:i/>
        </w:rPr>
        <w:t xml:space="preserve"> de Europa sobre </w:t>
      </w:r>
      <w:proofErr w:type="spellStart"/>
      <w:r w:rsidR="00147F40" w:rsidRPr="00147F40">
        <w:rPr>
          <w:i/>
        </w:rPr>
        <w:t>Inteligencia</w:t>
      </w:r>
      <w:proofErr w:type="spellEnd"/>
      <w:r w:rsidR="00147F40" w:rsidRPr="00147F40">
        <w:rPr>
          <w:i/>
        </w:rPr>
        <w:t xml:space="preserve"> Artificial, formalizado </w:t>
      </w:r>
      <w:proofErr w:type="spellStart"/>
      <w:r w:rsidR="00147F40" w:rsidRPr="00147F40">
        <w:rPr>
          <w:i/>
        </w:rPr>
        <w:t>en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septiembre</w:t>
      </w:r>
      <w:proofErr w:type="spellEnd"/>
      <w:r w:rsidR="00147F40" w:rsidRPr="00147F40">
        <w:rPr>
          <w:i/>
        </w:rPr>
        <w:t xml:space="preserve"> de 2024, </w:t>
      </w:r>
      <w:proofErr w:type="spellStart"/>
      <w:r w:rsidR="00147F40" w:rsidRPr="00147F40">
        <w:rPr>
          <w:i/>
        </w:rPr>
        <w:t>el</w:t>
      </w:r>
      <w:proofErr w:type="spellEnd"/>
      <w:r w:rsidR="00147F40" w:rsidRPr="00147F40">
        <w:rPr>
          <w:i/>
        </w:rPr>
        <w:t xml:space="preserve"> primer tratado internacional vinculante dedicado exclusivamente a </w:t>
      </w:r>
      <w:proofErr w:type="spellStart"/>
      <w:r w:rsidR="00147F40" w:rsidRPr="00147F40">
        <w:rPr>
          <w:i/>
        </w:rPr>
        <w:t>la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regulación</w:t>
      </w:r>
      <w:proofErr w:type="spellEnd"/>
      <w:r w:rsidR="00147F40" w:rsidRPr="00147F40">
        <w:rPr>
          <w:i/>
        </w:rPr>
        <w:t xml:space="preserve"> de </w:t>
      </w:r>
      <w:proofErr w:type="spellStart"/>
      <w:r w:rsidR="00147F40" w:rsidRPr="00147F40">
        <w:rPr>
          <w:i/>
        </w:rPr>
        <w:t>la</w:t>
      </w:r>
      <w:proofErr w:type="spellEnd"/>
      <w:r w:rsidR="00147F40" w:rsidRPr="00147F40">
        <w:rPr>
          <w:i/>
        </w:rPr>
        <w:t xml:space="preserve"> IA. Se </w:t>
      </w:r>
      <w:proofErr w:type="spellStart"/>
      <w:r w:rsidR="00147F40" w:rsidRPr="00147F40">
        <w:rPr>
          <w:i/>
        </w:rPr>
        <w:t>presentan</w:t>
      </w:r>
      <w:proofErr w:type="spellEnd"/>
      <w:r w:rsidR="00147F40" w:rsidRPr="00147F40">
        <w:rPr>
          <w:i/>
        </w:rPr>
        <w:t xml:space="preserve"> sus objetivos y </w:t>
      </w:r>
      <w:proofErr w:type="spellStart"/>
      <w:r w:rsidR="00147F40" w:rsidRPr="00147F40">
        <w:rPr>
          <w:i/>
        </w:rPr>
        <w:t>directrices</w:t>
      </w:r>
      <w:proofErr w:type="spellEnd"/>
      <w:r w:rsidR="00147F40" w:rsidRPr="00147F40">
        <w:rPr>
          <w:i/>
        </w:rPr>
        <w:t xml:space="preserve">, orientados a </w:t>
      </w:r>
      <w:proofErr w:type="spellStart"/>
      <w:r w:rsidR="00147F40" w:rsidRPr="00147F40">
        <w:rPr>
          <w:i/>
        </w:rPr>
        <w:t>la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protección</w:t>
      </w:r>
      <w:proofErr w:type="spellEnd"/>
      <w:r w:rsidR="00147F40" w:rsidRPr="00147F40">
        <w:rPr>
          <w:i/>
        </w:rPr>
        <w:t xml:space="preserve"> de </w:t>
      </w:r>
      <w:proofErr w:type="spellStart"/>
      <w:r w:rsidR="00147F40" w:rsidRPr="00147F40">
        <w:rPr>
          <w:i/>
        </w:rPr>
        <w:t>los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derechos</w:t>
      </w:r>
      <w:proofErr w:type="spellEnd"/>
      <w:r w:rsidR="00147F40" w:rsidRPr="00147F40">
        <w:rPr>
          <w:i/>
        </w:rPr>
        <w:t xml:space="preserve"> humanos, </w:t>
      </w:r>
      <w:proofErr w:type="spellStart"/>
      <w:r w:rsidR="00147F40" w:rsidRPr="00147F40">
        <w:rPr>
          <w:i/>
        </w:rPr>
        <w:t>los</w:t>
      </w:r>
      <w:proofErr w:type="spellEnd"/>
      <w:r w:rsidR="00147F40" w:rsidRPr="00147F40">
        <w:rPr>
          <w:i/>
        </w:rPr>
        <w:t xml:space="preserve"> valores democráticos y </w:t>
      </w:r>
      <w:proofErr w:type="spellStart"/>
      <w:r w:rsidR="00147F40" w:rsidRPr="00147F40">
        <w:rPr>
          <w:i/>
        </w:rPr>
        <w:t>el</w:t>
      </w:r>
      <w:proofErr w:type="spellEnd"/>
      <w:r w:rsidR="00147F40" w:rsidRPr="00147F40">
        <w:rPr>
          <w:i/>
        </w:rPr>
        <w:t xml:space="preserve"> Estado de </w:t>
      </w:r>
      <w:proofErr w:type="spellStart"/>
      <w:r w:rsidR="00147F40" w:rsidRPr="00147F40">
        <w:rPr>
          <w:i/>
        </w:rPr>
        <w:t>Derecho</w:t>
      </w:r>
      <w:proofErr w:type="spellEnd"/>
      <w:r w:rsidR="00147F40" w:rsidRPr="00147F40">
        <w:rPr>
          <w:i/>
        </w:rPr>
        <w:t xml:space="preserve">. Se examina </w:t>
      </w:r>
      <w:proofErr w:type="spellStart"/>
      <w:r w:rsidR="00147F40" w:rsidRPr="00147F40">
        <w:rPr>
          <w:i/>
        </w:rPr>
        <w:t>la</w:t>
      </w:r>
      <w:proofErr w:type="spellEnd"/>
      <w:r w:rsidR="00147F40" w:rsidRPr="00147F40">
        <w:rPr>
          <w:i/>
        </w:rPr>
        <w:t xml:space="preserve"> influencia potencial </w:t>
      </w:r>
      <w:proofErr w:type="spellStart"/>
      <w:proofErr w:type="gramStart"/>
      <w:r w:rsidR="00147F40" w:rsidRPr="00147F40">
        <w:rPr>
          <w:i/>
        </w:rPr>
        <w:t>del</w:t>
      </w:r>
      <w:proofErr w:type="spellEnd"/>
      <w:r w:rsidR="00147F40" w:rsidRPr="00147F40">
        <w:rPr>
          <w:i/>
        </w:rPr>
        <w:t xml:space="preserve"> Convenio</w:t>
      </w:r>
      <w:proofErr w:type="gram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en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el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ordenamiento</w:t>
      </w:r>
      <w:proofErr w:type="spellEnd"/>
      <w:r w:rsidR="00147F40" w:rsidRPr="00147F40">
        <w:rPr>
          <w:i/>
        </w:rPr>
        <w:t xml:space="preserve"> jurídico </w:t>
      </w:r>
      <w:proofErr w:type="spellStart"/>
      <w:r w:rsidR="00147F40" w:rsidRPr="00147F40">
        <w:rPr>
          <w:i/>
        </w:rPr>
        <w:t>brasileño</w:t>
      </w:r>
      <w:proofErr w:type="spellEnd"/>
      <w:r w:rsidR="00147F40" w:rsidRPr="00147F40">
        <w:rPr>
          <w:i/>
        </w:rPr>
        <w:t xml:space="preserve">, especialmente </w:t>
      </w:r>
      <w:proofErr w:type="spellStart"/>
      <w:r w:rsidR="00147F40" w:rsidRPr="00147F40">
        <w:rPr>
          <w:i/>
        </w:rPr>
        <w:t>en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la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construcción</w:t>
      </w:r>
      <w:proofErr w:type="spellEnd"/>
      <w:r w:rsidR="00147F40" w:rsidRPr="00147F40">
        <w:rPr>
          <w:i/>
        </w:rPr>
        <w:t xml:space="preserve"> de </w:t>
      </w:r>
      <w:proofErr w:type="spellStart"/>
      <w:r w:rsidR="00147F40" w:rsidRPr="00147F40">
        <w:rPr>
          <w:i/>
        </w:rPr>
        <w:t>un</w:t>
      </w:r>
      <w:proofErr w:type="spellEnd"/>
      <w:r w:rsidR="00147F40" w:rsidRPr="00147F40">
        <w:rPr>
          <w:i/>
        </w:rPr>
        <w:t xml:space="preserve"> marco </w:t>
      </w:r>
      <w:proofErr w:type="spellStart"/>
      <w:r w:rsidR="00147F40" w:rsidRPr="00147F40">
        <w:rPr>
          <w:i/>
        </w:rPr>
        <w:t>regulatorio</w:t>
      </w:r>
      <w:proofErr w:type="spellEnd"/>
      <w:r w:rsidR="00147F40" w:rsidRPr="00147F40">
        <w:rPr>
          <w:i/>
        </w:rPr>
        <w:t xml:space="preserve"> nacional. La </w:t>
      </w:r>
      <w:proofErr w:type="spellStart"/>
      <w:r w:rsidR="00147F40" w:rsidRPr="00147F40">
        <w:rPr>
          <w:i/>
        </w:rPr>
        <w:t>investigación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cualitativa</w:t>
      </w:r>
      <w:proofErr w:type="spellEnd"/>
      <w:r w:rsidR="00147F40" w:rsidRPr="00147F40">
        <w:rPr>
          <w:i/>
        </w:rPr>
        <w:t xml:space="preserve">, </w:t>
      </w:r>
      <w:proofErr w:type="spellStart"/>
      <w:r w:rsidR="00147F40" w:rsidRPr="00147F40">
        <w:rPr>
          <w:i/>
        </w:rPr>
        <w:t>basada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en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revisión</w:t>
      </w:r>
      <w:proofErr w:type="spellEnd"/>
      <w:r w:rsidR="00147F40" w:rsidRPr="00147F40">
        <w:rPr>
          <w:i/>
        </w:rPr>
        <w:t xml:space="preserve"> bibliográfica y documental, compara </w:t>
      </w:r>
      <w:proofErr w:type="spellStart"/>
      <w:r w:rsidR="00147F40" w:rsidRPr="00147F40">
        <w:rPr>
          <w:i/>
        </w:rPr>
        <w:t>el</w:t>
      </w:r>
      <w:proofErr w:type="spellEnd"/>
      <w:r w:rsidR="00147F40" w:rsidRPr="00147F40">
        <w:rPr>
          <w:i/>
        </w:rPr>
        <w:t xml:space="preserve"> instrumento </w:t>
      </w:r>
      <w:proofErr w:type="spellStart"/>
      <w:r w:rsidR="00147F40" w:rsidRPr="00147F40">
        <w:rPr>
          <w:i/>
        </w:rPr>
        <w:t>europeo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con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los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proyectos</w:t>
      </w:r>
      <w:proofErr w:type="spellEnd"/>
      <w:r w:rsidR="00147F40" w:rsidRPr="00147F40">
        <w:rPr>
          <w:i/>
        </w:rPr>
        <w:t xml:space="preserve"> legislativos </w:t>
      </w:r>
      <w:proofErr w:type="spellStart"/>
      <w:r w:rsidR="00147F40" w:rsidRPr="00147F40">
        <w:rPr>
          <w:i/>
        </w:rPr>
        <w:t>brasileños</w:t>
      </w:r>
      <w:proofErr w:type="spellEnd"/>
      <w:r w:rsidR="00147F40" w:rsidRPr="00147F40">
        <w:rPr>
          <w:i/>
        </w:rPr>
        <w:t xml:space="preserve">, identificando </w:t>
      </w:r>
      <w:proofErr w:type="spellStart"/>
      <w:r w:rsidR="00147F40" w:rsidRPr="00147F40">
        <w:rPr>
          <w:i/>
        </w:rPr>
        <w:t>convergencias</w:t>
      </w:r>
      <w:proofErr w:type="spellEnd"/>
      <w:r w:rsidR="00147F40" w:rsidRPr="00147F40">
        <w:rPr>
          <w:i/>
        </w:rPr>
        <w:t xml:space="preserve">, </w:t>
      </w:r>
      <w:proofErr w:type="spellStart"/>
      <w:r w:rsidR="00147F40" w:rsidRPr="00147F40">
        <w:rPr>
          <w:i/>
        </w:rPr>
        <w:t>divergencias</w:t>
      </w:r>
      <w:proofErr w:type="spellEnd"/>
      <w:r w:rsidR="00147F40" w:rsidRPr="00147F40">
        <w:rPr>
          <w:i/>
        </w:rPr>
        <w:t xml:space="preserve"> y </w:t>
      </w:r>
      <w:proofErr w:type="spellStart"/>
      <w:r w:rsidR="00147F40" w:rsidRPr="00147F40">
        <w:rPr>
          <w:i/>
        </w:rPr>
        <w:t>desafíos</w:t>
      </w:r>
      <w:proofErr w:type="spellEnd"/>
      <w:r w:rsidR="00147F40" w:rsidRPr="00147F40">
        <w:rPr>
          <w:i/>
        </w:rPr>
        <w:t xml:space="preserve"> para </w:t>
      </w:r>
      <w:proofErr w:type="spellStart"/>
      <w:r w:rsidR="00147F40" w:rsidRPr="00147F40">
        <w:rPr>
          <w:i/>
        </w:rPr>
        <w:t>la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armonización</w:t>
      </w:r>
      <w:proofErr w:type="spellEnd"/>
      <w:r w:rsidR="00147F40" w:rsidRPr="00147F40">
        <w:rPr>
          <w:i/>
        </w:rPr>
        <w:t xml:space="preserve"> normativa, </w:t>
      </w:r>
      <w:proofErr w:type="spellStart"/>
      <w:r w:rsidR="00147F40" w:rsidRPr="00147F40">
        <w:rPr>
          <w:i/>
        </w:rPr>
        <w:t>con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énfasis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en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los</w:t>
      </w:r>
      <w:proofErr w:type="spellEnd"/>
      <w:r w:rsidR="00147F40" w:rsidRPr="00147F40">
        <w:rPr>
          <w:i/>
        </w:rPr>
        <w:t xml:space="preserve"> impactos sobre </w:t>
      </w:r>
      <w:proofErr w:type="spellStart"/>
      <w:r w:rsidR="00147F40" w:rsidRPr="00147F40">
        <w:rPr>
          <w:i/>
        </w:rPr>
        <w:t>la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propiedad</w:t>
      </w:r>
      <w:proofErr w:type="spellEnd"/>
      <w:r w:rsidR="00147F40" w:rsidRPr="00147F40">
        <w:rPr>
          <w:i/>
        </w:rPr>
        <w:t xml:space="preserve"> intelectual y </w:t>
      </w:r>
      <w:proofErr w:type="spellStart"/>
      <w:r w:rsidR="00147F40" w:rsidRPr="00147F40">
        <w:rPr>
          <w:i/>
        </w:rPr>
        <w:t>la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transferencia</w:t>
      </w:r>
      <w:proofErr w:type="spellEnd"/>
      <w:r w:rsidR="00147F40" w:rsidRPr="00147F40">
        <w:rPr>
          <w:i/>
        </w:rPr>
        <w:t xml:space="preserve"> de </w:t>
      </w:r>
      <w:proofErr w:type="spellStart"/>
      <w:r w:rsidR="00147F40" w:rsidRPr="00147F40">
        <w:rPr>
          <w:i/>
        </w:rPr>
        <w:t>tecnología</w:t>
      </w:r>
      <w:proofErr w:type="spellEnd"/>
      <w:r w:rsidR="00147F40" w:rsidRPr="00147F40">
        <w:rPr>
          <w:i/>
        </w:rPr>
        <w:t xml:space="preserve"> orientada a </w:t>
      </w:r>
      <w:proofErr w:type="spellStart"/>
      <w:r w:rsidR="00147F40" w:rsidRPr="00147F40">
        <w:rPr>
          <w:i/>
        </w:rPr>
        <w:t>la</w:t>
      </w:r>
      <w:proofErr w:type="spellEnd"/>
      <w:r w:rsidR="00147F40" w:rsidRPr="00147F40">
        <w:rPr>
          <w:i/>
        </w:rPr>
        <w:t xml:space="preserve"> </w:t>
      </w:r>
      <w:proofErr w:type="spellStart"/>
      <w:r w:rsidR="00147F40" w:rsidRPr="00147F40">
        <w:rPr>
          <w:i/>
        </w:rPr>
        <w:t>innovación</w:t>
      </w:r>
      <w:proofErr w:type="spellEnd"/>
      <w:r w:rsidR="00147F40">
        <w:rPr>
          <w:i/>
        </w:rPr>
        <w:t>.</w:t>
      </w:r>
    </w:p>
    <w:p w14:paraId="2A74CC9B" w14:textId="77777777" w:rsidR="008B5BEB" w:rsidRDefault="008B5BEB">
      <w:pPr>
        <w:widowControl w:val="0"/>
        <w:spacing w:line="228" w:lineRule="auto"/>
        <w:ind w:left="554" w:right="552" w:firstLine="0"/>
        <w:rPr>
          <w:i/>
        </w:rPr>
      </w:pPr>
    </w:p>
    <w:p w14:paraId="49009FF5" w14:textId="77777777" w:rsidR="00147F40" w:rsidRPr="00147F40" w:rsidRDefault="00000000" w:rsidP="00147F40">
      <w:pPr>
        <w:widowControl w:val="0"/>
        <w:spacing w:line="228" w:lineRule="auto"/>
        <w:ind w:left="554" w:right="552" w:firstLine="0"/>
        <w:rPr>
          <w:bCs/>
          <w:i/>
        </w:rPr>
      </w:pPr>
      <w:r>
        <w:rPr>
          <w:b/>
          <w:i/>
        </w:rPr>
        <w:t xml:space="preserve">Palavras clave: </w:t>
      </w:r>
      <w:r w:rsidR="00147F40">
        <w:rPr>
          <w:b/>
          <w:i/>
        </w:rPr>
        <w:t xml:space="preserve"> </w:t>
      </w:r>
      <w:proofErr w:type="spellStart"/>
      <w:r w:rsidR="00147F40" w:rsidRPr="00147F40">
        <w:rPr>
          <w:bCs/>
          <w:i/>
        </w:rPr>
        <w:t>Regulación</w:t>
      </w:r>
      <w:proofErr w:type="spellEnd"/>
      <w:r w:rsidR="00147F40" w:rsidRPr="00147F40">
        <w:rPr>
          <w:bCs/>
          <w:i/>
        </w:rPr>
        <w:t xml:space="preserve"> de </w:t>
      </w:r>
      <w:proofErr w:type="spellStart"/>
      <w:r w:rsidR="00147F40" w:rsidRPr="00147F40">
        <w:rPr>
          <w:bCs/>
          <w:i/>
        </w:rPr>
        <w:t>la</w:t>
      </w:r>
      <w:proofErr w:type="spellEnd"/>
      <w:r w:rsidR="00147F40" w:rsidRPr="00147F40">
        <w:rPr>
          <w:bCs/>
          <w:i/>
        </w:rPr>
        <w:t xml:space="preserve"> </w:t>
      </w:r>
      <w:proofErr w:type="spellStart"/>
      <w:r w:rsidR="00147F40" w:rsidRPr="00147F40">
        <w:rPr>
          <w:bCs/>
          <w:i/>
        </w:rPr>
        <w:t>Inteligencia</w:t>
      </w:r>
      <w:proofErr w:type="spellEnd"/>
      <w:r w:rsidR="00147F40" w:rsidRPr="00147F40">
        <w:rPr>
          <w:bCs/>
          <w:i/>
        </w:rPr>
        <w:t xml:space="preserve"> Artificial; Convenio Marco </w:t>
      </w:r>
      <w:proofErr w:type="spellStart"/>
      <w:r w:rsidR="00147F40" w:rsidRPr="00147F40">
        <w:rPr>
          <w:bCs/>
          <w:i/>
        </w:rPr>
        <w:t>del</w:t>
      </w:r>
      <w:proofErr w:type="spellEnd"/>
      <w:r w:rsidR="00147F40" w:rsidRPr="00147F40">
        <w:rPr>
          <w:bCs/>
          <w:i/>
        </w:rPr>
        <w:t xml:space="preserve"> </w:t>
      </w:r>
      <w:proofErr w:type="spellStart"/>
      <w:r w:rsidR="00147F40" w:rsidRPr="00147F40">
        <w:rPr>
          <w:bCs/>
          <w:i/>
        </w:rPr>
        <w:t>Consejo</w:t>
      </w:r>
      <w:proofErr w:type="spellEnd"/>
      <w:r w:rsidR="00147F40" w:rsidRPr="00147F40">
        <w:rPr>
          <w:bCs/>
          <w:i/>
        </w:rPr>
        <w:t xml:space="preserve"> de Europa; </w:t>
      </w:r>
      <w:proofErr w:type="spellStart"/>
      <w:r w:rsidR="00147F40" w:rsidRPr="00147F40">
        <w:rPr>
          <w:bCs/>
          <w:i/>
        </w:rPr>
        <w:t>Derechos</w:t>
      </w:r>
      <w:proofErr w:type="spellEnd"/>
      <w:r w:rsidR="00147F40" w:rsidRPr="00147F40">
        <w:rPr>
          <w:bCs/>
          <w:i/>
        </w:rPr>
        <w:t xml:space="preserve"> Humanos e IA; </w:t>
      </w:r>
      <w:proofErr w:type="spellStart"/>
      <w:r w:rsidR="00147F40" w:rsidRPr="00147F40">
        <w:rPr>
          <w:bCs/>
          <w:i/>
        </w:rPr>
        <w:t>Ordenamiento</w:t>
      </w:r>
      <w:proofErr w:type="spellEnd"/>
      <w:r w:rsidR="00147F40" w:rsidRPr="00147F40">
        <w:rPr>
          <w:bCs/>
          <w:i/>
        </w:rPr>
        <w:t xml:space="preserve"> Jurídico </w:t>
      </w:r>
      <w:proofErr w:type="spellStart"/>
      <w:r w:rsidR="00147F40" w:rsidRPr="00147F40">
        <w:rPr>
          <w:bCs/>
          <w:i/>
        </w:rPr>
        <w:t>Brasileño</w:t>
      </w:r>
      <w:proofErr w:type="spellEnd"/>
      <w:r w:rsidR="00147F40" w:rsidRPr="00147F40">
        <w:rPr>
          <w:bCs/>
          <w:i/>
        </w:rPr>
        <w:t xml:space="preserve">; </w:t>
      </w:r>
      <w:proofErr w:type="spellStart"/>
      <w:r w:rsidR="00147F40" w:rsidRPr="00147F40">
        <w:rPr>
          <w:bCs/>
          <w:i/>
        </w:rPr>
        <w:t>Transferencia</w:t>
      </w:r>
      <w:proofErr w:type="spellEnd"/>
      <w:r w:rsidR="00147F40" w:rsidRPr="00147F40">
        <w:rPr>
          <w:bCs/>
          <w:i/>
        </w:rPr>
        <w:t xml:space="preserve"> de </w:t>
      </w:r>
      <w:proofErr w:type="spellStart"/>
      <w:r w:rsidR="00147F40" w:rsidRPr="00147F40">
        <w:rPr>
          <w:bCs/>
          <w:i/>
        </w:rPr>
        <w:t>Tecnología</w:t>
      </w:r>
      <w:proofErr w:type="spellEnd"/>
      <w:r w:rsidR="00147F40" w:rsidRPr="00147F40">
        <w:rPr>
          <w:bCs/>
          <w:i/>
        </w:rPr>
        <w:t xml:space="preserve"> e </w:t>
      </w:r>
      <w:proofErr w:type="spellStart"/>
      <w:r w:rsidR="00147F40" w:rsidRPr="00147F40">
        <w:rPr>
          <w:bCs/>
          <w:i/>
        </w:rPr>
        <w:t>Innovación</w:t>
      </w:r>
      <w:proofErr w:type="spellEnd"/>
    </w:p>
    <w:p w14:paraId="5DDA140C" w14:textId="38055079" w:rsidR="008B5BEB" w:rsidRPr="00147F40" w:rsidRDefault="008B5BEB">
      <w:pPr>
        <w:widowControl w:val="0"/>
        <w:spacing w:line="228" w:lineRule="auto"/>
        <w:ind w:left="554" w:right="552" w:firstLine="0"/>
        <w:rPr>
          <w:bCs/>
          <w:i/>
        </w:rPr>
      </w:pPr>
    </w:p>
    <w:p w14:paraId="124003FA" w14:textId="77777777" w:rsidR="008B5BEB" w:rsidRPr="00147F40" w:rsidRDefault="008B5BEB">
      <w:pPr>
        <w:widowControl w:val="0"/>
        <w:spacing w:line="228" w:lineRule="auto"/>
        <w:ind w:left="554" w:right="552" w:firstLine="0"/>
        <w:rPr>
          <w:bCs/>
          <w:i/>
        </w:rPr>
      </w:pPr>
    </w:p>
    <w:p w14:paraId="4396604E" w14:textId="57495668" w:rsidR="008B5BEB" w:rsidRDefault="00000000" w:rsidP="00886427">
      <w:pPr>
        <w:widowControl w:val="0"/>
        <w:spacing w:line="228" w:lineRule="auto"/>
        <w:ind w:left="554" w:right="552" w:firstLine="0"/>
        <w:rPr>
          <w:i/>
        </w:rPr>
      </w:pPr>
      <w:r>
        <w:rPr>
          <w:b/>
          <w:i/>
        </w:rPr>
        <w:t xml:space="preserve">Área Temática: </w:t>
      </w:r>
      <w:r w:rsidR="00886427" w:rsidRPr="00886427">
        <w:rPr>
          <w:i/>
        </w:rPr>
        <w:t>Propriedade Intelectual; Cibernética, Tecnologia e Administração</w:t>
      </w:r>
    </w:p>
    <w:p w14:paraId="539E5585" w14:textId="77777777" w:rsidR="00886427" w:rsidRDefault="00886427" w:rsidP="00886427">
      <w:pPr>
        <w:widowControl w:val="0"/>
        <w:spacing w:line="228" w:lineRule="auto"/>
        <w:ind w:left="554" w:right="552" w:firstLine="0"/>
        <w:rPr>
          <w:i/>
          <w:sz w:val="29"/>
          <w:szCs w:val="29"/>
        </w:rPr>
      </w:pPr>
    </w:p>
    <w:p w14:paraId="66C02462" w14:textId="2A2D2736" w:rsidR="00886427" w:rsidRPr="00886427" w:rsidRDefault="00000000" w:rsidP="00886427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415"/>
        </w:tabs>
        <w:spacing w:before="1" w:line="240" w:lineRule="auto"/>
        <w:ind w:hanging="315"/>
        <w:jc w:val="both"/>
        <w:rPr>
          <w:sz w:val="26"/>
          <w:szCs w:val="26"/>
        </w:rPr>
      </w:pPr>
      <w:r>
        <w:rPr>
          <w:sz w:val="26"/>
          <w:szCs w:val="26"/>
        </w:rPr>
        <w:t>In</w:t>
      </w:r>
      <w:r w:rsidR="00886427">
        <w:rPr>
          <w:sz w:val="26"/>
          <w:szCs w:val="26"/>
        </w:rPr>
        <w:t>trodução</w:t>
      </w:r>
    </w:p>
    <w:p w14:paraId="100B5A5E" w14:textId="77777777" w:rsidR="00886427" w:rsidRPr="006351E6" w:rsidRDefault="00886427" w:rsidP="00886427">
      <w:pPr>
        <w:pStyle w:val="PargrafodaLista"/>
        <w:numPr>
          <w:ilvl w:val="1"/>
          <w:numId w:val="3"/>
        </w:numPr>
        <w:spacing w:after="0" w:line="360" w:lineRule="auto"/>
        <w:ind w:left="709" w:hanging="709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0592">
        <w:rPr>
          <w:rFonts w:ascii="Times New Roman" w:hAnsi="Times New Roman" w:cs="Times New Roman"/>
          <w:b/>
          <w:bCs/>
          <w:sz w:val="24"/>
          <w:szCs w:val="24"/>
        </w:rPr>
        <w:t>Da Ficção à Realidade: A Trajetória da Inteligência Artificial do Século XVIII à Era da IA Generativa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967F39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0F5D1F">
        <w:rPr>
          <w:bCs/>
        </w:rPr>
        <w:t>Conforme observa Tim Mucci</w:t>
      </w:r>
      <w:r>
        <w:rPr>
          <w:rStyle w:val="Refdenotaderodap"/>
          <w:bCs/>
        </w:rPr>
        <w:t xml:space="preserve"> </w:t>
      </w:r>
      <w:r>
        <w:rPr>
          <w:bCs/>
        </w:rPr>
        <w:t xml:space="preserve">(MUCCI, 2022), </w:t>
      </w:r>
      <w:r w:rsidRPr="000F5D1F">
        <w:rPr>
          <w:bCs/>
        </w:rPr>
        <w:t>em seu artigo para a IBM</w:t>
      </w:r>
      <w:r>
        <w:rPr>
          <w:bCs/>
        </w:rPr>
        <w:t>, intitulado “</w:t>
      </w:r>
      <w:r w:rsidRPr="000F5D1F">
        <w:rPr>
          <w:bCs/>
        </w:rPr>
        <w:t>A história da IA</w:t>
      </w:r>
      <w:r>
        <w:rPr>
          <w:bCs/>
        </w:rPr>
        <w:t>”</w:t>
      </w:r>
      <w:r w:rsidRPr="000F5D1F">
        <w:rPr>
          <w:bCs/>
        </w:rPr>
        <w:t>,</w:t>
      </w:r>
      <w:r>
        <w:rPr>
          <w:bCs/>
        </w:rPr>
        <w:t xml:space="preserve"> </w:t>
      </w:r>
      <w:r w:rsidRPr="000F5D1F">
        <w:rPr>
          <w:bCs/>
        </w:rPr>
        <w:t xml:space="preserve">Jonathan Swift, em </w:t>
      </w:r>
      <w:proofErr w:type="spellStart"/>
      <w:r w:rsidRPr="000F5D1F">
        <w:rPr>
          <w:bCs/>
          <w:i/>
          <w:iCs/>
        </w:rPr>
        <w:t>Gulliver’s</w:t>
      </w:r>
      <w:proofErr w:type="spellEnd"/>
      <w:r w:rsidRPr="000F5D1F">
        <w:rPr>
          <w:bCs/>
          <w:i/>
          <w:iCs/>
        </w:rPr>
        <w:t xml:space="preserve"> </w:t>
      </w:r>
      <w:proofErr w:type="spellStart"/>
      <w:r w:rsidRPr="000F5D1F">
        <w:rPr>
          <w:bCs/>
          <w:i/>
          <w:iCs/>
        </w:rPr>
        <w:t>Travels</w:t>
      </w:r>
      <w:proofErr w:type="spellEnd"/>
      <w:r w:rsidRPr="000F5D1F">
        <w:rPr>
          <w:bCs/>
        </w:rPr>
        <w:t xml:space="preserve"> (1726), </w:t>
      </w:r>
      <w:r>
        <w:rPr>
          <w:bCs/>
        </w:rPr>
        <w:t xml:space="preserve">descreve </w:t>
      </w:r>
      <w:r w:rsidRPr="000F5D1F">
        <w:rPr>
          <w:bCs/>
        </w:rPr>
        <w:t xml:space="preserve">uma máquina chamada </w:t>
      </w:r>
      <w:r w:rsidRPr="000F5D1F">
        <w:rPr>
          <w:bCs/>
          <w:i/>
          <w:iCs/>
        </w:rPr>
        <w:t xml:space="preserve">The </w:t>
      </w:r>
      <w:proofErr w:type="spellStart"/>
      <w:r w:rsidRPr="000F5D1F">
        <w:rPr>
          <w:bCs/>
          <w:i/>
          <w:iCs/>
        </w:rPr>
        <w:t>Engine</w:t>
      </w:r>
      <w:proofErr w:type="spellEnd"/>
      <w:r w:rsidRPr="000F5D1F">
        <w:rPr>
          <w:bCs/>
        </w:rPr>
        <w:t xml:space="preserve">, concebida para gerar frases e livros de forma mecânica </w:t>
      </w:r>
      <w:r>
        <w:rPr>
          <w:bCs/>
        </w:rPr>
        <w:t>–</w:t>
      </w:r>
      <w:r w:rsidRPr="000F5D1F">
        <w:rPr>
          <w:bCs/>
        </w:rPr>
        <w:t xml:space="preserve"> uma antecipação literária do que hoje</w:t>
      </w:r>
      <w:r>
        <w:rPr>
          <w:bCs/>
        </w:rPr>
        <w:t xml:space="preserve"> se </w:t>
      </w:r>
      <w:r w:rsidRPr="000F5D1F">
        <w:rPr>
          <w:bCs/>
        </w:rPr>
        <w:t xml:space="preserve">entende por automação de </w:t>
      </w:r>
      <w:proofErr w:type="gramStart"/>
      <w:r w:rsidRPr="000F5D1F">
        <w:rPr>
          <w:bCs/>
        </w:rPr>
        <w:t>linguagem</w:t>
      </w:r>
      <w:r>
        <w:rPr>
          <w:bCs/>
        </w:rPr>
        <w:t xml:space="preserve"> </w:t>
      </w:r>
      <w:r w:rsidRPr="001F1241">
        <w:rPr>
          <w:bCs/>
        </w:rPr>
        <w:t xml:space="preserve"> (</w:t>
      </w:r>
      <w:proofErr w:type="gramEnd"/>
      <w:r w:rsidRPr="001F1241">
        <w:rPr>
          <w:bCs/>
        </w:rPr>
        <w:t>DYSON, 2012; SWIFT, 1979)</w:t>
      </w:r>
      <w:r>
        <w:rPr>
          <w:bCs/>
        </w:rPr>
        <w:t>.</w:t>
      </w:r>
    </w:p>
    <w:p w14:paraId="0E9B7498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>
        <w:rPr>
          <w:bCs/>
        </w:rPr>
        <w:t>E</w:t>
      </w:r>
      <w:r w:rsidRPr="001F1241">
        <w:rPr>
          <w:bCs/>
        </w:rPr>
        <w:t xml:space="preserve">mbora concebido por Swift como uma crítica à mecanização da ciência, o </w:t>
      </w:r>
      <w:proofErr w:type="spellStart"/>
      <w:r w:rsidRPr="001F1241">
        <w:rPr>
          <w:bCs/>
          <w:i/>
          <w:iCs/>
        </w:rPr>
        <w:t>Engine</w:t>
      </w:r>
      <w:proofErr w:type="spellEnd"/>
      <w:r w:rsidRPr="001F1241">
        <w:rPr>
          <w:bCs/>
        </w:rPr>
        <w:t xml:space="preserve"> pode</w:t>
      </w:r>
      <w:r>
        <w:rPr>
          <w:bCs/>
        </w:rPr>
        <w:t xml:space="preserve">, de fato, </w:t>
      </w:r>
      <w:r w:rsidRPr="001F1241">
        <w:rPr>
          <w:bCs/>
        </w:rPr>
        <w:t>ser legitimamente interpretado como um vislumbre imaginativo das discussões contemporâneas sobre inteligência artificial e automação intelectual.</w:t>
      </w:r>
    </w:p>
    <w:p w14:paraId="7CD4983F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F05649">
        <w:rPr>
          <w:bCs/>
        </w:rPr>
        <w:t>Ainda segundo Tim Mucci</w:t>
      </w:r>
      <w:r>
        <w:rPr>
          <w:bCs/>
        </w:rPr>
        <w:t xml:space="preserve"> (MUCCI, 2022)</w:t>
      </w:r>
      <w:r w:rsidRPr="00F05649">
        <w:rPr>
          <w:bCs/>
        </w:rPr>
        <w:t>, na primeira metade do século XX</w:t>
      </w:r>
      <w:r>
        <w:rPr>
          <w:bCs/>
        </w:rPr>
        <w:t xml:space="preserve"> (</w:t>
      </w:r>
      <w:r w:rsidRPr="00F05649">
        <w:rPr>
          <w:bCs/>
        </w:rPr>
        <w:t>1900–1950</w:t>
      </w:r>
      <w:r>
        <w:rPr>
          <w:bCs/>
        </w:rPr>
        <w:t>)</w:t>
      </w:r>
      <w:r w:rsidRPr="00F05649">
        <w:rPr>
          <w:bCs/>
        </w:rPr>
        <w:t>, ocorreram avanços que pavimentaram o caminho para o desenvolvimento da inteligência artificial, e o estudo desses marcos nos permite compreender a trajetória até o momento presente.</w:t>
      </w:r>
    </w:p>
    <w:p w14:paraId="02E1AF76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>
        <w:rPr>
          <w:bCs/>
        </w:rPr>
        <w:t>Neste período, e</w:t>
      </w:r>
      <w:r w:rsidRPr="00D5159F">
        <w:rPr>
          <w:bCs/>
        </w:rPr>
        <w:t>ntre os primeiros marcos relacionados à inteligência artificial e à robótica</w:t>
      </w:r>
      <w:r>
        <w:rPr>
          <w:bCs/>
        </w:rPr>
        <w:t>, destaca-se</w:t>
      </w:r>
      <w:r w:rsidRPr="00D5159F">
        <w:rPr>
          <w:bCs/>
        </w:rPr>
        <w:t xml:space="preserve">, </w:t>
      </w:r>
      <w:r>
        <w:rPr>
          <w:bCs/>
        </w:rPr>
        <w:t>continua</w:t>
      </w:r>
      <w:r w:rsidRPr="00D5159F">
        <w:rPr>
          <w:bCs/>
        </w:rPr>
        <w:t xml:space="preserve"> Tim Mucci</w:t>
      </w:r>
      <w:r>
        <w:rPr>
          <w:bCs/>
        </w:rPr>
        <w:t xml:space="preserve"> (MUCCI, 2022)</w:t>
      </w:r>
      <w:r w:rsidRPr="00D5159F">
        <w:rPr>
          <w:bCs/>
        </w:rPr>
        <w:t>, a apresentação</w:t>
      </w:r>
      <w:r>
        <w:rPr>
          <w:bCs/>
        </w:rPr>
        <w:t xml:space="preserve">, em 1914, </w:t>
      </w:r>
      <w:r w:rsidRPr="00D5159F">
        <w:rPr>
          <w:bCs/>
        </w:rPr>
        <w:t xml:space="preserve">do </w:t>
      </w:r>
      <w:r w:rsidRPr="00D5159F">
        <w:rPr>
          <w:bCs/>
          <w:i/>
          <w:iCs/>
        </w:rPr>
        <w:t xml:space="preserve">El </w:t>
      </w:r>
      <w:proofErr w:type="spellStart"/>
      <w:r w:rsidRPr="00D5159F">
        <w:rPr>
          <w:bCs/>
          <w:i/>
          <w:iCs/>
        </w:rPr>
        <w:t>Ajedrecista</w:t>
      </w:r>
      <w:proofErr w:type="spellEnd"/>
      <w:r w:rsidRPr="00D5159F">
        <w:rPr>
          <w:bCs/>
        </w:rPr>
        <w:t xml:space="preserve">, criado por Leonardo Torres y Quevedo, reconhecido como o primeiro dispositivo </w:t>
      </w:r>
      <w:r w:rsidRPr="00D5159F">
        <w:rPr>
          <w:bCs/>
        </w:rPr>
        <w:lastRenderedPageBreak/>
        <w:t>automático capaz de jogar xadrez.</w:t>
      </w:r>
      <w:r>
        <w:rPr>
          <w:bCs/>
        </w:rPr>
        <w:t xml:space="preserve"> </w:t>
      </w:r>
      <w:r w:rsidRPr="00D5159F">
        <w:rPr>
          <w:bCs/>
        </w:rPr>
        <w:t xml:space="preserve">Em 1921, a peça </w:t>
      </w:r>
      <w:proofErr w:type="spellStart"/>
      <w:r w:rsidRPr="00D5159F">
        <w:rPr>
          <w:bCs/>
          <w:i/>
          <w:iCs/>
        </w:rPr>
        <w:t>Rossum’s</w:t>
      </w:r>
      <w:proofErr w:type="spellEnd"/>
      <w:r w:rsidRPr="00D5159F">
        <w:rPr>
          <w:bCs/>
          <w:i/>
          <w:iCs/>
        </w:rPr>
        <w:t xml:space="preserve"> Universal </w:t>
      </w:r>
      <w:proofErr w:type="spellStart"/>
      <w:r w:rsidRPr="00D5159F">
        <w:rPr>
          <w:bCs/>
          <w:i/>
          <w:iCs/>
        </w:rPr>
        <w:t>Robots</w:t>
      </w:r>
      <w:proofErr w:type="spellEnd"/>
      <w:r w:rsidRPr="00D5159F">
        <w:rPr>
          <w:bCs/>
        </w:rPr>
        <w:t xml:space="preserve"> introduziu o termo “robô”, que passou a se referir a máquinas projetadas para executar tarefas repetitivas e monótonas. Nos anos 1930, o </w:t>
      </w:r>
      <w:proofErr w:type="spellStart"/>
      <w:r w:rsidRPr="00D5159F">
        <w:rPr>
          <w:bCs/>
          <w:i/>
          <w:iCs/>
        </w:rPr>
        <w:t>Atanasoff</w:t>
      </w:r>
      <w:proofErr w:type="spellEnd"/>
      <w:r w:rsidRPr="00D5159F">
        <w:rPr>
          <w:bCs/>
          <w:i/>
          <w:iCs/>
        </w:rPr>
        <w:t>-Berry Computer</w:t>
      </w:r>
      <w:r w:rsidRPr="00D5159F">
        <w:rPr>
          <w:bCs/>
        </w:rPr>
        <w:t xml:space="preserve"> (ABC) representou um avanço significativo na computação eletrônica ao adotar o sistema binário e os circuitos eletrônicos, fundamentos da arquitetura dos computadores atuais. Em 1943, </w:t>
      </w:r>
      <w:proofErr w:type="spellStart"/>
      <w:r w:rsidRPr="00D5159F">
        <w:rPr>
          <w:bCs/>
        </w:rPr>
        <w:t>McCulloch</w:t>
      </w:r>
      <w:proofErr w:type="spellEnd"/>
      <w:r w:rsidRPr="00D5159F">
        <w:rPr>
          <w:bCs/>
        </w:rPr>
        <w:t xml:space="preserve"> e </w:t>
      </w:r>
      <w:proofErr w:type="spellStart"/>
      <w:r w:rsidRPr="00D5159F">
        <w:rPr>
          <w:bCs/>
        </w:rPr>
        <w:t>Pitts</w:t>
      </w:r>
      <w:proofErr w:type="spellEnd"/>
      <w:r w:rsidRPr="00D5159F">
        <w:rPr>
          <w:bCs/>
        </w:rPr>
        <w:t xml:space="preserve"> estabeleceram os alicerces das redes neurais artificiais ao sugerir que o cérebro poderia ser entendido como um sistema computacional. Por fim, em 1950, Alan Turing publicou o célebre artigo </w:t>
      </w:r>
      <w:proofErr w:type="spellStart"/>
      <w:r w:rsidRPr="00D5159F">
        <w:rPr>
          <w:bCs/>
          <w:i/>
          <w:iCs/>
        </w:rPr>
        <w:t>Computing</w:t>
      </w:r>
      <w:proofErr w:type="spellEnd"/>
      <w:r w:rsidRPr="00D5159F">
        <w:rPr>
          <w:bCs/>
          <w:i/>
          <w:iCs/>
        </w:rPr>
        <w:t xml:space="preserve"> Machinery </w:t>
      </w:r>
      <w:proofErr w:type="spellStart"/>
      <w:r w:rsidRPr="00D5159F">
        <w:rPr>
          <w:bCs/>
          <w:i/>
          <w:iCs/>
        </w:rPr>
        <w:t>and</w:t>
      </w:r>
      <w:proofErr w:type="spellEnd"/>
      <w:r w:rsidRPr="00D5159F">
        <w:rPr>
          <w:bCs/>
          <w:i/>
          <w:iCs/>
        </w:rPr>
        <w:t xml:space="preserve"> </w:t>
      </w:r>
      <w:proofErr w:type="spellStart"/>
      <w:r w:rsidRPr="00D5159F">
        <w:rPr>
          <w:bCs/>
          <w:i/>
          <w:iCs/>
        </w:rPr>
        <w:t>Intelligence</w:t>
      </w:r>
      <w:proofErr w:type="spellEnd"/>
      <w:r w:rsidRPr="00D5159F">
        <w:rPr>
          <w:bCs/>
        </w:rPr>
        <w:t>, no qual apresentou o “jogo da imitação”</w:t>
      </w:r>
      <w:r>
        <w:rPr>
          <w:bCs/>
        </w:rPr>
        <w:t xml:space="preserve">, ou </w:t>
      </w:r>
      <w:r w:rsidRPr="00D5159F">
        <w:rPr>
          <w:bCs/>
        </w:rPr>
        <w:t>Teste de Turing, um conceito essencial para aferir a inteligência das máquinas a partir de sua habilidade de simular o comportamento humano.</w:t>
      </w:r>
    </w:p>
    <w:p w14:paraId="2714FE09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>
        <w:rPr>
          <w:bCs/>
        </w:rPr>
        <w:t>Na segunda metade do século XX (1950-2025), destacam-se, e</w:t>
      </w:r>
      <w:r w:rsidRPr="005852E5">
        <w:rPr>
          <w:bCs/>
        </w:rPr>
        <w:t xml:space="preserve">ntre os marcos do avanço da inteligência artificial, a criação da primeira rede neural artificial, o SNARC (1951), projetado por Marvin </w:t>
      </w:r>
      <w:proofErr w:type="spellStart"/>
      <w:r w:rsidRPr="005852E5">
        <w:rPr>
          <w:bCs/>
        </w:rPr>
        <w:t>Minsky</w:t>
      </w:r>
      <w:proofErr w:type="spellEnd"/>
      <w:r w:rsidRPr="005852E5">
        <w:rPr>
          <w:bCs/>
        </w:rPr>
        <w:t xml:space="preserve"> e Dean </w:t>
      </w:r>
      <w:proofErr w:type="spellStart"/>
      <w:r w:rsidRPr="005852E5">
        <w:rPr>
          <w:bCs/>
        </w:rPr>
        <w:t>Edmunds</w:t>
      </w:r>
      <w:proofErr w:type="spellEnd"/>
      <w:r w:rsidRPr="005852E5">
        <w:rPr>
          <w:bCs/>
        </w:rPr>
        <w:t xml:space="preserve"> para simular o aprendizado por reforço; o desenvolvimento dos primeiros programas de resolução de problemas por Newell e Simon (1952); e o surgimento do termo “inteligência artificial” na proposta do workshop de </w:t>
      </w:r>
      <w:proofErr w:type="spellStart"/>
      <w:r w:rsidRPr="005852E5">
        <w:rPr>
          <w:bCs/>
        </w:rPr>
        <w:t>Dartmouth</w:t>
      </w:r>
      <w:proofErr w:type="spellEnd"/>
      <w:r w:rsidRPr="005852E5">
        <w:rPr>
          <w:bCs/>
        </w:rPr>
        <w:t xml:space="preserve"> (1955), marco fundador do campo.</w:t>
      </w:r>
      <w:r>
        <w:rPr>
          <w:bCs/>
        </w:rPr>
        <w:t xml:space="preserve"> </w:t>
      </w:r>
    </w:p>
    <w:p w14:paraId="6B6273A4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5852E5">
        <w:rPr>
          <w:bCs/>
        </w:rPr>
        <w:t xml:space="preserve">Nos anos seguintes, surgiram o </w:t>
      </w:r>
      <w:proofErr w:type="spellStart"/>
      <w:r w:rsidRPr="005852E5">
        <w:rPr>
          <w:bCs/>
        </w:rPr>
        <w:t>Perceptron</w:t>
      </w:r>
      <w:proofErr w:type="spellEnd"/>
      <w:r w:rsidRPr="005852E5">
        <w:rPr>
          <w:bCs/>
        </w:rPr>
        <w:t xml:space="preserve"> de Frank </w:t>
      </w:r>
      <w:proofErr w:type="spellStart"/>
      <w:r w:rsidRPr="005852E5">
        <w:rPr>
          <w:bCs/>
        </w:rPr>
        <w:t>Rosenblatt</w:t>
      </w:r>
      <w:proofErr w:type="spellEnd"/>
      <w:r w:rsidRPr="005852E5">
        <w:rPr>
          <w:bCs/>
        </w:rPr>
        <w:t xml:space="preserve"> (1957), o </w:t>
      </w:r>
      <w:proofErr w:type="spellStart"/>
      <w:r w:rsidRPr="005852E5">
        <w:rPr>
          <w:bCs/>
        </w:rPr>
        <w:t>Lisp</w:t>
      </w:r>
      <w:proofErr w:type="spellEnd"/>
      <w:r w:rsidRPr="005852E5">
        <w:rPr>
          <w:bCs/>
        </w:rPr>
        <w:t xml:space="preserve"> de John McCarthy (1958) e os primeiros conceitos de aprendizado de máquina, com Arthur Samuel (1959). Modelos como o ELIZA (1965) e o DENDRAL (1969) marcaram o início da IA aplicada ao diálogo e à ciência. </w:t>
      </w:r>
    </w:p>
    <w:p w14:paraId="3AFB394A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5852E5">
        <w:rPr>
          <w:bCs/>
        </w:rPr>
        <w:t xml:space="preserve">A década de 1980 trouxe avanços nas redes neurais, como a retropropagação e o </w:t>
      </w:r>
      <w:proofErr w:type="spellStart"/>
      <w:r w:rsidRPr="005852E5">
        <w:rPr>
          <w:bCs/>
          <w:i/>
          <w:iCs/>
        </w:rPr>
        <w:t>deep</w:t>
      </w:r>
      <w:proofErr w:type="spellEnd"/>
      <w:r w:rsidRPr="005852E5">
        <w:rPr>
          <w:bCs/>
          <w:i/>
          <w:iCs/>
        </w:rPr>
        <w:t xml:space="preserve"> learning</w:t>
      </w:r>
      <w:r w:rsidRPr="005852E5">
        <w:rPr>
          <w:bCs/>
        </w:rPr>
        <w:t xml:space="preserve">, enquanto os anos 1990 e 2000 consolidaram aplicações práticas, como o </w:t>
      </w:r>
      <w:proofErr w:type="spellStart"/>
      <w:r w:rsidRPr="005852E5">
        <w:rPr>
          <w:bCs/>
          <w:i/>
          <w:iCs/>
        </w:rPr>
        <w:t>Deep</w:t>
      </w:r>
      <w:proofErr w:type="spellEnd"/>
      <w:r w:rsidRPr="005852E5">
        <w:rPr>
          <w:bCs/>
          <w:i/>
          <w:iCs/>
        </w:rPr>
        <w:t xml:space="preserve"> Blue</w:t>
      </w:r>
      <w:r w:rsidRPr="005852E5">
        <w:rPr>
          <w:bCs/>
        </w:rPr>
        <w:t xml:space="preserve"> (1997) e os assistentes virtuais. A partir de 2010, o </w:t>
      </w:r>
      <w:proofErr w:type="spellStart"/>
      <w:r w:rsidRPr="005852E5">
        <w:rPr>
          <w:bCs/>
          <w:i/>
          <w:iCs/>
        </w:rPr>
        <w:t>deep</w:t>
      </w:r>
      <w:proofErr w:type="spellEnd"/>
      <w:r w:rsidRPr="005852E5">
        <w:rPr>
          <w:bCs/>
          <w:i/>
          <w:iCs/>
        </w:rPr>
        <w:t xml:space="preserve"> learning</w:t>
      </w:r>
      <w:r w:rsidRPr="005852E5">
        <w:rPr>
          <w:bCs/>
        </w:rPr>
        <w:t xml:space="preserve">, a IA generativa e os grandes modelos de linguagem, como GPT-3 e </w:t>
      </w:r>
      <w:proofErr w:type="spellStart"/>
      <w:r w:rsidRPr="005852E5">
        <w:rPr>
          <w:bCs/>
          <w:i/>
          <w:iCs/>
        </w:rPr>
        <w:t>AlphaFold</w:t>
      </w:r>
      <w:proofErr w:type="spellEnd"/>
      <w:r w:rsidRPr="005852E5">
        <w:rPr>
          <w:bCs/>
        </w:rPr>
        <w:t>, transformaram a área, culminando nas inovações mais recentes em multimodalidade e IA generativa, como o</w:t>
      </w:r>
      <w:r>
        <w:rPr>
          <w:bCs/>
        </w:rPr>
        <w:t xml:space="preserve"> </w:t>
      </w:r>
      <w:r w:rsidRPr="00C42046">
        <w:rPr>
          <w:bCs/>
          <w:i/>
          <w:iCs/>
        </w:rPr>
        <w:t>ChatGPT</w:t>
      </w:r>
      <w:r>
        <w:rPr>
          <w:bCs/>
        </w:rPr>
        <w:t>,</w:t>
      </w:r>
      <w:r w:rsidRPr="005852E5">
        <w:rPr>
          <w:bCs/>
        </w:rPr>
        <w:t xml:space="preserve"> </w:t>
      </w:r>
      <w:r w:rsidRPr="00C42046">
        <w:rPr>
          <w:bCs/>
          <w:i/>
          <w:iCs/>
        </w:rPr>
        <w:t>DALL-E</w:t>
      </w:r>
      <w:r w:rsidRPr="005852E5">
        <w:rPr>
          <w:bCs/>
        </w:rPr>
        <w:t>,</w:t>
      </w:r>
      <w:r>
        <w:rPr>
          <w:bCs/>
        </w:rPr>
        <w:t xml:space="preserve"> </w:t>
      </w:r>
      <w:proofErr w:type="spellStart"/>
      <w:r w:rsidRPr="00C42046">
        <w:rPr>
          <w:bCs/>
          <w:i/>
          <w:iCs/>
        </w:rPr>
        <w:t>Stable</w:t>
      </w:r>
      <w:proofErr w:type="spellEnd"/>
      <w:r w:rsidRPr="00C42046">
        <w:rPr>
          <w:bCs/>
          <w:i/>
          <w:iCs/>
        </w:rPr>
        <w:t xml:space="preserve"> </w:t>
      </w:r>
      <w:proofErr w:type="spellStart"/>
      <w:r w:rsidRPr="00C42046">
        <w:rPr>
          <w:bCs/>
          <w:i/>
          <w:iCs/>
        </w:rPr>
        <w:t>Diffusion</w:t>
      </w:r>
      <w:proofErr w:type="spellEnd"/>
      <w:r>
        <w:rPr>
          <w:bCs/>
        </w:rPr>
        <w:t xml:space="preserve">, </w:t>
      </w:r>
      <w:r w:rsidRPr="00C42046">
        <w:rPr>
          <w:bCs/>
          <w:i/>
          <w:iCs/>
        </w:rPr>
        <w:t>Sora</w:t>
      </w:r>
      <w:r>
        <w:rPr>
          <w:bCs/>
        </w:rPr>
        <w:t xml:space="preserve">, </w:t>
      </w:r>
      <w:proofErr w:type="spellStart"/>
      <w:r w:rsidRPr="00C42046">
        <w:rPr>
          <w:bCs/>
          <w:i/>
          <w:iCs/>
        </w:rPr>
        <w:t>MusicLM</w:t>
      </w:r>
      <w:proofErr w:type="spellEnd"/>
      <w:r w:rsidRPr="00C42046">
        <w:rPr>
          <w:bCs/>
        </w:rPr>
        <w:t xml:space="preserve"> </w:t>
      </w:r>
      <w:r w:rsidRPr="005852E5">
        <w:rPr>
          <w:bCs/>
        </w:rPr>
        <w:t xml:space="preserve">e </w:t>
      </w:r>
      <w:r w:rsidRPr="00C42046">
        <w:rPr>
          <w:bCs/>
          <w:i/>
          <w:iCs/>
        </w:rPr>
        <w:t>Gemini</w:t>
      </w:r>
      <w:r w:rsidRPr="005852E5">
        <w:rPr>
          <w:bCs/>
        </w:rPr>
        <w:t>.</w:t>
      </w:r>
    </w:p>
    <w:p w14:paraId="52D19623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081F35">
        <w:rPr>
          <w:bCs/>
        </w:rPr>
        <w:t xml:space="preserve">Essa síntese histórica do percurso da inteligência artificial evidencia que aquilo que, no passado, ocupava o campo da imaginação literária, das abstrações teóricas da ficção científica e das primeiras iniciativas experimentais consolidou-se, ao longo do último século, como elemento essencial da convivência social. </w:t>
      </w:r>
    </w:p>
    <w:p w14:paraId="4D7996C7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081F35">
        <w:rPr>
          <w:bCs/>
        </w:rPr>
        <w:t xml:space="preserve">O avanço das tecnologias, sobretudo a partir da segunda metade do século XX, fez da IA um elemento estratégico para o progresso econômico, científico e cultural, ao mesmo tempo em que provocou importantes discussões éticas, jurídicas e sociais. </w:t>
      </w:r>
    </w:p>
    <w:p w14:paraId="4C9A36DF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081F35">
        <w:rPr>
          <w:bCs/>
        </w:rPr>
        <w:lastRenderedPageBreak/>
        <w:t>Esse cenário explica a intensificação dos esforços em nível internacional</w:t>
      </w:r>
      <w:r>
        <w:rPr>
          <w:bCs/>
        </w:rPr>
        <w:t xml:space="preserve"> – </w:t>
      </w:r>
      <w:r w:rsidRPr="00081F35">
        <w:rPr>
          <w:bCs/>
        </w:rPr>
        <w:t>a exemplo da Convenção-Quadro do Conselho da Europa sobre Inteligência Artificial</w:t>
      </w:r>
      <w:r>
        <w:rPr>
          <w:bCs/>
        </w:rPr>
        <w:t xml:space="preserve"> –</w:t>
      </w:r>
      <w:r w:rsidRPr="00081F35">
        <w:rPr>
          <w:bCs/>
        </w:rPr>
        <w:t xml:space="preserve"> voltados ao estabelecimento de princípios e regras para garantir o uso ético e alinhado aos valores fundamentais da humanidade.</w:t>
      </w:r>
    </w:p>
    <w:p w14:paraId="5337D60A" w14:textId="701E1C60" w:rsidR="00886427" w:rsidRDefault="00E13C0C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E13C0C">
        <w:rPr>
          <w:bCs/>
        </w:rPr>
        <w:t>Nesse contexto, a propriedade intelectual emerge como um dos campos mais sensíveis à regulação da inteligência artificial, especialmente no que se refere à autoria de criações automatizadas, à proteção de algoritmos e à transferência de tecnologia. Como destacam Fernandes e Caldeira (2023), “os sistemas de IA pressionam o sistema de PI, no âmbito normativo e social, a discutir e refletir os impactos possíveis, como por exemplo nos direitos autorais, nas patentes e no segredo industrial” (p. 12). A Convenção-Quadro, ao estabelecer diretrizes para o uso responsável da IA, impõe reflexões sobre a titularidade de direitos, a proteção de ativos intangíveis e os mecanismos de incentivo à inovação, exigindo do ordenamento jurídico brasileiro uma abordagem sistêmica e adaptativa frente às transformações tecnológicas.</w:t>
      </w:r>
    </w:p>
    <w:p w14:paraId="23D7DF6F" w14:textId="77777777" w:rsidR="00E13C0C" w:rsidRDefault="00E13C0C" w:rsidP="00886427">
      <w:pPr>
        <w:tabs>
          <w:tab w:val="left" w:pos="851"/>
        </w:tabs>
        <w:spacing w:line="360" w:lineRule="auto"/>
        <w:ind w:firstLine="851"/>
        <w:rPr>
          <w:bCs/>
        </w:rPr>
      </w:pPr>
    </w:p>
    <w:p w14:paraId="201B0CFC" w14:textId="77777777" w:rsidR="00886427" w:rsidRPr="00490592" w:rsidRDefault="00886427" w:rsidP="00886427">
      <w:pPr>
        <w:pStyle w:val="PargrafodaLista"/>
        <w:numPr>
          <w:ilvl w:val="1"/>
          <w:numId w:val="3"/>
        </w:num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592">
        <w:rPr>
          <w:rFonts w:ascii="Times New Roman" w:hAnsi="Times New Roman" w:cs="Times New Roman"/>
          <w:b/>
          <w:sz w:val="24"/>
          <w:szCs w:val="24"/>
        </w:rPr>
        <w:t>Os Paradoxos da Inteligência Artificial: Entre o Progresso Social e os Riscos à Autonomia</w:t>
      </w:r>
      <w:r>
        <w:rPr>
          <w:rFonts w:ascii="Times New Roman" w:hAnsi="Times New Roman" w:cs="Times New Roman"/>
          <w:b/>
          <w:sz w:val="24"/>
          <w:szCs w:val="24"/>
        </w:rPr>
        <w:t xml:space="preserve"> Individual</w:t>
      </w:r>
      <w:r w:rsidRPr="00490592">
        <w:rPr>
          <w:rFonts w:ascii="Times New Roman" w:hAnsi="Times New Roman" w:cs="Times New Roman"/>
          <w:b/>
          <w:sz w:val="24"/>
          <w:szCs w:val="24"/>
        </w:rPr>
        <w:t xml:space="preserve"> e aos Direitos Fundamentais.</w:t>
      </w:r>
    </w:p>
    <w:p w14:paraId="48CDE0BC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081F35">
        <w:rPr>
          <w:bCs/>
        </w:rPr>
        <w:t>Diante do breve histórico mencionado, percebe-se com clareza que os avanços da ciência e da tecnologia, especialmente no campo da inteligência artificial, têm promovido transformações profundas na estrutura social, com impactos positivos sobre a prosperidade humana, o bem-estar coletivo e o desenvolvimento sustentável. Essas inovações também oferecem oportunidades inéditas para a proteção dos direitos humanos, o fortalecimento da democracia e a preservação do Estado de Direito.</w:t>
      </w:r>
    </w:p>
    <w:p w14:paraId="1D336730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29688A">
        <w:rPr>
          <w:bCs/>
        </w:rPr>
        <w:t>Por outro lado</w:t>
      </w:r>
      <w:r>
        <w:rPr>
          <w:bCs/>
        </w:rPr>
        <w:t xml:space="preserve">, </w:t>
      </w:r>
      <w:r w:rsidRPr="0029688A">
        <w:rPr>
          <w:bCs/>
        </w:rPr>
        <w:t>de forma</w:t>
      </w:r>
      <w:r>
        <w:rPr>
          <w:bCs/>
        </w:rPr>
        <w:t xml:space="preserve"> </w:t>
      </w:r>
      <w:r w:rsidRPr="0029688A">
        <w:rPr>
          <w:bCs/>
        </w:rPr>
        <w:t>paradoxal</w:t>
      </w:r>
      <w:r>
        <w:rPr>
          <w:bCs/>
        </w:rPr>
        <w:t xml:space="preserve">, </w:t>
      </w:r>
      <w:r w:rsidRPr="0029688A">
        <w:rPr>
          <w:bCs/>
        </w:rPr>
        <w:t xml:space="preserve">é inegável que certas atividades realizadas ao longo do ciclo de vida dos sistemas de inteligência artificial </w:t>
      </w:r>
      <w:r>
        <w:rPr>
          <w:bCs/>
        </w:rPr>
        <w:t xml:space="preserve">podem </w:t>
      </w:r>
      <w:r w:rsidRPr="0029688A">
        <w:rPr>
          <w:bCs/>
        </w:rPr>
        <w:t>comprometer a dignidade humana, a autonomia individual, a democracia e o Estado de Direito. Isso ocorre, por exemplo, quando são utilizados para promover discriminação em contextos digitais</w:t>
      </w:r>
      <w:r>
        <w:rPr>
          <w:bCs/>
        </w:rPr>
        <w:t>, especialmente</w:t>
      </w:r>
      <w:r w:rsidRPr="0029688A">
        <w:rPr>
          <w:bCs/>
        </w:rPr>
        <w:t xml:space="preserve"> contra minorias e indivíduos em situação de vulnerabilidade</w:t>
      </w:r>
      <w:r>
        <w:rPr>
          <w:bCs/>
        </w:rPr>
        <w:t>,</w:t>
      </w:r>
      <w:r w:rsidRPr="0029688A">
        <w:rPr>
          <w:bCs/>
        </w:rPr>
        <w:t xml:space="preserve"> ou para fins repressivos</w:t>
      </w:r>
      <w:r>
        <w:rPr>
          <w:bCs/>
        </w:rPr>
        <w:t xml:space="preserve">, </w:t>
      </w:r>
      <w:r w:rsidRPr="0029688A">
        <w:rPr>
          <w:bCs/>
        </w:rPr>
        <w:t>em violação ao direito internacional dos direitos humanos, inclusive mediante práticas arbitrárias ou ilegais de vigilância e censura.</w:t>
      </w:r>
    </w:p>
    <w:p w14:paraId="580A5C93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3D59D5">
        <w:rPr>
          <w:bCs/>
        </w:rPr>
        <w:t xml:space="preserve">Diante desse cenário de avanços e riscos, a Convenção-Quadro do Conselho da Europa </w:t>
      </w:r>
      <w:r>
        <w:rPr>
          <w:bCs/>
        </w:rPr>
        <w:t>apresenta-se</w:t>
      </w:r>
      <w:r w:rsidRPr="003D59D5">
        <w:rPr>
          <w:bCs/>
        </w:rPr>
        <w:t xml:space="preserve"> como uma iniciativa que reflete </w:t>
      </w:r>
      <w:r>
        <w:rPr>
          <w:bCs/>
        </w:rPr>
        <w:t>o</w:t>
      </w:r>
      <w:r w:rsidRPr="003D59D5">
        <w:rPr>
          <w:bCs/>
        </w:rPr>
        <w:t xml:space="preserve"> </w:t>
      </w:r>
      <w:r w:rsidRPr="004002CA">
        <w:rPr>
          <w:bCs/>
        </w:rPr>
        <w:t>consenso majoritário</w:t>
      </w:r>
      <w:r>
        <w:rPr>
          <w:bCs/>
        </w:rPr>
        <w:t xml:space="preserve"> compartilhado</w:t>
      </w:r>
      <w:r w:rsidRPr="003D59D5">
        <w:rPr>
          <w:bCs/>
        </w:rPr>
        <w:t xml:space="preserve"> </w:t>
      </w:r>
      <w:r>
        <w:rPr>
          <w:bCs/>
        </w:rPr>
        <w:lastRenderedPageBreak/>
        <w:t>sobre a importância de se</w:t>
      </w:r>
      <w:r w:rsidRPr="003D59D5">
        <w:rPr>
          <w:bCs/>
        </w:rPr>
        <w:t xml:space="preserve"> estabelecer um marco jurídico globalmente aplicável, </w:t>
      </w:r>
      <w:r>
        <w:rPr>
          <w:bCs/>
        </w:rPr>
        <w:t xml:space="preserve">destinado a definir </w:t>
      </w:r>
      <w:r w:rsidRPr="003D59D5">
        <w:rPr>
          <w:bCs/>
        </w:rPr>
        <w:t xml:space="preserve">princípios gerais e regras comuns para </w:t>
      </w:r>
      <w:r>
        <w:rPr>
          <w:bCs/>
        </w:rPr>
        <w:t>orientar</w:t>
      </w:r>
      <w:r w:rsidRPr="003D59D5">
        <w:rPr>
          <w:bCs/>
        </w:rPr>
        <w:t xml:space="preserve"> as atividades ao longo do ciclo de vida dos sistemas de inteligência artificial.</w:t>
      </w:r>
    </w:p>
    <w:p w14:paraId="208E5FD3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3D59D5">
        <w:rPr>
          <w:bCs/>
        </w:rPr>
        <w:t xml:space="preserve">Busca-se, com isso, preservar os valores compartilhados e promover os benefícios da </w:t>
      </w:r>
      <w:r>
        <w:rPr>
          <w:bCs/>
        </w:rPr>
        <w:t>IA</w:t>
      </w:r>
      <w:r w:rsidRPr="003D59D5">
        <w:rPr>
          <w:bCs/>
        </w:rPr>
        <w:t xml:space="preserve"> de modo compatível com a inovação responsável. Além disso, reconhece-se a importância de fomentar a alfabetização digital, o conhecimento e a confiança no projeto, desenvolvimento, uso e desativação desses sistemas, bem como a necessidade de complementar o instrumento com normas específicas destinadas a enfrentar desafios próprios da IA.</w:t>
      </w:r>
    </w:p>
    <w:p w14:paraId="291E6CC0" w14:textId="77777777" w:rsidR="00E13C0C" w:rsidRPr="00E13C0C" w:rsidRDefault="00E13C0C" w:rsidP="00E13C0C">
      <w:pPr>
        <w:tabs>
          <w:tab w:val="left" w:pos="851"/>
        </w:tabs>
        <w:spacing w:line="360" w:lineRule="auto"/>
        <w:ind w:firstLine="851"/>
        <w:rPr>
          <w:bCs/>
        </w:rPr>
      </w:pPr>
      <w:r w:rsidRPr="00E13C0C">
        <w:rPr>
          <w:bCs/>
        </w:rPr>
        <w:t xml:space="preserve">Diante do breve histórico mencionado, percebe-se com clareza que os avanços da ciência e da tecnologia, especialmente no campo da inteligência artificial, têm promovido transformações profundas na estrutura social, com impactos positivos sobre a prosperidade humana, o bem-estar coletivo e o desenvolvimento sustentável. Essas inovações também oferecem oportunidades inéditas para a proteção dos direitos humanos, o fortalecimento da democracia e a preservação do Estado de Direito. Como destaca </w:t>
      </w:r>
      <w:proofErr w:type="spellStart"/>
      <w:r w:rsidRPr="00E13C0C">
        <w:rPr>
          <w:bCs/>
        </w:rPr>
        <w:t>Vilalta</w:t>
      </w:r>
      <w:proofErr w:type="spellEnd"/>
      <w:r w:rsidRPr="00E13C0C">
        <w:rPr>
          <w:bCs/>
        </w:rPr>
        <w:t xml:space="preserve"> (2024), “a IA não é uma máquina separada da sociedade, é a própria sociedade sendo processada de modo </w:t>
      </w:r>
      <w:proofErr w:type="spellStart"/>
      <w:r w:rsidRPr="00E13C0C">
        <w:rPr>
          <w:bCs/>
        </w:rPr>
        <w:t>maquínico</w:t>
      </w:r>
      <w:proofErr w:type="spellEnd"/>
      <w:r w:rsidRPr="00E13C0C">
        <w:rPr>
          <w:bCs/>
        </w:rPr>
        <w:t xml:space="preserve"> pelas plataformas”. Essa perspectiva reforça a ideia de que os sistemas de IA não apenas refletem, mas também moldam estruturas políticas e sociais, exigindo abordagens regulatórias que considerem sua natureza sociotécnica.</w:t>
      </w:r>
    </w:p>
    <w:p w14:paraId="0F3EC3C4" w14:textId="5B56400D" w:rsidR="00E13C0C" w:rsidRPr="00E13C0C" w:rsidRDefault="00E13C0C" w:rsidP="00E13C0C">
      <w:pPr>
        <w:tabs>
          <w:tab w:val="left" w:pos="851"/>
        </w:tabs>
        <w:spacing w:line="360" w:lineRule="auto"/>
        <w:ind w:firstLine="851"/>
        <w:rPr>
          <w:bCs/>
        </w:rPr>
      </w:pPr>
      <w:r w:rsidRPr="00E13C0C">
        <w:rPr>
          <w:bCs/>
        </w:rPr>
        <w:t>Por outro lado, de forma paradoxal, é inegável que certas atividades realizadas ao longo do ciclo de vida dos sistemas de inteligência artificial podem comprometer a dignidade humana, a autonomia individual, a democracia e o Estado de Direito. Isso ocorre, por exemplo, quando são utilizados para promover discriminação em contextos digitais, especialmente contra minorias e indivíduos em situação de vulnerabilidade, ou para fins repressivos, em violação ao direito internacional dos direitos humanos. A própria Convenção-Quadro reconhece que “determinadas atividades realizadas ao longo do ciclo de vida dos sistemas de inteligência artificial podem pôr em causa a dignidade do ser humano e a autonomia individual, os direitos humanos, a democracia e o Estado de direito”. Essa preocupação é compartilhada por especialistas como Gilmar Mendes, que alerta para o risco de “violações de privacidade e uso indevido de informações sensíveis” em sistemas que dependem de grandes volumes de dados pessoais.</w:t>
      </w:r>
    </w:p>
    <w:p w14:paraId="35755BF2" w14:textId="77777777" w:rsidR="00E13C0C" w:rsidRDefault="00E13C0C" w:rsidP="00886427">
      <w:pPr>
        <w:tabs>
          <w:tab w:val="left" w:pos="851"/>
        </w:tabs>
        <w:spacing w:line="360" w:lineRule="auto"/>
        <w:ind w:firstLine="851"/>
        <w:rPr>
          <w:bCs/>
        </w:rPr>
      </w:pPr>
    </w:p>
    <w:p w14:paraId="10FEF520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</w:p>
    <w:p w14:paraId="74656A80" w14:textId="77777777" w:rsidR="00FD13D0" w:rsidRDefault="00FD13D0" w:rsidP="00886427">
      <w:pPr>
        <w:tabs>
          <w:tab w:val="left" w:pos="851"/>
        </w:tabs>
        <w:spacing w:line="360" w:lineRule="auto"/>
        <w:ind w:firstLine="851"/>
        <w:rPr>
          <w:bCs/>
        </w:rPr>
      </w:pPr>
    </w:p>
    <w:p w14:paraId="49211223" w14:textId="71B3AEC0" w:rsidR="00FD13D0" w:rsidRPr="00FD13D0" w:rsidRDefault="00FD13D0" w:rsidP="00886427">
      <w:pPr>
        <w:pStyle w:val="PargrafodaLista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Fundamentação Teórica </w:t>
      </w:r>
    </w:p>
    <w:p w14:paraId="6954E018" w14:textId="6DB92A85" w:rsidR="00886427" w:rsidRPr="00FD13D0" w:rsidRDefault="00FD13D0" w:rsidP="00FD13D0">
      <w:pPr>
        <w:pStyle w:val="PargrafodaLista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Análise da Convenção-Quadro do Conselho da Europa sobre IA</w:t>
      </w:r>
    </w:p>
    <w:p w14:paraId="7825F3D3" w14:textId="77777777" w:rsidR="00886427" w:rsidRPr="00280073" w:rsidRDefault="00886427" w:rsidP="00886427">
      <w:pPr>
        <w:pStyle w:val="PargrafodaLista"/>
        <w:numPr>
          <w:ilvl w:val="1"/>
          <w:numId w:val="3"/>
        </w:num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Conceitos Fundamentais, </w:t>
      </w:r>
      <w:r w:rsidRPr="00280073">
        <w:rPr>
          <w:rFonts w:ascii="Times New Roman" w:hAnsi="Times New Roman" w:cs="Times New Roman"/>
          <w:b/>
          <w:sz w:val="24"/>
          <w:szCs w:val="24"/>
        </w:rPr>
        <w:t xml:space="preserve">Objetivos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280073">
        <w:rPr>
          <w:rFonts w:ascii="Times New Roman" w:hAnsi="Times New Roman" w:cs="Times New Roman"/>
          <w:b/>
          <w:sz w:val="24"/>
          <w:szCs w:val="24"/>
        </w:rPr>
        <w:t xml:space="preserve">erais e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280073">
        <w:rPr>
          <w:rFonts w:ascii="Times New Roman" w:hAnsi="Times New Roman" w:cs="Times New Roman"/>
          <w:b/>
          <w:sz w:val="24"/>
          <w:szCs w:val="24"/>
        </w:rPr>
        <w:t xml:space="preserve">rincípios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280073">
        <w:rPr>
          <w:rFonts w:ascii="Times New Roman" w:hAnsi="Times New Roman" w:cs="Times New Roman"/>
          <w:b/>
          <w:sz w:val="24"/>
          <w:szCs w:val="24"/>
        </w:rPr>
        <w:t>orteadores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07D033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10169F">
        <w:rPr>
          <w:bCs/>
        </w:rPr>
        <w:t>As informações divulgadas pela própria Comissão</w:t>
      </w:r>
      <w:r>
        <w:rPr>
          <w:bCs/>
        </w:rPr>
        <w:t xml:space="preserve"> (2024)</w:t>
      </w:r>
      <w:r w:rsidRPr="0010169F">
        <w:rPr>
          <w:bCs/>
        </w:rPr>
        <w:t>, em seu site oficial, indicam que a União Europeia, por meio desse órgão e com o respaldo dos Estados-Membros, desempenhou papel relevante nas negociações da Convenção-Quadro do Conselho da Europa sobre Inteligência Artificial.</w:t>
      </w:r>
    </w:p>
    <w:p w14:paraId="3DCB19C2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920ED7">
        <w:rPr>
          <w:bCs/>
        </w:rPr>
        <w:t>O texto do tratado está alinhado ao Regulamento Europeu de Inteligência Artificial e ao conjunto norma</w:t>
      </w:r>
      <w:r>
        <w:rPr>
          <w:bCs/>
        </w:rPr>
        <w:t>tivo</w:t>
      </w:r>
      <w:r w:rsidRPr="00920ED7">
        <w:rPr>
          <w:bCs/>
        </w:rPr>
        <w:t xml:space="preserve"> da União Europeia, refletindo conceitos fundamentais já consolidados na legislação comunitária</w:t>
      </w:r>
      <w:r>
        <w:rPr>
          <w:bCs/>
        </w:rPr>
        <w:t>. Destacam-se,</w:t>
      </w:r>
      <w:r w:rsidRPr="00920ED7">
        <w:rPr>
          <w:bCs/>
        </w:rPr>
        <w:t xml:space="preserve"> </w:t>
      </w:r>
      <w:r>
        <w:rPr>
          <w:bCs/>
        </w:rPr>
        <w:t>e</w:t>
      </w:r>
      <w:r w:rsidRPr="00920ED7">
        <w:rPr>
          <w:bCs/>
        </w:rPr>
        <w:t xml:space="preserve">ntre </w:t>
      </w:r>
      <w:r>
        <w:rPr>
          <w:bCs/>
        </w:rPr>
        <w:t xml:space="preserve">eles, </w:t>
      </w:r>
      <w:r w:rsidRPr="00920ED7">
        <w:rPr>
          <w:bCs/>
        </w:rPr>
        <w:t>a centralidade d</w:t>
      </w:r>
      <w:r>
        <w:rPr>
          <w:bCs/>
        </w:rPr>
        <w:t>o</w:t>
      </w:r>
      <w:r w:rsidRPr="00920ED7">
        <w:rPr>
          <w:bCs/>
        </w:rPr>
        <w:t xml:space="preserve"> ser humano</w:t>
      </w:r>
      <w:r>
        <w:rPr>
          <w:bCs/>
        </w:rPr>
        <w:t xml:space="preserve"> na IA</w:t>
      </w:r>
      <w:r w:rsidRPr="00920ED7">
        <w:rPr>
          <w:bCs/>
        </w:rPr>
        <w:t>, em harmonia com os direitos humanos, a democracia e o Estado de Direito;</w:t>
      </w:r>
      <w:r>
        <w:rPr>
          <w:bCs/>
        </w:rPr>
        <w:t xml:space="preserve"> </w:t>
      </w:r>
      <w:r w:rsidRPr="00920ED7">
        <w:rPr>
          <w:bCs/>
        </w:rPr>
        <w:t xml:space="preserve">a adoção de uma abordagem regulatória baseada no risco; </w:t>
      </w:r>
      <w:r w:rsidRPr="00C60822">
        <w:rPr>
          <w:bCs/>
        </w:rPr>
        <w:t>e a afirmação de princípios essenciais para uma IA confiável, como transparência, robustez, segurança, governança e proteção de dados.</w:t>
      </w:r>
      <w:r>
        <w:rPr>
          <w:bCs/>
        </w:rPr>
        <w:t xml:space="preserve"> </w:t>
      </w:r>
    </w:p>
    <w:p w14:paraId="33A7EA2A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C60822">
        <w:rPr>
          <w:bCs/>
        </w:rPr>
        <w:t>A Convenção também prevê regras voltadas à transparência dos conteúdos e interações gerados por sistemas de IA, ao reforço da documentação, da responsabilização e das garantias de acesso a recursos, além de promover ambientes regulatórios de teste destinados a apoiar a inovação segura.</w:t>
      </w:r>
    </w:p>
    <w:p w14:paraId="4BCF1A0F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920ED7">
        <w:rPr>
          <w:bCs/>
        </w:rPr>
        <w:t>Por fim, o instrumento estabelece obrigações quanto à gestão de riscos, à documentação e à instituição de mecanismos de supervisão das atividades envolvendo inteligência artificial.</w:t>
      </w:r>
    </w:p>
    <w:p w14:paraId="63279241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>
        <w:rPr>
          <w:bCs/>
        </w:rPr>
        <w:t>O</w:t>
      </w:r>
      <w:r w:rsidRPr="00280073">
        <w:rPr>
          <w:bCs/>
        </w:rPr>
        <w:t xml:space="preserve">s objetivos </w:t>
      </w:r>
      <w:r>
        <w:rPr>
          <w:bCs/>
        </w:rPr>
        <w:t>d</w:t>
      </w:r>
      <w:r w:rsidRPr="00280073">
        <w:rPr>
          <w:bCs/>
        </w:rPr>
        <w:t>a Convenção</w:t>
      </w:r>
      <w:r>
        <w:rPr>
          <w:bCs/>
        </w:rPr>
        <w:t xml:space="preserve">, previstos no artigo 1º, </w:t>
      </w:r>
      <w:r w:rsidRPr="00C60822">
        <w:rPr>
          <w:bCs/>
        </w:rPr>
        <w:t>consistem em assegurar que as atividades realizadas ao longo do ciclo de vida dos sistemas de inteligência artificial sejam plenamente compatíveis com os direitos humanos, os princípios democráticos e o Estado de Direito, conforme dispõe o § 1º.</w:t>
      </w:r>
    </w:p>
    <w:p w14:paraId="0022BB88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105C02">
        <w:rPr>
          <w:bCs/>
        </w:rPr>
        <w:t xml:space="preserve">Para viabilizar esse objetivo, o </w:t>
      </w:r>
      <w:r>
        <w:rPr>
          <w:bCs/>
        </w:rPr>
        <w:t>§</w:t>
      </w:r>
      <w:r w:rsidRPr="00105C02">
        <w:rPr>
          <w:bCs/>
        </w:rPr>
        <w:t xml:space="preserve"> 2º estabelece que cada Estado Parte deve adotar ou manter </w:t>
      </w:r>
      <w:r>
        <w:rPr>
          <w:bCs/>
        </w:rPr>
        <w:t xml:space="preserve">legislação, em sentido amplo, </w:t>
      </w:r>
      <w:r w:rsidRPr="00105C02">
        <w:rPr>
          <w:bCs/>
        </w:rPr>
        <w:t xml:space="preserve">que assegure a efetividade das normas previstas no tratado. </w:t>
      </w:r>
      <w:r w:rsidRPr="00C60822">
        <w:rPr>
          <w:bCs/>
        </w:rPr>
        <w:t>As medidas devem ser proporcionais e compatíveis com a gravidade e a probabilidade dos riscos que o uso da inteligência artificial pode representar aos direitos fundamentais e ao regime democrático, e podem incluir tanto medidas específicas quanto gerais, aplicáveis independentemente da tecnologia utilizada.</w:t>
      </w:r>
    </w:p>
    <w:p w14:paraId="4F8103CE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>
        <w:rPr>
          <w:bCs/>
        </w:rPr>
        <w:t>V</w:t>
      </w:r>
      <w:r w:rsidRPr="00280073">
        <w:rPr>
          <w:bCs/>
        </w:rPr>
        <w:t>isando garantir a aplicação efetiva de suas disposições</w:t>
      </w:r>
      <w:r>
        <w:rPr>
          <w:bCs/>
        </w:rPr>
        <w:t>, a</w:t>
      </w:r>
      <w:r w:rsidRPr="00280073">
        <w:rPr>
          <w:bCs/>
        </w:rPr>
        <w:t xml:space="preserve"> Convenção institui</w:t>
      </w:r>
      <w:r>
        <w:rPr>
          <w:bCs/>
        </w:rPr>
        <w:t>, no § 3º,</w:t>
      </w:r>
      <w:r w:rsidRPr="00280073">
        <w:rPr>
          <w:bCs/>
        </w:rPr>
        <w:t xml:space="preserve"> um mecanismo de acompanhamento e </w:t>
      </w:r>
      <w:r>
        <w:rPr>
          <w:bCs/>
        </w:rPr>
        <w:t>incentiva</w:t>
      </w:r>
      <w:r w:rsidRPr="00280073">
        <w:rPr>
          <w:bCs/>
        </w:rPr>
        <w:t xml:space="preserve"> a cooperação internacional</w:t>
      </w:r>
      <w:r>
        <w:rPr>
          <w:bCs/>
        </w:rPr>
        <w:t>.</w:t>
      </w:r>
    </w:p>
    <w:p w14:paraId="62A5D88F" w14:textId="457DF5CF" w:rsidR="008E6FC5" w:rsidRDefault="008E6FC5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8E6FC5">
        <w:rPr>
          <w:bCs/>
        </w:rPr>
        <w:lastRenderedPageBreak/>
        <w:t>A Convenção-Quadro do Conselho da Europa, embora centrada na proteção dos direitos humanos, democracia e Estado de Direito, também dialoga com preocupações emergentes sobre propriedade intelectual no contexto da inteligência artificial. O crescimento exponencial da IA generativa impôs a necessidade de regulamentar o uso de obras protegidas por direitos autorais em processos de treinamento e geração de conteúdo. Como observa Vasconcelos (2024), “não por acaso, o tema acabou inserido no capítulo dedicado às obrigações dos provedores de modelos de IA de propósito geral”, evidenciando o impacto direto sobre criadores e titulares de direitos autorais</w:t>
      </w:r>
    </w:p>
    <w:p w14:paraId="237BE6E8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</w:p>
    <w:p w14:paraId="635617D0" w14:textId="77777777" w:rsidR="00886427" w:rsidRPr="00957247" w:rsidRDefault="00886427" w:rsidP="00886427">
      <w:pPr>
        <w:pStyle w:val="PargrafodaLista"/>
        <w:numPr>
          <w:ilvl w:val="1"/>
          <w:numId w:val="3"/>
        </w:numPr>
        <w:tabs>
          <w:tab w:val="left" w:pos="851"/>
        </w:tabs>
        <w:spacing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Definição, a</w:t>
      </w:r>
      <w:r w:rsidRPr="00957247">
        <w:rPr>
          <w:rFonts w:ascii="Times New Roman" w:hAnsi="Times New Roman" w:cs="Times New Roman"/>
          <w:b/>
          <w:sz w:val="24"/>
          <w:szCs w:val="24"/>
        </w:rPr>
        <w:t>brangência e ciclo de vida da IA: do projeto à desativação.</w:t>
      </w:r>
    </w:p>
    <w:p w14:paraId="78DC75FA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>
        <w:rPr>
          <w:bCs/>
        </w:rPr>
        <w:t>Em seu artigo 2º, a Convenção define a</w:t>
      </w:r>
      <w:r w:rsidRPr="00020F76">
        <w:rPr>
          <w:bCs/>
        </w:rPr>
        <w:t xml:space="preserve"> inteligência artificial</w:t>
      </w:r>
      <w:r>
        <w:rPr>
          <w:bCs/>
        </w:rPr>
        <w:t xml:space="preserve"> como “</w:t>
      </w:r>
      <w:r w:rsidRPr="00020F76">
        <w:rPr>
          <w:bCs/>
        </w:rPr>
        <w:t>um sistema baseado em máquina que, com objetivos explícitos ou implícitos, infere, a partir dos dados que recebe como entrada, como gerar saídas, tais como previsões, conteúdos, recomendações ou decisões que possam influenciar ambientes físicos ou virtuais</w:t>
      </w:r>
      <w:r>
        <w:rPr>
          <w:bCs/>
        </w:rPr>
        <w:t>”. Destaca, ainda, que “d</w:t>
      </w:r>
      <w:r w:rsidRPr="00020F76">
        <w:rPr>
          <w:bCs/>
        </w:rPr>
        <w:t>iferentes sistemas de inteligência artificial variam em seus níveis de autonomia e capacidade de adaptação após a implementação</w:t>
      </w:r>
      <w:r>
        <w:rPr>
          <w:bCs/>
        </w:rPr>
        <w:t>”</w:t>
      </w:r>
      <w:r w:rsidRPr="00020F76">
        <w:rPr>
          <w:bCs/>
        </w:rPr>
        <w:t>.</w:t>
      </w:r>
    </w:p>
    <w:p w14:paraId="3CA6FBD8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963E0A">
        <w:rPr>
          <w:bCs/>
        </w:rPr>
        <w:t>A definição empregada pela Convenção</w:t>
      </w:r>
      <w:r>
        <w:rPr>
          <w:bCs/>
        </w:rPr>
        <w:t>-Quadro</w:t>
      </w:r>
      <w:r w:rsidRPr="00963E0A">
        <w:rPr>
          <w:bCs/>
        </w:rPr>
        <w:t xml:space="preserve"> é de suma importância nos estudos sobre o tema, pois </w:t>
      </w:r>
      <w:r>
        <w:rPr>
          <w:bCs/>
        </w:rPr>
        <w:t xml:space="preserve">deverá </w:t>
      </w:r>
      <w:r w:rsidRPr="00963E0A">
        <w:rPr>
          <w:bCs/>
        </w:rPr>
        <w:t xml:space="preserve">servir como referência no debate sobre o conceito jurídico de inteligência artificial no Brasil. </w:t>
      </w:r>
      <w:r w:rsidRPr="00AC120C">
        <w:rPr>
          <w:bCs/>
        </w:rPr>
        <w:t>Espera-se que influencie a elaboração de projetos de lei e normas complementares, além de servir como parâmetro para a harmonização da legislação brasileira com os padrões internacionais.</w:t>
      </w:r>
    </w:p>
    <w:p w14:paraId="6D186967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>
        <w:rPr>
          <w:bCs/>
        </w:rPr>
        <w:t>D</w:t>
      </w:r>
      <w:r w:rsidRPr="00282D43">
        <w:rPr>
          <w:bCs/>
        </w:rPr>
        <w:t>o ponto de vista jurídico, a definição adotada pela Convenção-Quadro é abrangente, contemplando um</w:t>
      </w:r>
      <w:r>
        <w:rPr>
          <w:bCs/>
        </w:rPr>
        <w:t xml:space="preserve"> amplo </w:t>
      </w:r>
      <w:r w:rsidRPr="00282D43">
        <w:rPr>
          <w:bCs/>
        </w:rPr>
        <w:t xml:space="preserve">espectro de tecnologias </w:t>
      </w:r>
      <w:r>
        <w:rPr>
          <w:bCs/>
        </w:rPr>
        <w:t>–</w:t>
      </w:r>
      <w:r w:rsidRPr="00282D43">
        <w:rPr>
          <w:bCs/>
        </w:rPr>
        <w:t xml:space="preserve"> desde modelos simples até</w:t>
      </w:r>
      <w:r>
        <w:rPr>
          <w:bCs/>
        </w:rPr>
        <w:t xml:space="preserve"> </w:t>
      </w:r>
      <w:r w:rsidRPr="00282D43">
        <w:rPr>
          <w:bCs/>
        </w:rPr>
        <w:t xml:space="preserve">sistemas de aprendizado profundo. Reconhece, </w:t>
      </w:r>
      <w:r>
        <w:rPr>
          <w:bCs/>
        </w:rPr>
        <w:t>também</w:t>
      </w:r>
      <w:r w:rsidRPr="00282D43">
        <w:rPr>
          <w:bCs/>
        </w:rPr>
        <w:t>, que um sistema de inteligência artificial pode gerar tanto resultados programados quanto</w:t>
      </w:r>
      <w:r>
        <w:rPr>
          <w:bCs/>
        </w:rPr>
        <w:t xml:space="preserve"> </w:t>
      </w:r>
      <w:r w:rsidRPr="00282D43">
        <w:rPr>
          <w:bCs/>
        </w:rPr>
        <w:t>baseados em padrões aprendidos ou inferências não diretamente previstas em sua programação inicial.</w:t>
      </w:r>
    </w:p>
    <w:p w14:paraId="5C908FC0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1F7455">
        <w:rPr>
          <w:bCs/>
        </w:rPr>
        <w:t>Ainda</w:t>
      </w:r>
      <w:r>
        <w:rPr>
          <w:bCs/>
        </w:rPr>
        <w:t xml:space="preserve"> quanto </w:t>
      </w:r>
      <w:r w:rsidRPr="001F7455">
        <w:rPr>
          <w:bCs/>
        </w:rPr>
        <w:t xml:space="preserve">à abrangência, a </w:t>
      </w:r>
      <w:r>
        <w:rPr>
          <w:bCs/>
        </w:rPr>
        <w:t>menção</w:t>
      </w:r>
      <w:r w:rsidRPr="001F7455">
        <w:rPr>
          <w:bCs/>
        </w:rPr>
        <w:t xml:space="preserve"> a saídas como previsões, conteúdos, recomendações ou decisões contempla as principais aplicações</w:t>
      </w:r>
      <w:r>
        <w:rPr>
          <w:bCs/>
        </w:rPr>
        <w:t xml:space="preserve"> atuais</w:t>
      </w:r>
      <w:r w:rsidRPr="001F7455">
        <w:rPr>
          <w:bCs/>
        </w:rPr>
        <w:t xml:space="preserve"> da inteligência artificial, como assistentes virtuais, sistemas de recomendação e decisões automatizadas. O destaque ao potencial de influenciar ambientes físicos </w:t>
      </w:r>
      <w:r>
        <w:rPr>
          <w:bCs/>
        </w:rPr>
        <w:t>e</w:t>
      </w:r>
      <w:r w:rsidRPr="001F7455">
        <w:rPr>
          <w:bCs/>
        </w:rPr>
        <w:t xml:space="preserve"> virtuais reforça o alcance da regulação, aplicável tanto a soluções do mundo digital, como os </w:t>
      </w:r>
      <w:proofErr w:type="spellStart"/>
      <w:r w:rsidRPr="001F7455">
        <w:rPr>
          <w:bCs/>
          <w:i/>
          <w:iCs/>
        </w:rPr>
        <w:t>chatbots</w:t>
      </w:r>
      <w:proofErr w:type="spellEnd"/>
      <w:r w:rsidRPr="001F7455">
        <w:rPr>
          <w:bCs/>
        </w:rPr>
        <w:t xml:space="preserve">, quanto a dispositivos físicos, </w:t>
      </w:r>
      <w:r>
        <w:rPr>
          <w:bCs/>
        </w:rPr>
        <w:t xml:space="preserve">como </w:t>
      </w:r>
      <w:r w:rsidRPr="001F7455">
        <w:rPr>
          <w:bCs/>
        </w:rPr>
        <w:t>os veículos autônomos.</w:t>
      </w:r>
    </w:p>
    <w:p w14:paraId="30E791FE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1F7455">
        <w:rPr>
          <w:bCs/>
        </w:rPr>
        <w:lastRenderedPageBreak/>
        <w:t>Por fim, o dispositivo admite que</w:t>
      </w:r>
      <w:r>
        <w:rPr>
          <w:bCs/>
        </w:rPr>
        <w:t xml:space="preserve"> </w:t>
      </w:r>
      <w:r w:rsidRPr="001F7455">
        <w:rPr>
          <w:bCs/>
        </w:rPr>
        <w:t>os sistemas de inteligência artificial</w:t>
      </w:r>
      <w:r>
        <w:rPr>
          <w:bCs/>
        </w:rPr>
        <w:t xml:space="preserve">, após implementação, </w:t>
      </w:r>
      <w:r w:rsidRPr="001F7455">
        <w:rPr>
          <w:bCs/>
        </w:rPr>
        <w:t xml:space="preserve">podem variar </w:t>
      </w:r>
      <w:r>
        <w:rPr>
          <w:bCs/>
        </w:rPr>
        <w:t xml:space="preserve">conforme o </w:t>
      </w:r>
      <w:r w:rsidRPr="001F7455">
        <w:rPr>
          <w:bCs/>
        </w:rPr>
        <w:t>nível de autonomia e capacidade de adaptação</w:t>
      </w:r>
      <w:r>
        <w:rPr>
          <w:bCs/>
        </w:rPr>
        <w:t xml:space="preserve">. Essa distinção é fundamental </w:t>
      </w:r>
      <w:r w:rsidRPr="001F7455">
        <w:rPr>
          <w:bCs/>
        </w:rPr>
        <w:t xml:space="preserve">para que as medidas regulatórias e de controle sejam </w:t>
      </w:r>
      <w:r>
        <w:rPr>
          <w:bCs/>
        </w:rPr>
        <w:t>dimensionadas</w:t>
      </w:r>
      <w:r w:rsidRPr="001F7455">
        <w:rPr>
          <w:bCs/>
        </w:rPr>
        <w:t xml:space="preserve"> </w:t>
      </w:r>
      <w:r>
        <w:rPr>
          <w:bCs/>
        </w:rPr>
        <w:t>proporcionalmente a</w:t>
      </w:r>
      <w:r w:rsidRPr="001F7455">
        <w:rPr>
          <w:bCs/>
        </w:rPr>
        <w:t xml:space="preserve">os riscos envolvidos, </w:t>
      </w:r>
      <w:r>
        <w:rPr>
          <w:bCs/>
        </w:rPr>
        <w:t xml:space="preserve">levando em conta </w:t>
      </w:r>
      <w:r w:rsidRPr="001F7455">
        <w:rPr>
          <w:bCs/>
        </w:rPr>
        <w:t>o grau de independência e o dinamismo dos sistemas ao longo do tempo.</w:t>
      </w:r>
    </w:p>
    <w:p w14:paraId="3ED87D90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>
        <w:rPr>
          <w:bCs/>
        </w:rPr>
        <w:t xml:space="preserve">No que se refere ao ciclo de vida de inteligência artificial, </w:t>
      </w:r>
      <w:r w:rsidRPr="009078A0">
        <w:rPr>
          <w:bCs/>
        </w:rPr>
        <w:t>a Convenção-Quadro</w:t>
      </w:r>
      <w:r>
        <w:rPr>
          <w:bCs/>
        </w:rPr>
        <w:t xml:space="preserve">, ainda que </w:t>
      </w:r>
      <w:r w:rsidRPr="009078A0">
        <w:rPr>
          <w:bCs/>
        </w:rPr>
        <w:t xml:space="preserve">não </w:t>
      </w:r>
      <w:r>
        <w:rPr>
          <w:bCs/>
        </w:rPr>
        <w:t>apresente</w:t>
      </w:r>
      <w:r w:rsidRPr="009078A0">
        <w:rPr>
          <w:bCs/>
        </w:rPr>
        <w:t xml:space="preserve"> uma definição formal e restrita</w:t>
      </w:r>
      <w:r>
        <w:rPr>
          <w:bCs/>
        </w:rPr>
        <w:t xml:space="preserve">, </w:t>
      </w:r>
      <w:r w:rsidRPr="009078A0">
        <w:rPr>
          <w:bCs/>
        </w:rPr>
        <w:t>emprega</w:t>
      </w:r>
      <w:r>
        <w:rPr>
          <w:bCs/>
        </w:rPr>
        <w:t xml:space="preserve"> o termo em diversas passagens e com</w:t>
      </w:r>
      <w:r w:rsidRPr="009078A0">
        <w:rPr>
          <w:bCs/>
        </w:rPr>
        <w:t xml:space="preserve"> sentido a</w:t>
      </w:r>
      <w:r>
        <w:rPr>
          <w:bCs/>
        </w:rPr>
        <w:t>mplo. Esse conceito abrange</w:t>
      </w:r>
      <w:r w:rsidRPr="009078A0">
        <w:rPr>
          <w:bCs/>
        </w:rPr>
        <w:t xml:space="preserve"> todas as fases </w:t>
      </w:r>
      <w:r>
        <w:rPr>
          <w:bCs/>
        </w:rPr>
        <w:t>relacionadas</w:t>
      </w:r>
      <w:r w:rsidRPr="009078A0">
        <w:rPr>
          <w:bCs/>
        </w:rPr>
        <w:t xml:space="preserve"> ao projeto</w:t>
      </w:r>
      <w:r>
        <w:rPr>
          <w:bCs/>
        </w:rPr>
        <w:t xml:space="preserve">, </w:t>
      </w:r>
      <w:r w:rsidRPr="007A3ABF">
        <w:rPr>
          <w:bCs/>
        </w:rPr>
        <w:t>desde a concepção inicial</w:t>
      </w:r>
      <w:r>
        <w:rPr>
          <w:bCs/>
        </w:rPr>
        <w:t xml:space="preserve"> </w:t>
      </w:r>
      <w:r w:rsidRPr="007A3ABF">
        <w:rPr>
          <w:bCs/>
        </w:rPr>
        <w:t xml:space="preserve">até o </w:t>
      </w:r>
      <w:r>
        <w:rPr>
          <w:bCs/>
        </w:rPr>
        <w:t>encerramento</w:t>
      </w:r>
      <w:r w:rsidRPr="007A3ABF">
        <w:rPr>
          <w:bCs/>
        </w:rPr>
        <w:t xml:space="preserve"> d</w:t>
      </w:r>
      <w:r>
        <w:rPr>
          <w:bCs/>
        </w:rPr>
        <w:t>as operações</w:t>
      </w:r>
      <w:r w:rsidRPr="007A3ABF">
        <w:rPr>
          <w:bCs/>
        </w:rPr>
        <w:t>, incluindo</w:t>
      </w:r>
      <w:r>
        <w:rPr>
          <w:bCs/>
        </w:rPr>
        <w:t xml:space="preserve"> eventuais</w:t>
      </w:r>
      <w:r w:rsidRPr="007A3ABF">
        <w:rPr>
          <w:bCs/>
        </w:rPr>
        <w:t xml:space="preserve"> </w:t>
      </w:r>
      <w:r>
        <w:rPr>
          <w:bCs/>
        </w:rPr>
        <w:t xml:space="preserve">adaptações </w:t>
      </w:r>
      <w:r w:rsidRPr="007A3ABF">
        <w:rPr>
          <w:bCs/>
        </w:rPr>
        <w:t>ao longo d</w:t>
      </w:r>
      <w:r>
        <w:rPr>
          <w:bCs/>
        </w:rPr>
        <w:t>a</w:t>
      </w:r>
      <w:r w:rsidRPr="007A3ABF">
        <w:rPr>
          <w:bCs/>
        </w:rPr>
        <w:t xml:space="preserve"> sua existência.</w:t>
      </w:r>
    </w:p>
    <w:p w14:paraId="1255D14F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E14ED0">
        <w:rPr>
          <w:bCs/>
        </w:rPr>
        <w:t>A adoção de uma concepção funcional do ciclo de vida dos sistemas de inteligência artificial é intencional e visa garantir que a regulação se aplique a todas as etapas em que as tecnologias po</w:t>
      </w:r>
      <w:r>
        <w:rPr>
          <w:bCs/>
        </w:rPr>
        <w:t>ssam</w:t>
      </w:r>
      <w:r w:rsidRPr="00E14ED0">
        <w:rPr>
          <w:bCs/>
        </w:rPr>
        <w:t xml:space="preserve"> gerar impactos sobre os direitos humanos, a democracia e o Estado de Direito. Cabe aos Estados-Partes detalhar e concretizar esse conceito em suas normas internas e práticas regulatórias.</w:t>
      </w:r>
    </w:p>
    <w:p w14:paraId="18731484" w14:textId="76FD8C2A" w:rsidR="00DB0C19" w:rsidRDefault="00DB0C19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DB0C19">
        <w:rPr>
          <w:bCs/>
        </w:rPr>
        <w:t xml:space="preserve">A definição ampla de inteligência artificial adotada pela Convenção-Quadro, ao incluir saídas como “conteúdos” e “recomendações”, conecta-se diretamente aos debates sobre propriedade intelectual, especialmente no contexto da IA generativa. Ao longo do ciclo de vida desses sistemas — do projeto à desativação — torna-se essencial garantir que os dados utilizados no treinamento respeitem os direitos autorais e que os conteúdos gerados não violem obras protegidas. Como destaca </w:t>
      </w:r>
      <w:proofErr w:type="spellStart"/>
      <w:r w:rsidRPr="00DB0C19">
        <w:rPr>
          <w:bCs/>
        </w:rPr>
        <w:t>Guadamuz</w:t>
      </w:r>
      <w:proofErr w:type="spellEnd"/>
      <w:r w:rsidRPr="00DB0C19">
        <w:rPr>
          <w:bCs/>
        </w:rPr>
        <w:t xml:space="preserve"> (2025), “a legislação europeia passou a exigir transparência sobre os dados utilizados e conformidade com as normas de copyright, especialmente para modelos de IA de propósito geral</w:t>
      </w:r>
    </w:p>
    <w:p w14:paraId="014B8EEE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</w:p>
    <w:p w14:paraId="4AB70206" w14:textId="77777777" w:rsidR="00886427" w:rsidRPr="000D16FF" w:rsidRDefault="00886427" w:rsidP="00886427">
      <w:pPr>
        <w:pStyle w:val="PargrafodaLista"/>
        <w:numPr>
          <w:ilvl w:val="1"/>
          <w:numId w:val="3"/>
        </w:numPr>
        <w:tabs>
          <w:tab w:val="left" w:pos="851"/>
        </w:tabs>
        <w:spacing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6FF">
        <w:rPr>
          <w:rFonts w:ascii="Times New Roman" w:hAnsi="Times New Roman" w:cs="Times New Roman"/>
          <w:b/>
          <w:sz w:val="24"/>
          <w:szCs w:val="24"/>
        </w:rPr>
        <w:t xml:space="preserve">Âmbito de aplicação da </w:t>
      </w:r>
      <w:r w:rsidRPr="003D59D5">
        <w:rPr>
          <w:rFonts w:ascii="Times New Roman" w:hAnsi="Times New Roman" w:cs="Times New Roman"/>
          <w:b/>
          <w:sz w:val="24"/>
          <w:szCs w:val="24"/>
        </w:rPr>
        <w:t>Convenção-Quadro do Conselho da Europa</w:t>
      </w:r>
      <w:r>
        <w:rPr>
          <w:rFonts w:ascii="Times New Roman" w:hAnsi="Times New Roman" w:cs="Times New Roman"/>
          <w:b/>
          <w:sz w:val="24"/>
          <w:szCs w:val="24"/>
        </w:rPr>
        <w:t xml:space="preserve"> e possibilidade de complementação por instrumentos adicionais</w:t>
      </w:r>
      <w:r w:rsidRPr="000D16FF">
        <w:rPr>
          <w:rFonts w:ascii="Times New Roman" w:hAnsi="Times New Roman" w:cs="Times New Roman"/>
          <w:b/>
          <w:sz w:val="24"/>
          <w:szCs w:val="24"/>
        </w:rPr>
        <w:t>.</w:t>
      </w:r>
    </w:p>
    <w:p w14:paraId="69D5778C" w14:textId="77777777" w:rsidR="00886427" w:rsidRDefault="00886427" w:rsidP="00886427">
      <w:pPr>
        <w:tabs>
          <w:tab w:val="left" w:pos="851"/>
        </w:tabs>
        <w:spacing w:line="360" w:lineRule="auto"/>
        <w:ind w:firstLine="709"/>
        <w:rPr>
          <w:bCs/>
        </w:rPr>
      </w:pPr>
      <w:r>
        <w:rPr>
          <w:bCs/>
        </w:rPr>
        <w:tab/>
      </w:r>
      <w:r w:rsidRPr="007E6173">
        <w:rPr>
          <w:bCs/>
        </w:rPr>
        <w:t>O âmbito de aplicação da Convenção-Quadro</w:t>
      </w:r>
      <w:r>
        <w:rPr>
          <w:bCs/>
        </w:rPr>
        <w:t xml:space="preserve"> encontra-se </w:t>
      </w:r>
      <w:r w:rsidRPr="007E6173">
        <w:rPr>
          <w:bCs/>
        </w:rPr>
        <w:t>previsto no artigo 3º</w:t>
      </w:r>
      <w:r>
        <w:rPr>
          <w:bCs/>
        </w:rPr>
        <w:t>, que se desdobra em parágrafos e alíneas.</w:t>
      </w:r>
      <w:r w:rsidRPr="007E6173">
        <w:rPr>
          <w:bCs/>
        </w:rPr>
        <w:t xml:space="preserve"> </w:t>
      </w:r>
    </w:p>
    <w:p w14:paraId="3D581338" w14:textId="77777777" w:rsidR="00886427" w:rsidRDefault="00886427" w:rsidP="00886427">
      <w:pPr>
        <w:tabs>
          <w:tab w:val="left" w:pos="851"/>
        </w:tabs>
        <w:spacing w:line="360" w:lineRule="auto"/>
        <w:ind w:firstLine="709"/>
        <w:rPr>
          <w:bCs/>
        </w:rPr>
      </w:pPr>
      <w:r>
        <w:rPr>
          <w:bCs/>
        </w:rPr>
        <w:tab/>
        <w:t xml:space="preserve">No parágrafo 1º, há um reforço ao </w:t>
      </w:r>
      <w:r w:rsidRPr="007E6173">
        <w:rPr>
          <w:bCs/>
        </w:rPr>
        <w:t>caráter ético e jurídico</w:t>
      </w:r>
      <w:r>
        <w:rPr>
          <w:bCs/>
        </w:rPr>
        <w:t xml:space="preserve"> do tratado, com o que se busca </w:t>
      </w:r>
      <w:r w:rsidRPr="007E6173">
        <w:rPr>
          <w:bCs/>
        </w:rPr>
        <w:t>evitar que a regulação se dirija a aplicações puramente técnicas ou neutras da inteligência artificial.</w:t>
      </w:r>
      <w:r>
        <w:rPr>
          <w:bCs/>
        </w:rPr>
        <w:t xml:space="preserve"> </w:t>
      </w:r>
      <w:r w:rsidRPr="007E6173">
        <w:rPr>
          <w:bCs/>
        </w:rPr>
        <w:t xml:space="preserve">Ou seja, àquelas em que a IA atua apenas como instrumento de suporte técnico, sem </w:t>
      </w:r>
      <w:r w:rsidRPr="007E6173">
        <w:rPr>
          <w:bCs/>
        </w:rPr>
        <w:lastRenderedPageBreak/>
        <w:t>exercer influência direta sobre relações sociais, processos decisórios administrativos ou situações jurídicas de pessoas.</w:t>
      </w:r>
    </w:p>
    <w:p w14:paraId="76E6319E" w14:textId="77777777" w:rsidR="00886427" w:rsidRDefault="00886427" w:rsidP="00886427">
      <w:pPr>
        <w:tabs>
          <w:tab w:val="left" w:pos="851"/>
        </w:tabs>
        <w:spacing w:line="360" w:lineRule="auto"/>
        <w:ind w:firstLine="709"/>
      </w:pPr>
      <w:r>
        <w:rPr>
          <w:bCs/>
        </w:rPr>
        <w:t xml:space="preserve">Nas alíneas </w:t>
      </w:r>
      <w:r w:rsidRPr="007A4D65">
        <w:rPr>
          <w:bCs/>
          <w:i/>
          <w:iCs/>
        </w:rPr>
        <w:t>a</w:t>
      </w:r>
      <w:r>
        <w:rPr>
          <w:bCs/>
        </w:rPr>
        <w:t xml:space="preserve"> e </w:t>
      </w:r>
      <w:r w:rsidRPr="007A4D65">
        <w:rPr>
          <w:bCs/>
          <w:i/>
          <w:iCs/>
        </w:rPr>
        <w:t>b</w:t>
      </w:r>
      <w:r>
        <w:rPr>
          <w:bCs/>
        </w:rPr>
        <w:t xml:space="preserve">, do parágrafo 1º, do art. 3º, a Convenção-Quadro </w:t>
      </w:r>
      <w:r w:rsidRPr="001A400F">
        <w:t xml:space="preserve">faz </w:t>
      </w:r>
      <w:r>
        <w:t xml:space="preserve">clara </w:t>
      </w:r>
      <w:r w:rsidRPr="001A400F">
        <w:t>distinção entre as obrigações das Partes</w:t>
      </w:r>
      <w:r>
        <w:t xml:space="preserve"> sua natureza </w:t>
      </w:r>
      <w:r w:rsidRPr="001A400F">
        <w:t>públic</w:t>
      </w:r>
      <w:r>
        <w:t xml:space="preserve">a </w:t>
      </w:r>
      <w:r w:rsidRPr="001A400F">
        <w:t>ou privad</w:t>
      </w:r>
      <w:r>
        <w:t xml:space="preserve">a. Enquanto a </w:t>
      </w:r>
      <w:r w:rsidRPr="007A4D65">
        <w:t xml:space="preserve">alínea </w:t>
      </w:r>
      <w:r w:rsidRPr="007A4D65">
        <w:rPr>
          <w:i/>
          <w:iCs/>
        </w:rPr>
        <w:t>a</w:t>
      </w:r>
      <w:r w:rsidRPr="007A4D65">
        <w:t xml:space="preserve"> estabelece que a Convenção deve ser aplicada</w:t>
      </w:r>
      <w:r>
        <w:t xml:space="preserve">, de forma obrigatória e irrestrita, </w:t>
      </w:r>
      <w:r w:rsidRPr="007A4D65">
        <w:t>às atividades realizadas por autoridades públicas ou por atores privados que atuem em seu nome</w:t>
      </w:r>
      <w:r>
        <w:t xml:space="preserve">, a </w:t>
      </w:r>
      <w:r w:rsidRPr="007A4D65">
        <w:t xml:space="preserve">alínea </w:t>
      </w:r>
      <w:r w:rsidRPr="007A4D65">
        <w:rPr>
          <w:i/>
          <w:iCs/>
        </w:rPr>
        <w:t>b</w:t>
      </w:r>
      <w:r>
        <w:t xml:space="preserve">, mais flexível, </w:t>
      </w:r>
      <w:r w:rsidRPr="007A4D65">
        <w:t>trata das atividades realizadas por atores privados em geral e admite maior margem de escolha às Partes sobre como regular tais atividades.</w:t>
      </w:r>
    </w:p>
    <w:p w14:paraId="780A7846" w14:textId="77777777" w:rsidR="00886427" w:rsidRDefault="00886427" w:rsidP="00886427">
      <w:pPr>
        <w:tabs>
          <w:tab w:val="left" w:pos="851"/>
        </w:tabs>
        <w:spacing w:line="360" w:lineRule="auto"/>
        <w:ind w:firstLine="709"/>
        <w:rPr>
          <w:bCs/>
        </w:rPr>
      </w:pPr>
      <w:r>
        <w:rPr>
          <w:bCs/>
        </w:rPr>
        <w:t>Ainda, nos parágrafos 2º e 4º do artigo 3º, respectivamente, a</w:t>
      </w:r>
      <w:r w:rsidRPr="00D26B2C">
        <w:rPr>
          <w:bCs/>
        </w:rPr>
        <w:t xml:space="preserve"> Convenção-Quadro distingue</w:t>
      </w:r>
      <w:r>
        <w:rPr>
          <w:bCs/>
        </w:rPr>
        <w:t xml:space="preserve"> claramente </w:t>
      </w:r>
      <w:r w:rsidRPr="00D26B2C">
        <w:rPr>
          <w:bCs/>
        </w:rPr>
        <w:t xml:space="preserve">as atividades relacionadas à segurança nacional </w:t>
      </w:r>
      <w:r>
        <w:rPr>
          <w:bCs/>
        </w:rPr>
        <w:t>das de</w:t>
      </w:r>
      <w:r w:rsidRPr="00D26B2C">
        <w:rPr>
          <w:bCs/>
        </w:rPr>
        <w:t xml:space="preserve"> defesa nacional.</w:t>
      </w:r>
      <w:r>
        <w:rPr>
          <w:bCs/>
        </w:rPr>
        <w:t xml:space="preserve"> </w:t>
      </w:r>
      <w:r w:rsidRPr="00D26B2C">
        <w:rPr>
          <w:bCs/>
        </w:rPr>
        <w:t xml:space="preserve">As primeiras, conforme o parágrafo 2º, estão excluídas da </w:t>
      </w:r>
      <w:r>
        <w:rPr>
          <w:bCs/>
        </w:rPr>
        <w:t>incidência</w:t>
      </w:r>
      <w:r w:rsidRPr="00D26B2C">
        <w:rPr>
          <w:bCs/>
        </w:rPr>
        <w:t xml:space="preserve"> da Convenção, </w:t>
      </w:r>
      <w:r>
        <w:rPr>
          <w:bCs/>
        </w:rPr>
        <w:t xml:space="preserve">desde que respeitados o </w:t>
      </w:r>
      <w:r w:rsidRPr="00D26B2C">
        <w:rPr>
          <w:bCs/>
        </w:rPr>
        <w:t xml:space="preserve">direito internacional, inclusive o direito internacional dos direitos humanos, </w:t>
      </w:r>
      <w:r>
        <w:rPr>
          <w:bCs/>
        </w:rPr>
        <w:t>a</w:t>
      </w:r>
      <w:r w:rsidRPr="00D26B2C">
        <w:rPr>
          <w:bCs/>
        </w:rPr>
        <w:t>s instituições</w:t>
      </w:r>
      <w:r>
        <w:rPr>
          <w:bCs/>
        </w:rPr>
        <w:t xml:space="preserve"> públicas e os</w:t>
      </w:r>
      <w:r w:rsidRPr="00D26B2C">
        <w:rPr>
          <w:bCs/>
        </w:rPr>
        <w:t xml:space="preserve"> processos democráticos.</w:t>
      </w:r>
      <w:r>
        <w:rPr>
          <w:bCs/>
        </w:rPr>
        <w:t xml:space="preserve"> </w:t>
      </w:r>
      <w:r w:rsidRPr="00D26B2C">
        <w:rPr>
          <w:bCs/>
        </w:rPr>
        <w:t xml:space="preserve">Já as </w:t>
      </w:r>
      <w:r>
        <w:rPr>
          <w:bCs/>
        </w:rPr>
        <w:t>segundas</w:t>
      </w:r>
      <w:r w:rsidRPr="00D26B2C">
        <w:rPr>
          <w:bCs/>
        </w:rPr>
        <w:t xml:space="preserve">, </w:t>
      </w:r>
      <w:r>
        <w:rPr>
          <w:bCs/>
        </w:rPr>
        <w:t>referidas no</w:t>
      </w:r>
      <w:r w:rsidRPr="00D26B2C">
        <w:rPr>
          <w:bCs/>
        </w:rPr>
        <w:t xml:space="preserve"> </w:t>
      </w:r>
      <w:r>
        <w:rPr>
          <w:bCs/>
        </w:rPr>
        <w:t>§</w:t>
      </w:r>
      <w:r w:rsidRPr="00D26B2C">
        <w:rPr>
          <w:bCs/>
        </w:rPr>
        <w:t xml:space="preserve"> 4º, estão completamente fora do âmbito</w:t>
      </w:r>
      <w:r>
        <w:rPr>
          <w:bCs/>
        </w:rPr>
        <w:t xml:space="preserve"> de incidência </w:t>
      </w:r>
      <w:r w:rsidRPr="00D26B2C">
        <w:rPr>
          <w:bCs/>
        </w:rPr>
        <w:t>da Convenção, sem condicionamentos expressos no texto.</w:t>
      </w:r>
      <w:r>
        <w:rPr>
          <w:bCs/>
        </w:rPr>
        <w:t xml:space="preserve"> </w:t>
      </w:r>
      <w:r w:rsidRPr="00D26B2C">
        <w:rPr>
          <w:bCs/>
        </w:rPr>
        <w:t>Essa diferenciação revela a preocupação do tratado em compatibilizar a proteção dos direitos fundamentais com a preservação da soberania dos Estados em matérias sensíveis.</w:t>
      </w:r>
    </w:p>
    <w:p w14:paraId="44B51BA0" w14:textId="77777777" w:rsidR="00886427" w:rsidRDefault="00886427" w:rsidP="00886427">
      <w:pPr>
        <w:tabs>
          <w:tab w:val="left" w:pos="851"/>
        </w:tabs>
        <w:spacing w:line="360" w:lineRule="auto"/>
        <w:ind w:firstLine="709"/>
        <w:rPr>
          <w:bCs/>
        </w:rPr>
      </w:pPr>
      <w:r>
        <w:rPr>
          <w:bCs/>
        </w:rPr>
        <w:t>Por fim, a</w:t>
      </w:r>
      <w:r w:rsidRPr="00D26B2C">
        <w:rPr>
          <w:bCs/>
        </w:rPr>
        <w:t xml:space="preserve"> Convenção-Quadro</w:t>
      </w:r>
      <w:r>
        <w:rPr>
          <w:bCs/>
        </w:rPr>
        <w:t xml:space="preserve"> – s</w:t>
      </w:r>
      <w:r w:rsidRPr="00D26B2C">
        <w:rPr>
          <w:bCs/>
        </w:rPr>
        <w:t>em prejuízo do disposto no artigo 13</w:t>
      </w:r>
      <w:r>
        <w:rPr>
          <w:rStyle w:val="Refdenotaderodap"/>
          <w:bCs/>
        </w:rPr>
        <w:footnoteReference w:id="1"/>
      </w:r>
      <w:r w:rsidRPr="00D26B2C">
        <w:rPr>
          <w:bCs/>
        </w:rPr>
        <w:t xml:space="preserve"> e no parágrafo 2 do artigo 25</w:t>
      </w:r>
      <w:r>
        <w:rPr>
          <w:rStyle w:val="Refdenotaderodap"/>
          <w:bCs/>
        </w:rPr>
        <w:footnoteReference w:id="2"/>
      </w:r>
      <w:r>
        <w:rPr>
          <w:bCs/>
        </w:rPr>
        <w:t xml:space="preserve"> –</w:t>
      </w:r>
      <w:r w:rsidRPr="00D26B2C">
        <w:rPr>
          <w:bCs/>
        </w:rPr>
        <w:t xml:space="preserve"> </w:t>
      </w:r>
      <w:r w:rsidRPr="005E2030">
        <w:rPr>
          <w:bCs/>
        </w:rPr>
        <w:t xml:space="preserve">também exclui de seu âmbito de aplicação as atividades de pesquisa e desenvolvimento relativas a sistemas de </w:t>
      </w:r>
      <w:r>
        <w:rPr>
          <w:bCs/>
        </w:rPr>
        <w:t>IA</w:t>
      </w:r>
      <w:r w:rsidRPr="005E2030">
        <w:rPr>
          <w:bCs/>
        </w:rPr>
        <w:t xml:space="preserve"> ainda não disponibilizados para uso. Essa exclusão, contudo, não se aplica quando testes ou atividades similares forem realizados de forma a apresentar potencial de impacto sobre os direitos humanos, a democracia ou o Estado de Direito.</w:t>
      </w:r>
    </w:p>
    <w:p w14:paraId="5A488318" w14:textId="74EE44CB" w:rsidR="00DB0C19" w:rsidRDefault="00DB0C19" w:rsidP="00886427">
      <w:pPr>
        <w:tabs>
          <w:tab w:val="left" w:pos="851"/>
        </w:tabs>
        <w:spacing w:line="360" w:lineRule="auto"/>
        <w:ind w:firstLine="709"/>
        <w:rPr>
          <w:bCs/>
        </w:rPr>
      </w:pPr>
      <w:r w:rsidRPr="00DB0C19">
        <w:rPr>
          <w:bCs/>
        </w:rPr>
        <w:t xml:space="preserve">Por outro lado, embora o artigo 3º da Convenção-Quadro exclua de seu âmbito de aplicação as atividades de pesquisa e desenvolvimento relativas a sistemas de IA ainda não disponibilizados para uso, essa exclusão não se aplica quando tais atividades apresentarem potencial de impacto sobre os direitos humanos, a democracia ou o Estado de Direito. Nesse contexto, a questão da propriedade intelectual torna-se especialmente relevante, sobretudo no uso de obras protegidas durante o treinamento de modelos de IA generativa. Segundo relatório </w:t>
      </w:r>
      <w:r w:rsidRPr="00DB0C19">
        <w:rPr>
          <w:bCs/>
        </w:rPr>
        <w:lastRenderedPageBreak/>
        <w:t xml:space="preserve">do Escritório de Propriedade Intelectual da União Europeia (EUIPO), “a </w:t>
      </w:r>
      <w:proofErr w:type="spellStart"/>
      <w:r w:rsidRPr="00DB0C19">
        <w:rPr>
          <w:bCs/>
        </w:rPr>
        <w:t>GenAI</w:t>
      </w:r>
      <w:proofErr w:type="spellEnd"/>
      <w:r w:rsidRPr="00DB0C19">
        <w:rPr>
          <w:bCs/>
        </w:rPr>
        <w:t xml:space="preserve"> coleta dados, muitos deles protegidos por direitos autorais, e os processa para gerar novos conteúdos, o que exige atenção regulatória desde a fase de desenvolvimento técnico”. Assim, mesmo em estágios </w:t>
      </w:r>
      <w:proofErr w:type="spellStart"/>
      <w:r w:rsidRPr="00DB0C19">
        <w:rPr>
          <w:bCs/>
        </w:rPr>
        <w:t>pré</w:t>
      </w:r>
      <w:proofErr w:type="spellEnd"/>
      <w:r w:rsidRPr="00DB0C19">
        <w:rPr>
          <w:bCs/>
        </w:rPr>
        <w:t>-comerciais, o uso de material autoral pode implicar riscos jurídicos, reforçando a necessidade de instrumentos complementares que assegurem conformidade com normas de copyright.</w:t>
      </w:r>
    </w:p>
    <w:p w14:paraId="72F1AF40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</w:p>
    <w:p w14:paraId="3CDD1A32" w14:textId="77777777" w:rsidR="00886427" w:rsidRPr="007B7F1C" w:rsidRDefault="00886427" w:rsidP="00886427">
      <w:pPr>
        <w:pStyle w:val="PargrafodaLista"/>
        <w:numPr>
          <w:ilvl w:val="2"/>
          <w:numId w:val="3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Regras gerais e p</w:t>
      </w:r>
      <w:r w:rsidRPr="007B7F1C">
        <w:rPr>
          <w:rFonts w:ascii="Times New Roman" w:hAnsi="Times New Roman" w:cs="Times New Roman"/>
          <w:b/>
          <w:sz w:val="24"/>
          <w:szCs w:val="24"/>
        </w:rPr>
        <w:t>ossibilidade de complementação por instrumentos adicionais.</w:t>
      </w:r>
    </w:p>
    <w:p w14:paraId="0942B208" w14:textId="77777777" w:rsidR="00886427" w:rsidRPr="001F7455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>
        <w:rPr>
          <w:bCs/>
        </w:rPr>
        <w:t>E</w:t>
      </w:r>
      <w:r w:rsidRPr="007B7F1C">
        <w:rPr>
          <w:bCs/>
        </w:rPr>
        <w:t xml:space="preserve">ntre os Capítulos II e VI, </w:t>
      </w:r>
      <w:r>
        <w:rPr>
          <w:bCs/>
        </w:rPr>
        <w:t>a</w:t>
      </w:r>
      <w:r w:rsidRPr="007B7F1C">
        <w:rPr>
          <w:bCs/>
        </w:rPr>
        <w:t xml:space="preserve"> Convenção-Quadro reúne</w:t>
      </w:r>
      <w:r>
        <w:rPr>
          <w:bCs/>
        </w:rPr>
        <w:t xml:space="preserve"> suas </w:t>
      </w:r>
      <w:r w:rsidRPr="007B7F1C">
        <w:rPr>
          <w:bCs/>
        </w:rPr>
        <w:t>normas gerais e princípios que disciplinam as atividades vinculadas ao ciclo de vida dos sistemas de inteligência artificial. Esses capítulos abordam as obrigações das Partes, os princípios orientadores, as medidas normativas e administrativas a serem adotadas, bem como os mecanismos de supervisão, responsabilização e cooperação internacional. Por sua natureza de instrumento jurídico de referência, a Convenção também prevê a possibilidade de ser complementada por instrumentos adicionais, voltados ao detalhamento de matérias ou setores específicos no campo da inteligência artificial.</w:t>
      </w:r>
    </w:p>
    <w:p w14:paraId="5EB4836B" w14:textId="77777777" w:rsidR="00886427" w:rsidRDefault="00886427" w:rsidP="00886427">
      <w:pPr>
        <w:tabs>
          <w:tab w:val="left" w:pos="851"/>
        </w:tabs>
        <w:spacing w:line="360" w:lineRule="auto"/>
        <w:ind w:firstLine="851"/>
        <w:rPr>
          <w:bCs/>
        </w:rPr>
      </w:pPr>
      <w:r w:rsidRPr="007B7F1C">
        <w:rPr>
          <w:bCs/>
        </w:rPr>
        <w:t>A Convenção-Quadro disciplina as atividades no ciclo de vida dos sistemas de inteligência artificial com base em princípios</w:t>
      </w:r>
      <w:r>
        <w:rPr>
          <w:bCs/>
        </w:rPr>
        <w:t xml:space="preserve"> e fundamentos, </w:t>
      </w:r>
      <w:r w:rsidRPr="007B7F1C">
        <w:rPr>
          <w:bCs/>
        </w:rPr>
        <w:t>orientam as normas gerais previstas no tratado e devem guiar a implementação das obrigações pelas Partes</w:t>
      </w:r>
      <w:r>
        <w:rPr>
          <w:bCs/>
        </w:rPr>
        <w:t xml:space="preserve">, </w:t>
      </w:r>
      <w:r w:rsidRPr="007B7F1C">
        <w:rPr>
          <w:bCs/>
        </w:rPr>
        <w:t>como o respeito aos direitos humanos, à democracia e ao Estado de Direito</w:t>
      </w:r>
      <w:r>
        <w:rPr>
          <w:bCs/>
        </w:rPr>
        <w:t xml:space="preserve"> (artigos 4º e 5º)</w:t>
      </w:r>
      <w:r w:rsidRPr="007B7F1C">
        <w:rPr>
          <w:bCs/>
        </w:rPr>
        <w:t>; a proporcionalidade e necessidade</w:t>
      </w:r>
      <w:r>
        <w:rPr>
          <w:bCs/>
        </w:rPr>
        <w:t xml:space="preserve"> (artigo 5º)</w:t>
      </w:r>
      <w:r w:rsidRPr="007B7F1C">
        <w:rPr>
          <w:bCs/>
        </w:rPr>
        <w:t>; a não discriminação</w:t>
      </w:r>
      <w:r>
        <w:rPr>
          <w:bCs/>
        </w:rPr>
        <w:t xml:space="preserve"> (artigo 6º)</w:t>
      </w:r>
      <w:r w:rsidRPr="007B7F1C">
        <w:rPr>
          <w:bCs/>
        </w:rPr>
        <w:t>; a transparência e explicabilidade</w:t>
      </w:r>
      <w:r>
        <w:rPr>
          <w:bCs/>
        </w:rPr>
        <w:t xml:space="preserve"> (artigo 7º)</w:t>
      </w:r>
      <w:r w:rsidRPr="007B7F1C">
        <w:rPr>
          <w:bCs/>
        </w:rPr>
        <w:t>; a responsabilidade e supervisão</w:t>
      </w:r>
      <w:r>
        <w:rPr>
          <w:bCs/>
        </w:rPr>
        <w:t xml:space="preserve"> (artigos 8º e 13)</w:t>
      </w:r>
      <w:r w:rsidRPr="007B7F1C">
        <w:rPr>
          <w:bCs/>
        </w:rPr>
        <w:t>; a segurança e qualidade</w:t>
      </w:r>
      <w:r>
        <w:rPr>
          <w:bCs/>
        </w:rPr>
        <w:t xml:space="preserve"> (artigo 9º)</w:t>
      </w:r>
      <w:r w:rsidRPr="007B7F1C">
        <w:rPr>
          <w:bCs/>
        </w:rPr>
        <w:t>; a proteção da privacidade e dos dados pessoais</w:t>
      </w:r>
      <w:r>
        <w:rPr>
          <w:bCs/>
        </w:rPr>
        <w:t xml:space="preserve"> (artigo 10); e a existência de r</w:t>
      </w:r>
      <w:r w:rsidRPr="007B7F1C">
        <w:rPr>
          <w:bCs/>
        </w:rPr>
        <w:t>ecurso efetivo e remediação</w:t>
      </w:r>
      <w:r>
        <w:rPr>
          <w:bCs/>
        </w:rPr>
        <w:t xml:space="preserve"> (artigo 13)</w:t>
      </w:r>
      <w:r w:rsidRPr="007B7F1C">
        <w:rPr>
          <w:bCs/>
        </w:rPr>
        <w:t>.</w:t>
      </w:r>
    </w:p>
    <w:p w14:paraId="63E6308A" w14:textId="77777777" w:rsidR="00DB0C19" w:rsidRPr="00DB0C19" w:rsidRDefault="00DB0C19" w:rsidP="00DB0C19">
      <w:pPr>
        <w:tabs>
          <w:tab w:val="left" w:pos="851"/>
        </w:tabs>
        <w:spacing w:line="360" w:lineRule="auto"/>
        <w:ind w:firstLine="851"/>
        <w:rPr>
          <w:bCs/>
        </w:rPr>
      </w:pPr>
      <w:r w:rsidRPr="00DB0C19">
        <w:rPr>
          <w:bCs/>
        </w:rPr>
        <w:t xml:space="preserve">Nesse conjunto de princípios e obrigações, a possibilidade de complementação da Convenção-Quadro por instrumentos adicionais revela-se essencial para tratar de temas específicos que exigem maior detalhamento normativo — entre eles, a propriedade intelectual. A crescente utilização de obras protegidas por direitos autorais no treinamento de sistemas de IA generativa tem gerado preocupações jurídicas que extrapolam os limites da regulação geral. Como apontam </w:t>
      </w:r>
      <w:proofErr w:type="spellStart"/>
      <w:r w:rsidRPr="00DB0C19">
        <w:rPr>
          <w:bCs/>
        </w:rPr>
        <w:t>Strasburg</w:t>
      </w:r>
      <w:proofErr w:type="spellEnd"/>
      <w:r w:rsidRPr="00DB0C19">
        <w:rPr>
          <w:bCs/>
        </w:rPr>
        <w:t xml:space="preserve"> Jr. e Garcia (2025), “a reprodução de </w:t>
      </w:r>
      <w:proofErr w:type="spellStart"/>
      <w:r w:rsidRPr="00DB0C19">
        <w:rPr>
          <w:bCs/>
        </w:rPr>
        <w:t>conteúdos</w:t>
      </w:r>
      <w:proofErr w:type="spellEnd"/>
      <w:r w:rsidRPr="00DB0C19">
        <w:rPr>
          <w:bCs/>
        </w:rPr>
        <w:t xml:space="preserve"> durante o treinamento de modelos de IA pode configurar infração prima facie, exigindo mecanismos regulatórios que assegurem licenciamento adequado e proteção aos titulares de direitos”. </w:t>
      </w:r>
      <w:r w:rsidRPr="00DB0C19">
        <w:rPr>
          <w:bCs/>
        </w:rPr>
        <w:lastRenderedPageBreak/>
        <w:t>Assim, instrumentos complementares podem ser fundamentais para garantir que os princípios de transparência, responsabilidade e remediação previstos nos artigos 7º, 8º e 13 da Convenção sejam efetivamente aplicados também no campo da propriedade intelectual.</w:t>
      </w:r>
    </w:p>
    <w:p w14:paraId="4E2287A5" w14:textId="77777777" w:rsidR="00886427" w:rsidRDefault="00886427" w:rsidP="00F23479">
      <w:pPr>
        <w:tabs>
          <w:tab w:val="left" w:pos="851"/>
        </w:tabs>
        <w:spacing w:line="360" w:lineRule="auto"/>
        <w:ind w:firstLine="0"/>
        <w:rPr>
          <w:bCs/>
        </w:rPr>
      </w:pPr>
    </w:p>
    <w:p w14:paraId="1DBAB4BD" w14:textId="77777777" w:rsidR="00886427" w:rsidRPr="00766203" w:rsidRDefault="00886427" w:rsidP="00886427">
      <w:pPr>
        <w:pStyle w:val="PargrafodaLista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21C">
        <w:rPr>
          <w:rFonts w:ascii="Times New Roman" w:hAnsi="Times New Roman" w:cs="Times New Roman"/>
          <w:b/>
          <w:bCs/>
          <w:sz w:val="24"/>
          <w:szCs w:val="24"/>
        </w:rPr>
        <w:t>PRINCIPAIS DESAFIOS E SOLUÇÕES PROPOSTAS PELA CONVENÇÃO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B46A70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Pr="00766203">
        <w:rPr>
          <w:bCs/>
        </w:rPr>
        <w:t>A Convenção-Quadro foi concebida para responder a desafios como os riscos de violação aos direitos fundamentais, a falta de transparência nas decisões automatizadas, as possíveis práticas discriminatórias e as dificuldades em atribuir responsabilidade por eventuais danos. Para lidar com essas questões, o tratado adota soluções que articulam a imposição de princípios gerais vinculantes, a previsão de medidas ajustadas ao grau de risco, a instituição de mecanismos de controle e reparação, bem como a possibilidade de adoção de instrumentos complementares voltados ao detalhamento da regulação em matérias específicas.</w:t>
      </w:r>
    </w:p>
    <w:p w14:paraId="0A6411DF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  <w:t xml:space="preserve">Conforme anteriormente destacado, um dos </w:t>
      </w:r>
      <w:r w:rsidRPr="00057C46">
        <w:rPr>
          <w:bCs/>
        </w:rPr>
        <w:t xml:space="preserve">principais desafios apontados pela Convenção-Quadro </w:t>
      </w:r>
      <w:r>
        <w:rPr>
          <w:bCs/>
        </w:rPr>
        <w:t xml:space="preserve">é </w:t>
      </w:r>
      <w:r w:rsidRPr="00057C46">
        <w:rPr>
          <w:bCs/>
        </w:rPr>
        <w:t>o risco de que as atividades relacionadas ao ciclo de vida dos sistemas de inteligência artificial impact</w:t>
      </w:r>
      <w:r>
        <w:rPr>
          <w:bCs/>
        </w:rPr>
        <w:t>em</w:t>
      </w:r>
      <w:r w:rsidRPr="00057C46">
        <w:rPr>
          <w:bCs/>
        </w:rPr>
        <w:t xml:space="preserve"> negativamente os direitos fundamentais. Para mitigar esse risco, o tratado impõe, como dever geral (art</w:t>
      </w:r>
      <w:r>
        <w:rPr>
          <w:bCs/>
        </w:rPr>
        <w:t>igo</w:t>
      </w:r>
      <w:r w:rsidRPr="00057C46">
        <w:rPr>
          <w:bCs/>
        </w:rPr>
        <w:t xml:space="preserve"> 4º), que tais atividades sejam plenamente compatíveis com os direitos humanos, a democracia e o Estado de Direito, orientando as Partes a adotarem medidas legislativas, administrativas ou outras necessárias à concretização desse compromisso (art</w:t>
      </w:r>
      <w:r>
        <w:rPr>
          <w:bCs/>
        </w:rPr>
        <w:t>igo</w:t>
      </w:r>
      <w:r w:rsidRPr="00057C46">
        <w:rPr>
          <w:bCs/>
        </w:rPr>
        <w:t xml:space="preserve"> 5º, § 2º).</w:t>
      </w:r>
    </w:p>
    <w:p w14:paraId="3C0E60EB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057C46">
        <w:rPr>
          <w:bCs/>
        </w:rPr>
        <w:t>Outro problema relevante identificado é a falta de clareza nas decisões automatizadas, que dificulta sua compreensão, contestação e controle. Para enfrentá-lo, a Convenção prevê a obrigação de assegurar transparência e explicabilidade (art</w:t>
      </w:r>
      <w:r>
        <w:rPr>
          <w:bCs/>
        </w:rPr>
        <w:t>igo</w:t>
      </w:r>
      <w:r w:rsidRPr="00057C46">
        <w:rPr>
          <w:bCs/>
        </w:rPr>
        <w:t xml:space="preserve"> 7º), mediante a disponibilização de informações que permitam aos usuários e interessados compreender o funcionamento dos sistemas e examinar seus resultados.</w:t>
      </w:r>
    </w:p>
    <w:p w14:paraId="0EA8E719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057C46">
        <w:rPr>
          <w:bCs/>
        </w:rPr>
        <w:t>A Convenção também destaca o risco de discriminação e de ampliação das desigualdades em ambientes digitais, especialmente em prejuízo de grupos vulneráveis. Para responder a essa preocupação, consagra, no art</w:t>
      </w:r>
      <w:r>
        <w:rPr>
          <w:bCs/>
        </w:rPr>
        <w:t>igo</w:t>
      </w:r>
      <w:r w:rsidRPr="00057C46">
        <w:rPr>
          <w:bCs/>
        </w:rPr>
        <w:t xml:space="preserve"> 6º, o princípio da não discriminação e da igualdade, determinando que as Partes adotem medidas destinadas a prevenir e reduzir riscos de discriminação e impactos desproporcionais.</w:t>
      </w:r>
    </w:p>
    <w:p w14:paraId="00B667C1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057C46">
        <w:rPr>
          <w:bCs/>
        </w:rPr>
        <w:t xml:space="preserve">Quanto à responsabilização por eventuais danos, o tratado reconhece as dificuldades decorrentes da complexidade e da autonomia dos sistemas de IA e estabelece, como solução, a </w:t>
      </w:r>
      <w:r w:rsidRPr="00057C46">
        <w:rPr>
          <w:bCs/>
        </w:rPr>
        <w:lastRenderedPageBreak/>
        <w:t>obrigação de implementação de mecanismos eficazes de supervisão, responsabilização e reparação (art</w:t>
      </w:r>
      <w:r>
        <w:rPr>
          <w:bCs/>
        </w:rPr>
        <w:t>igo</w:t>
      </w:r>
      <w:r w:rsidRPr="00057C46">
        <w:rPr>
          <w:bCs/>
        </w:rPr>
        <w:t xml:space="preserve"> 13).</w:t>
      </w:r>
    </w:p>
    <w:p w14:paraId="70B6F708" w14:textId="6914F636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="00523173">
        <w:rPr>
          <w:bCs/>
        </w:rPr>
        <w:t xml:space="preserve">Com </w:t>
      </w:r>
      <w:r w:rsidRPr="00057C46">
        <w:rPr>
          <w:bCs/>
        </w:rPr>
        <w:t>o objetivo de viabilizar uma regulação adequada diante do avanço contínuo da tecnologia e da diversidade dos contextos nacionais, a Convenção admite a adoção de instrumentos adicionais (preâmbulo e art</w:t>
      </w:r>
      <w:r>
        <w:rPr>
          <w:bCs/>
        </w:rPr>
        <w:t>igo</w:t>
      </w:r>
      <w:r w:rsidRPr="00057C46">
        <w:rPr>
          <w:bCs/>
        </w:rPr>
        <w:t xml:space="preserve"> 28), voltados ao detalhamento e ao aperfeiçoamento das normas em temas ou setores específicos.</w:t>
      </w:r>
    </w:p>
    <w:p w14:paraId="0F620C1D" w14:textId="77777777" w:rsidR="00E33A33" w:rsidRPr="00E33A33" w:rsidRDefault="00E33A33" w:rsidP="00E33A33">
      <w:pPr>
        <w:tabs>
          <w:tab w:val="left" w:pos="851"/>
        </w:tabs>
        <w:spacing w:line="360" w:lineRule="auto"/>
        <w:rPr>
          <w:bCs/>
        </w:rPr>
      </w:pPr>
      <w:r w:rsidRPr="00E33A33">
        <w:rPr>
          <w:bCs/>
        </w:rPr>
        <w:t>A Convenção-Quadro, ao estabelecer obrigações de transparência, supervisão e reparação (</w:t>
      </w:r>
      <w:proofErr w:type="spellStart"/>
      <w:r w:rsidRPr="00E33A33">
        <w:rPr>
          <w:bCs/>
        </w:rPr>
        <w:t>arts</w:t>
      </w:r>
      <w:proofErr w:type="spellEnd"/>
      <w:r w:rsidRPr="00E33A33">
        <w:rPr>
          <w:bCs/>
        </w:rPr>
        <w:t xml:space="preserve">. 7º e 13), cria um ambiente normativo propício para enfrentar os desafios que a inteligência artificial impõe à propriedade intelectual. A utilização de obras protegidas como insumo para treinamento de modelos generativos, por exemplo, demanda mecanismos claros de rastreabilidade e responsabilização. Como observa </w:t>
      </w:r>
      <w:r w:rsidRPr="00E33A33">
        <w:t xml:space="preserve">Laura </w:t>
      </w:r>
      <w:proofErr w:type="spellStart"/>
      <w:r w:rsidRPr="00E33A33">
        <w:t>Schertel</w:t>
      </w:r>
      <w:proofErr w:type="spellEnd"/>
      <w:r w:rsidRPr="00E33A33">
        <w:t xml:space="preserve"> Mendes</w:t>
      </w:r>
      <w:r w:rsidRPr="00E33A33">
        <w:rPr>
          <w:bCs/>
        </w:rPr>
        <w:t>, professora da UnB e pesquisadora em regulação digital, “a lógica da IA generativa desafia os fundamentos clássicos do direito autoral, exigindo novos arranjos jurídicos que conciliem inovação com proteção dos criadores”. A possibilidade prevista pela Convenção de adoção de instrumentos complementares (art. 28) permite que temas como autoria automatizada, licenciamento algorítmico e proteção de estilos sejam tratados com maior especificidade, evitando que o avanço tecnológico se dê à margem dos direitos culturais e patrimoniais. Trata-se de uma oportunidade para que o sistema internacional de PI se reestruture com base em princípios democráticos e garantias efetivas.</w:t>
      </w:r>
    </w:p>
    <w:p w14:paraId="432B51A3" w14:textId="77777777" w:rsidR="00E33A33" w:rsidRDefault="00E33A33" w:rsidP="00886427">
      <w:pPr>
        <w:tabs>
          <w:tab w:val="left" w:pos="851"/>
        </w:tabs>
        <w:spacing w:line="360" w:lineRule="auto"/>
        <w:rPr>
          <w:bCs/>
        </w:rPr>
      </w:pPr>
    </w:p>
    <w:p w14:paraId="362FD649" w14:textId="77777777" w:rsidR="00886427" w:rsidRPr="00E53E03" w:rsidRDefault="00886427" w:rsidP="00886427">
      <w:pPr>
        <w:tabs>
          <w:tab w:val="left" w:pos="851"/>
        </w:tabs>
        <w:spacing w:line="360" w:lineRule="auto"/>
        <w:rPr>
          <w:bCs/>
        </w:rPr>
      </w:pPr>
    </w:p>
    <w:p w14:paraId="4598B3D9" w14:textId="77777777" w:rsidR="00FD13D0" w:rsidRPr="00FD13D0" w:rsidRDefault="00FD13D0" w:rsidP="00886427">
      <w:pPr>
        <w:pStyle w:val="PargrafodaLista"/>
        <w:numPr>
          <w:ilvl w:val="0"/>
          <w:numId w:val="3"/>
        </w:numPr>
        <w:tabs>
          <w:tab w:val="left" w:pos="851"/>
        </w:tabs>
        <w:spacing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Discussão</w:t>
      </w:r>
    </w:p>
    <w:p w14:paraId="643C6E95" w14:textId="4602F37B" w:rsidR="00886427" w:rsidRPr="00730B44" w:rsidRDefault="00FD13D0" w:rsidP="00FD13D0">
      <w:pPr>
        <w:pStyle w:val="PargrafodaLista"/>
        <w:tabs>
          <w:tab w:val="left" w:pos="851"/>
        </w:tabs>
        <w:spacing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Cenário normativo brasileiro sobre IA.</w:t>
      </w:r>
    </w:p>
    <w:p w14:paraId="7D6B2F94" w14:textId="77777777" w:rsidR="00886427" w:rsidRPr="00730B44" w:rsidRDefault="00886427" w:rsidP="00886427">
      <w:pPr>
        <w:pStyle w:val="PargrafodaLista"/>
        <w:numPr>
          <w:ilvl w:val="1"/>
          <w:numId w:val="3"/>
        </w:numPr>
        <w:tabs>
          <w:tab w:val="left" w:pos="851"/>
        </w:tabs>
        <w:spacing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B44">
        <w:rPr>
          <w:rFonts w:ascii="Times New Roman" w:hAnsi="Times New Roman" w:cs="Times New Roman"/>
          <w:b/>
          <w:sz w:val="24"/>
          <w:szCs w:val="24"/>
        </w:rPr>
        <w:t>A Estratégia Brasileira de Inteligência Artificial e os Desafios de Integração dos Centros de Pesquisa Aplicada.</w:t>
      </w:r>
    </w:p>
    <w:p w14:paraId="140D3EB9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  <w:t>A</w:t>
      </w:r>
      <w:r w:rsidRPr="00F41B2E">
        <w:rPr>
          <w:bCs/>
        </w:rPr>
        <w:t xml:space="preserve">inda que a Estratégia Brasileira para a Transformação Digital (E-Digital), instituída pelo Decreto nº 9.319/2018 e pela Portaria MCTIC nº 1.556/2018, já tenha ressaltado, desde 2018, a necessidade de tratar a inteligência artificial como tema prioritário, apenas em 2021 o Poder Executivo optou por estruturar uma estratégia específica para a área, com a publicação da Portaria MCTI nº 4.617/2021, que instituiu a Estratégia Brasileira de Inteligência Artificial (EBIA) (BRASIL, 2018a; 2018b; 2021a). </w:t>
      </w:r>
    </w:p>
    <w:p w14:paraId="5B2BFFB8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lastRenderedPageBreak/>
        <w:tab/>
      </w:r>
      <w:r w:rsidRPr="00F41B2E">
        <w:rPr>
          <w:bCs/>
        </w:rPr>
        <w:t>Essa estratégia prevê, entre outras ações, o financiamento de seis Centros de Pesquisa Aplicada em Inteligência Artificial (CPA-IA), vinculados a instituições públicas de ensino superior</w:t>
      </w:r>
      <w:r>
        <w:rPr>
          <w:bCs/>
        </w:rPr>
        <w:t>, com a finalidade de</w:t>
      </w:r>
      <w:r w:rsidRPr="00F41B2E">
        <w:rPr>
          <w:bCs/>
        </w:rPr>
        <w:t xml:space="preserve"> fomentar a pesquisa aplicada com foco em áreas prioritárias, como saúde, indústria, meio ambiente e cidades inteligentes</w:t>
      </w:r>
      <w:r>
        <w:rPr>
          <w:bCs/>
        </w:rPr>
        <w:t xml:space="preserve">, e se encontram  </w:t>
      </w:r>
      <w:r w:rsidRPr="00F41B2E">
        <w:rPr>
          <w:bCs/>
        </w:rPr>
        <w:t>alinhad</w:t>
      </w:r>
      <w:r>
        <w:rPr>
          <w:bCs/>
        </w:rPr>
        <w:t>a</w:t>
      </w:r>
      <w:r w:rsidRPr="00F41B2E">
        <w:rPr>
          <w:bCs/>
        </w:rPr>
        <w:t>s aos nove eixos estruturantes da EBIA</w:t>
      </w:r>
      <w:r>
        <w:rPr>
          <w:bCs/>
        </w:rPr>
        <w:t xml:space="preserve">, </w:t>
      </w:r>
      <w:r w:rsidRPr="00F41B2E">
        <w:rPr>
          <w:bCs/>
        </w:rPr>
        <w:t xml:space="preserve">entre </w:t>
      </w:r>
      <w:r>
        <w:rPr>
          <w:bCs/>
        </w:rPr>
        <w:t xml:space="preserve">os quais </w:t>
      </w:r>
      <w:r w:rsidRPr="00F41B2E">
        <w:rPr>
          <w:bCs/>
        </w:rPr>
        <w:t>a legislação e o uso ético, a governança, a capacitação profissional, a aplicação nos setores público e produtivo, e a segurança pública.</w:t>
      </w:r>
    </w:p>
    <w:p w14:paraId="41FE1EBE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  <w:t>É evidente o potencial da</w:t>
      </w:r>
      <w:r w:rsidRPr="00F41B2E">
        <w:rPr>
          <w:bCs/>
        </w:rPr>
        <w:t xml:space="preserve"> estratégia adotada pelo Poder Executivo para</w:t>
      </w:r>
      <w:r>
        <w:rPr>
          <w:bCs/>
        </w:rPr>
        <w:t xml:space="preserve">, </w:t>
      </w:r>
      <w:r w:rsidRPr="00F41B2E">
        <w:rPr>
          <w:bCs/>
        </w:rPr>
        <w:t>de forma significativa</w:t>
      </w:r>
      <w:r>
        <w:rPr>
          <w:bCs/>
        </w:rPr>
        <w:t>, estimular</w:t>
      </w:r>
      <w:r w:rsidRPr="00F41B2E">
        <w:rPr>
          <w:bCs/>
        </w:rPr>
        <w:t xml:space="preserve"> o desenvolvimento tecnológico e institucional do país.</w:t>
      </w:r>
      <w:r>
        <w:rPr>
          <w:bCs/>
        </w:rPr>
        <w:t xml:space="preserve"> </w:t>
      </w:r>
      <w:r w:rsidRPr="00F41B2E">
        <w:rPr>
          <w:bCs/>
        </w:rPr>
        <w:t>Em primeiro lugar, estimula a</w:t>
      </w:r>
      <w:r>
        <w:rPr>
          <w:bCs/>
        </w:rPr>
        <w:t xml:space="preserve"> aplicação direta das</w:t>
      </w:r>
      <w:r w:rsidRPr="00F41B2E">
        <w:rPr>
          <w:bCs/>
        </w:rPr>
        <w:t xml:space="preserve"> pesquisa</w:t>
      </w:r>
      <w:r>
        <w:rPr>
          <w:bCs/>
        </w:rPr>
        <w:t>s desenvolvidas</w:t>
      </w:r>
      <w:r w:rsidRPr="00F41B2E">
        <w:rPr>
          <w:bCs/>
        </w:rPr>
        <w:t xml:space="preserve">, </w:t>
      </w:r>
      <w:r>
        <w:rPr>
          <w:bCs/>
        </w:rPr>
        <w:t xml:space="preserve">promovendo a </w:t>
      </w:r>
      <w:r w:rsidRPr="00F41B2E">
        <w:rPr>
          <w:bCs/>
        </w:rPr>
        <w:t>aproxima</w:t>
      </w:r>
      <w:r>
        <w:rPr>
          <w:bCs/>
        </w:rPr>
        <w:t>ção</w:t>
      </w:r>
      <w:r w:rsidRPr="00F41B2E">
        <w:rPr>
          <w:bCs/>
        </w:rPr>
        <w:t xml:space="preserve"> </w:t>
      </w:r>
      <w:r>
        <w:rPr>
          <w:bCs/>
        </w:rPr>
        <w:t>entre o</w:t>
      </w:r>
      <w:r w:rsidRPr="00F41B2E">
        <w:rPr>
          <w:bCs/>
        </w:rPr>
        <w:t xml:space="preserve"> conhecimento científico </w:t>
      </w:r>
      <w:r>
        <w:rPr>
          <w:bCs/>
        </w:rPr>
        <w:t xml:space="preserve">e </w:t>
      </w:r>
      <w:r w:rsidRPr="00F41B2E">
        <w:rPr>
          <w:bCs/>
        </w:rPr>
        <w:t>as efetivas demandas da sociedade</w:t>
      </w:r>
      <w:r>
        <w:rPr>
          <w:bCs/>
        </w:rPr>
        <w:t>, introduzindo</w:t>
      </w:r>
      <w:r w:rsidRPr="00F41B2E">
        <w:rPr>
          <w:bCs/>
        </w:rPr>
        <w:t xml:space="preserve"> inovação em áreas essenciais.</w:t>
      </w:r>
      <w:r>
        <w:rPr>
          <w:bCs/>
        </w:rPr>
        <w:t xml:space="preserve"> </w:t>
      </w:r>
      <w:r w:rsidRPr="00F41B2E">
        <w:rPr>
          <w:bCs/>
        </w:rPr>
        <w:t xml:space="preserve">Em segundo lugar, encontra-se plenamente alinhada aos eixos temáticos definidos na EBIA (BRASIL, 2021a), favorecendo a articulação entre desenvolvimento tecnológico, formação de recursos humanos e segurança regulatória. </w:t>
      </w:r>
    </w:p>
    <w:p w14:paraId="4CEE4440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F41B2E">
        <w:rPr>
          <w:bCs/>
        </w:rPr>
        <w:t xml:space="preserve">Além disso, </w:t>
      </w:r>
      <w:r>
        <w:rPr>
          <w:bCs/>
        </w:rPr>
        <w:t>a sua</w:t>
      </w:r>
      <w:r w:rsidRPr="00F41B2E">
        <w:rPr>
          <w:bCs/>
        </w:rPr>
        <w:t xml:space="preserve"> vincula</w:t>
      </w:r>
      <w:r>
        <w:rPr>
          <w:bCs/>
        </w:rPr>
        <w:t>ção</w:t>
      </w:r>
      <w:r w:rsidRPr="00F41B2E">
        <w:rPr>
          <w:bCs/>
        </w:rPr>
        <w:t xml:space="preserve"> a instituições públicas</w:t>
      </w:r>
      <w:r>
        <w:rPr>
          <w:bCs/>
        </w:rPr>
        <w:t xml:space="preserve"> geograficamente descentralizadas promove uma espécie de sintonia fina entre as iniciativas de inovação e as necessidades reais de cada região.</w:t>
      </w:r>
      <w:r w:rsidRPr="00F41B2E">
        <w:rPr>
          <w:bCs/>
        </w:rPr>
        <w:t xml:space="preserve"> </w:t>
      </w:r>
    </w:p>
    <w:p w14:paraId="6BBD344C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  <w:t xml:space="preserve">E, por fim, </w:t>
      </w:r>
      <w:r w:rsidRPr="00F41B2E">
        <w:rPr>
          <w:bCs/>
        </w:rPr>
        <w:t>os CPA-IA</w:t>
      </w:r>
      <w:r>
        <w:rPr>
          <w:bCs/>
        </w:rPr>
        <w:t xml:space="preserve">, por estarem vinculados a entidades públicas, por terem a obrigação de prestar contas dos recursos que recebem, </w:t>
      </w:r>
      <w:r w:rsidRPr="00F41B2E">
        <w:rPr>
          <w:bCs/>
        </w:rPr>
        <w:t>tendem a assegurar maior transparência, descentralização geográfica e comprometimento com o interesse público, contribuindo para o fortalecimento da soberania tecnológica nacional.</w:t>
      </w:r>
    </w:p>
    <w:p w14:paraId="548C3AC6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F41B2E">
        <w:rPr>
          <w:bCs/>
        </w:rPr>
        <w:t>A iniciativa brasileira também dialoga com referenciais internacionais relevantes, como a Recomendação da OCDE sobre Inteligência Artificial (OECD, 2019), da qual o Brasil é signatário, e a Recomendação da UNESCO sobre a Ética da Inteligência Artificial (UNESCO, 2021)</w:t>
      </w:r>
      <w:r>
        <w:rPr>
          <w:bCs/>
        </w:rPr>
        <w:t xml:space="preserve">. Ambos os instrumentos (i) </w:t>
      </w:r>
      <w:r w:rsidRPr="00F41B2E">
        <w:rPr>
          <w:bCs/>
        </w:rPr>
        <w:t>destacam a importância de diretrizes centradas no ser humano, com ênfase na transparência, não discriminação, supervisão humana, prestação de contas e desenvolvimento sustentável</w:t>
      </w:r>
      <w:r>
        <w:rPr>
          <w:bCs/>
        </w:rPr>
        <w:t>; e (</w:t>
      </w:r>
      <w:proofErr w:type="spellStart"/>
      <w:r>
        <w:rPr>
          <w:bCs/>
        </w:rPr>
        <w:t>ii</w:t>
      </w:r>
      <w:proofErr w:type="spellEnd"/>
      <w:r>
        <w:rPr>
          <w:bCs/>
        </w:rPr>
        <w:t>)</w:t>
      </w:r>
      <w:r w:rsidRPr="00F41B2E">
        <w:rPr>
          <w:bCs/>
        </w:rPr>
        <w:t xml:space="preserve"> recomendam investimentos públicos em infraestrutura científica, formação crítica de profissionais e marcos regulatórios éticos, evidenciando </w:t>
      </w:r>
      <w:r>
        <w:rPr>
          <w:bCs/>
        </w:rPr>
        <w:t>que, no</w:t>
      </w:r>
      <w:r w:rsidRPr="00F41B2E">
        <w:rPr>
          <w:bCs/>
        </w:rPr>
        <w:t xml:space="preserve"> campo estratégico</w:t>
      </w:r>
      <w:r>
        <w:rPr>
          <w:bCs/>
        </w:rPr>
        <w:t xml:space="preserve">, </w:t>
      </w:r>
      <w:r w:rsidRPr="00F41B2E">
        <w:rPr>
          <w:bCs/>
        </w:rPr>
        <w:t xml:space="preserve">a política pública brasileira </w:t>
      </w:r>
      <w:r>
        <w:rPr>
          <w:bCs/>
        </w:rPr>
        <w:t>foi desenvolvida de forma adequada</w:t>
      </w:r>
      <w:r w:rsidRPr="00F41B2E">
        <w:rPr>
          <w:bCs/>
        </w:rPr>
        <w:t>.</w:t>
      </w:r>
    </w:p>
    <w:p w14:paraId="22B79ED0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  <w:t>Por outro lado, sem embargo</w:t>
      </w:r>
      <w:r w:rsidRPr="00F41B2E">
        <w:rPr>
          <w:bCs/>
        </w:rPr>
        <w:t xml:space="preserve"> dos avanços institucionais registrados, o país enfrenta obstáculos estruturais para o pleno desenvolvimento de um ecossistema nacional de inteligência artificial,</w:t>
      </w:r>
      <w:r>
        <w:rPr>
          <w:bCs/>
        </w:rPr>
        <w:t xml:space="preserve"> com destaque para os seguintes</w:t>
      </w:r>
      <w:r w:rsidRPr="00F41B2E">
        <w:rPr>
          <w:bCs/>
        </w:rPr>
        <w:t xml:space="preserve"> desafios: (i) a carência de profissionais qualificados na área</w:t>
      </w:r>
      <w:r>
        <w:rPr>
          <w:bCs/>
        </w:rPr>
        <w:t>;</w:t>
      </w:r>
      <w:r w:rsidRPr="00F41B2E">
        <w:rPr>
          <w:bCs/>
        </w:rPr>
        <w:t xml:space="preserve"> (</w:t>
      </w:r>
      <w:proofErr w:type="spellStart"/>
      <w:r w:rsidRPr="00F41B2E">
        <w:rPr>
          <w:bCs/>
        </w:rPr>
        <w:t>ii</w:t>
      </w:r>
      <w:proofErr w:type="spellEnd"/>
      <w:r w:rsidRPr="00F41B2E">
        <w:rPr>
          <w:bCs/>
        </w:rPr>
        <w:t>) limitação de recursos destinados à pesquisa e inovação</w:t>
      </w:r>
      <w:r>
        <w:rPr>
          <w:bCs/>
        </w:rPr>
        <w:t>;</w:t>
      </w:r>
      <w:r w:rsidRPr="00F41B2E">
        <w:rPr>
          <w:bCs/>
        </w:rPr>
        <w:t xml:space="preserve"> (</w:t>
      </w:r>
      <w:proofErr w:type="spellStart"/>
      <w:r w:rsidRPr="00F41B2E">
        <w:rPr>
          <w:bCs/>
        </w:rPr>
        <w:t>iii</w:t>
      </w:r>
      <w:proofErr w:type="spellEnd"/>
      <w:r w:rsidRPr="00F41B2E">
        <w:rPr>
          <w:bCs/>
        </w:rPr>
        <w:t xml:space="preserve">) a ausência </w:t>
      </w:r>
      <w:r w:rsidRPr="00F41B2E">
        <w:rPr>
          <w:bCs/>
        </w:rPr>
        <w:lastRenderedPageBreak/>
        <w:t xml:space="preserve">de um marco regulatório robusto e consolidado </w:t>
      </w:r>
      <w:r>
        <w:rPr>
          <w:bCs/>
        </w:rPr>
        <w:t>–</w:t>
      </w:r>
      <w:r w:rsidRPr="00F41B2E">
        <w:rPr>
          <w:bCs/>
        </w:rPr>
        <w:t xml:space="preserve"> lacuna que o Projeto de Lei nº 2.338/2023, atualmente em tramitação n</w:t>
      </w:r>
      <w:r>
        <w:rPr>
          <w:bCs/>
        </w:rPr>
        <w:t>a</w:t>
      </w:r>
      <w:r w:rsidRPr="00F41B2E">
        <w:rPr>
          <w:bCs/>
        </w:rPr>
        <w:t xml:space="preserve"> </w:t>
      </w:r>
      <w:r>
        <w:rPr>
          <w:bCs/>
        </w:rPr>
        <w:t>Câmara dos Deputados</w:t>
      </w:r>
      <w:r w:rsidRPr="00F41B2E">
        <w:rPr>
          <w:bCs/>
        </w:rPr>
        <w:t>, busca suprir (BRASIL, 2023)</w:t>
      </w:r>
      <w:r>
        <w:rPr>
          <w:bCs/>
        </w:rPr>
        <w:t>;</w:t>
      </w:r>
      <w:r w:rsidRPr="00F41B2E">
        <w:rPr>
          <w:bCs/>
        </w:rPr>
        <w:t xml:space="preserve"> e (</w:t>
      </w:r>
      <w:proofErr w:type="spellStart"/>
      <w:r w:rsidRPr="00F41B2E">
        <w:rPr>
          <w:bCs/>
        </w:rPr>
        <w:t>iv</w:t>
      </w:r>
      <w:proofErr w:type="spellEnd"/>
      <w:r w:rsidRPr="00F41B2E">
        <w:rPr>
          <w:bCs/>
        </w:rPr>
        <w:t>) a persistente desigualdade no acesso às tecnologias digitais.</w:t>
      </w:r>
    </w:p>
    <w:p w14:paraId="79546614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F41B2E">
        <w:rPr>
          <w:bCs/>
        </w:rPr>
        <w:t>Mesmo os CPA-IA</w:t>
      </w:r>
      <w:r>
        <w:rPr>
          <w:bCs/>
        </w:rPr>
        <w:t xml:space="preserve"> –</w:t>
      </w:r>
      <w:r w:rsidRPr="00F41B2E">
        <w:rPr>
          <w:bCs/>
        </w:rPr>
        <w:t xml:space="preserve"> cuja criação representa</w:t>
      </w:r>
      <w:r>
        <w:rPr>
          <w:bCs/>
        </w:rPr>
        <w:t xml:space="preserve">, consoante destacado, </w:t>
      </w:r>
      <w:r w:rsidRPr="00F41B2E">
        <w:rPr>
          <w:bCs/>
        </w:rPr>
        <w:t>uma importante iniciativa do poder público</w:t>
      </w:r>
      <w:r>
        <w:rPr>
          <w:bCs/>
        </w:rPr>
        <w:t xml:space="preserve"> dentro da política de fomento à inovação –</w:t>
      </w:r>
      <w:r w:rsidRPr="00F41B2E">
        <w:rPr>
          <w:bCs/>
        </w:rPr>
        <w:t xml:space="preserve"> enfrentam dificuldades relevantes,</w:t>
      </w:r>
      <w:r>
        <w:rPr>
          <w:bCs/>
        </w:rPr>
        <w:t xml:space="preserve"> </w:t>
      </w:r>
      <w:r w:rsidRPr="00F41B2E">
        <w:rPr>
          <w:bCs/>
        </w:rPr>
        <w:t>especialmente no que tange à falta de uma estratégia clara de integração ao ecossistema produtivo e às demandas concretas da sociedade</w:t>
      </w:r>
      <w:r>
        <w:rPr>
          <w:bCs/>
        </w:rPr>
        <w:t xml:space="preserve">, havendo </w:t>
      </w:r>
      <w:r w:rsidRPr="00F41B2E">
        <w:rPr>
          <w:bCs/>
        </w:rPr>
        <w:t xml:space="preserve">o risco </w:t>
      </w:r>
      <w:r>
        <w:rPr>
          <w:bCs/>
        </w:rPr>
        <w:t xml:space="preserve">de que se </w:t>
      </w:r>
      <w:r w:rsidRPr="00F41B2E">
        <w:rPr>
          <w:bCs/>
        </w:rPr>
        <w:t xml:space="preserve">transformem em estruturas isoladas </w:t>
      </w:r>
      <w:r>
        <w:rPr>
          <w:bCs/>
        </w:rPr>
        <w:t>–</w:t>
      </w:r>
      <w:r w:rsidRPr="00F41B2E">
        <w:rPr>
          <w:bCs/>
        </w:rPr>
        <w:t xml:space="preserve"> verdadeiras “ilhas de excelência” </w:t>
      </w:r>
      <w:r>
        <w:rPr>
          <w:bCs/>
        </w:rPr>
        <w:t>–</w:t>
      </w:r>
      <w:r w:rsidRPr="00F41B2E">
        <w:rPr>
          <w:bCs/>
        </w:rPr>
        <w:t xml:space="preserve"> com impacto restrito ao ambiente acadêmico.</w:t>
      </w:r>
    </w:p>
    <w:p w14:paraId="35DD0946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F41B2E">
        <w:rPr>
          <w:bCs/>
        </w:rPr>
        <w:t>Entre os principais riscos associados à ausência</w:t>
      </w:r>
      <w:r>
        <w:rPr>
          <w:bCs/>
        </w:rPr>
        <w:t xml:space="preserve"> – ou deficiência –</w:t>
      </w:r>
      <w:r w:rsidRPr="00F41B2E">
        <w:rPr>
          <w:bCs/>
        </w:rPr>
        <w:t xml:space="preserve"> de articulação dos CPA-IA com o setor produtivo, destaca-se a possibilidade de que os resultados das pesquisas permaneçam </w:t>
      </w:r>
      <w:r>
        <w:rPr>
          <w:bCs/>
        </w:rPr>
        <w:t xml:space="preserve">restritos </w:t>
      </w:r>
      <w:r w:rsidRPr="00F41B2E">
        <w:rPr>
          <w:bCs/>
        </w:rPr>
        <w:t xml:space="preserve">ao </w:t>
      </w:r>
      <w:r>
        <w:rPr>
          <w:bCs/>
        </w:rPr>
        <w:t>ambiente</w:t>
      </w:r>
      <w:r w:rsidRPr="00F41B2E">
        <w:rPr>
          <w:bCs/>
        </w:rPr>
        <w:t xml:space="preserve"> universitário, sem efetiva transferência de tecnologia ou geração de soluções aplicáveis a problemas reais</w:t>
      </w:r>
      <w:r>
        <w:rPr>
          <w:bCs/>
        </w:rPr>
        <w:t xml:space="preserve"> da sociedade</w:t>
      </w:r>
      <w:r w:rsidRPr="00F41B2E">
        <w:rPr>
          <w:bCs/>
        </w:rPr>
        <w:t>.</w:t>
      </w:r>
      <w:r>
        <w:rPr>
          <w:bCs/>
        </w:rPr>
        <w:t xml:space="preserve"> </w:t>
      </w:r>
    </w:p>
    <w:p w14:paraId="7BB98D94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  <w:t>De fato, a ausência</w:t>
      </w:r>
      <w:r w:rsidRPr="00F41B2E">
        <w:rPr>
          <w:bCs/>
        </w:rPr>
        <w:t xml:space="preserve"> de trocas sistemáticas com empresas, </w:t>
      </w:r>
      <w:r w:rsidRPr="004B0216">
        <w:rPr>
          <w:bCs/>
          <w:i/>
          <w:iCs/>
        </w:rPr>
        <w:t>startups</w:t>
      </w:r>
      <w:r w:rsidRPr="00F41B2E">
        <w:rPr>
          <w:bCs/>
        </w:rPr>
        <w:t xml:space="preserve"> e governos pode resultar em projetos tecnicamente sofisticados,</w:t>
      </w:r>
      <w:r>
        <w:rPr>
          <w:bCs/>
        </w:rPr>
        <w:t xml:space="preserve"> </w:t>
      </w:r>
      <w:r w:rsidRPr="00F41B2E">
        <w:rPr>
          <w:bCs/>
        </w:rPr>
        <w:t>mas desalinhados com as necessidades do mercado e da sociedade</w:t>
      </w:r>
      <w:r>
        <w:rPr>
          <w:bCs/>
        </w:rPr>
        <w:t>,</w:t>
      </w:r>
      <w:r w:rsidRPr="00F41B2E">
        <w:rPr>
          <w:bCs/>
        </w:rPr>
        <w:t xml:space="preserve"> compromet</w:t>
      </w:r>
      <w:r>
        <w:rPr>
          <w:bCs/>
        </w:rPr>
        <w:t xml:space="preserve">endo </w:t>
      </w:r>
      <w:r w:rsidRPr="00F41B2E">
        <w:rPr>
          <w:bCs/>
        </w:rPr>
        <w:t>o potencial de geração de impacto econômico, social e institucional dos centros.</w:t>
      </w:r>
    </w:p>
    <w:p w14:paraId="18796E17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F41B2E">
        <w:rPr>
          <w:bCs/>
        </w:rPr>
        <w:t>Adicionalmente,</w:t>
      </w:r>
      <w:r>
        <w:rPr>
          <w:bCs/>
        </w:rPr>
        <w:t xml:space="preserve"> </w:t>
      </w:r>
      <w:r w:rsidRPr="00F41B2E">
        <w:rPr>
          <w:bCs/>
        </w:rPr>
        <w:t>a ausência de um</w:t>
      </w:r>
      <w:r>
        <w:rPr>
          <w:bCs/>
        </w:rPr>
        <w:t xml:space="preserve"> centro de</w:t>
      </w:r>
      <w:r w:rsidRPr="00F41B2E">
        <w:rPr>
          <w:bCs/>
        </w:rPr>
        <w:t xml:space="preserve"> governança</w:t>
      </w:r>
      <w:r>
        <w:rPr>
          <w:bCs/>
        </w:rPr>
        <w:t xml:space="preserve"> capaz de integrar os </w:t>
      </w:r>
      <w:r w:rsidRPr="00F41B2E">
        <w:rPr>
          <w:bCs/>
        </w:rPr>
        <w:t>CPA-IA pode gerar</w:t>
      </w:r>
      <w:r>
        <w:rPr>
          <w:bCs/>
        </w:rPr>
        <w:t xml:space="preserve"> redundâncias, </w:t>
      </w:r>
      <w:r w:rsidRPr="00F41B2E">
        <w:rPr>
          <w:bCs/>
        </w:rPr>
        <w:t xml:space="preserve">duplicação de esforços, desperdício de recursos públicos e baixa eficiência científica e tecnológica. </w:t>
      </w:r>
    </w:p>
    <w:p w14:paraId="05811DA2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F41B2E">
        <w:rPr>
          <w:bCs/>
        </w:rPr>
        <w:t xml:space="preserve">Por fim, sem o estabelecimento de parcerias estruturadas com o setor privado e outros entes </w:t>
      </w:r>
      <w:r>
        <w:rPr>
          <w:bCs/>
        </w:rPr>
        <w:t xml:space="preserve">não </w:t>
      </w:r>
      <w:r w:rsidRPr="00F41B2E">
        <w:rPr>
          <w:bCs/>
        </w:rPr>
        <w:t>governamentais,</w:t>
      </w:r>
      <w:r>
        <w:rPr>
          <w:bCs/>
        </w:rPr>
        <w:t xml:space="preserve"> que possam garantir financiamento externo, e</w:t>
      </w:r>
      <w:r w:rsidRPr="00F41B2E">
        <w:rPr>
          <w:bCs/>
        </w:rPr>
        <w:t xml:space="preserve">sses centros tendem a se tornar </w:t>
      </w:r>
      <w:r>
        <w:rPr>
          <w:bCs/>
        </w:rPr>
        <w:t>cada vez mais</w:t>
      </w:r>
      <w:r w:rsidRPr="00F41B2E">
        <w:rPr>
          <w:bCs/>
        </w:rPr>
        <w:t xml:space="preserve"> dependentes de recursos públicos, colocando em risco sua sustentabilidade no médio e longo prazo.</w:t>
      </w:r>
    </w:p>
    <w:p w14:paraId="455A88F2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  <w:t>Assim, p</w:t>
      </w:r>
      <w:r w:rsidRPr="00F41B2E">
        <w:rPr>
          <w:bCs/>
        </w:rPr>
        <w:t>ara que os CPA-IA cumpram plenamente sua função estratégica, é fundamental que sejam inseridos em redes colaborativas de pesquisa, inovação e desenvolvimento, com mecanismos institucionalizados de cooperação intersetorial, transferência de conhecimento e estímulo à inovação aberta, nos termos das melhores práticas previstas pela OCDE (2019), pela UNESCO (2021) e, em perspectiva normativa interna, pelo que se propõe no PL nº 2.338/2023 (BRASIL, 2023), que visa à criação de uma regulação nacional harmônica, proporcional aos riscos, promotora de direitos e indutora da inovação responsável.</w:t>
      </w:r>
    </w:p>
    <w:p w14:paraId="3D44957D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</w:p>
    <w:p w14:paraId="0B27B3A1" w14:textId="77777777" w:rsidR="00886427" w:rsidRDefault="00886427" w:rsidP="00886427">
      <w:pPr>
        <w:tabs>
          <w:tab w:val="left" w:pos="851"/>
        </w:tabs>
        <w:spacing w:line="360" w:lineRule="auto"/>
        <w:ind w:left="360"/>
        <w:rPr>
          <w:b/>
          <w:bCs/>
        </w:rPr>
      </w:pPr>
      <w:r>
        <w:rPr>
          <w:b/>
        </w:rPr>
        <w:lastRenderedPageBreak/>
        <w:t xml:space="preserve">4.2. </w:t>
      </w:r>
      <w:r w:rsidRPr="00730B44">
        <w:rPr>
          <w:b/>
          <w:bCs/>
        </w:rPr>
        <w:t>O Projeto de Lei nº 2.338/2023 e a construção de um marco regulatório unificado</w:t>
      </w:r>
    </w:p>
    <w:p w14:paraId="0D22EB74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 w:rsidRPr="004F10BF">
        <w:rPr>
          <w:bCs/>
        </w:rPr>
        <w:tab/>
      </w:r>
      <w:r w:rsidRPr="00FA26C2">
        <w:rPr>
          <w:bCs/>
        </w:rPr>
        <w:t>A</w:t>
      </w:r>
      <w:r>
        <w:rPr>
          <w:bCs/>
        </w:rPr>
        <w:t xml:space="preserve">ssim como tem ocorrido no âmbito externo, a </w:t>
      </w:r>
      <w:r w:rsidRPr="00FA26C2">
        <w:rPr>
          <w:bCs/>
        </w:rPr>
        <w:t>regulação da inteligência artificial no Brasil tem mobilizado esforços legislativo</w:t>
      </w:r>
      <w:r>
        <w:rPr>
          <w:bCs/>
        </w:rPr>
        <w:t>s bastante significativos</w:t>
      </w:r>
      <w:r w:rsidRPr="00FA26C2">
        <w:rPr>
          <w:bCs/>
        </w:rPr>
        <w:t>,</w:t>
      </w:r>
      <w:r>
        <w:rPr>
          <w:bCs/>
        </w:rPr>
        <w:t xml:space="preserve"> fato que reflete a </w:t>
      </w:r>
      <w:r w:rsidRPr="00FA26C2">
        <w:rPr>
          <w:bCs/>
        </w:rPr>
        <w:t xml:space="preserve">crescente urgência de </w:t>
      </w:r>
      <w:r>
        <w:rPr>
          <w:bCs/>
        </w:rPr>
        <w:t xml:space="preserve">que seja </w:t>
      </w:r>
      <w:r w:rsidRPr="00FA26C2">
        <w:rPr>
          <w:bCs/>
        </w:rPr>
        <w:t>estabelec</w:t>
      </w:r>
      <w:r>
        <w:rPr>
          <w:bCs/>
        </w:rPr>
        <w:t>ido</w:t>
      </w:r>
      <w:r w:rsidRPr="00FA26C2">
        <w:rPr>
          <w:bCs/>
        </w:rPr>
        <w:t xml:space="preserve"> um marco</w:t>
      </w:r>
      <w:r>
        <w:rPr>
          <w:bCs/>
        </w:rPr>
        <w:t xml:space="preserve"> </w:t>
      </w:r>
      <w:r w:rsidRPr="00FA26C2">
        <w:rPr>
          <w:bCs/>
        </w:rPr>
        <w:t xml:space="preserve">jurídico capaz de responder aos impactos sociais, econômicos e éticos dessa tecnologia. </w:t>
      </w:r>
    </w:p>
    <w:p w14:paraId="0FAF6AF4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B7497D">
        <w:rPr>
          <w:bCs/>
        </w:rPr>
        <w:t>Visando suprir essa lacuna, diferentes proposições parlamentares foram apresentadas, revelando um movimento normativo em busca de equilíbrio entre segurança jurídica, inovação e proteção de direitos. Dentre essas proposições, destaca-se o Projeto de Lei nº 2.338/2023, que vem sendo</w:t>
      </w:r>
      <w:r>
        <w:rPr>
          <w:bCs/>
        </w:rPr>
        <w:t xml:space="preserve"> </w:t>
      </w:r>
      <w:r w:rsidRPr="00B7497D">
        <w:rPr>
          <w:bCs/>
        </w:rPr>
        <w:t>consolidado como a principal base para a elaboração de um marco regulatório nacional da inteligência artificial.</w:t>
      </w:r>
    </w:p>
    <w:p w14:paraId="57A6D3C1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B7497D">
        <w:rPr>
          <w:bCs/>
        </w:rPr>
        <w:t>A proposta legislativa fundamenta-se em princípios e diretrizes estruturantes, buscando conciliar dois eixos centrais: de um lado, assegurar a tutela de direitos fundamentais, como a privacidade, a transparência e a não discriminação; de outro, fomentar o avanço tecnológico, incentivando a pesquisa científica, o empreendedorismo e a criação de soluções em inteligência artificial aplicáveis a múltiplos setores da sociedade.</w:t>
      </w:r>
    </w:p>
    <w:p w14:paraId="36166709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B7497D">
        <w:rPr>
          <w:bCs/>
        </w:rPr>
        <w:t xml:space="preserve">A formulação da proposta atual decorre de um processo abrangente de </w:t>
      </w:r>
      <w:r>
        <w:rPr>
          <w:bCs/>
        </w:rPr>
        <w:t>consulta a</w:t>
      </w:r>
      <w:r w:rsidRPr="00B7497D">
        <w:rPr>
          <w:bCs/>
        </w:rPr>
        <w:t xml:space="preserve"> </w:t>
      </w:r>
      <w:r>
        <w:rPr>
          <w:bCs/>
        </w:rPr>
        <w:t>instituições</w:t>
      </w:r>
      <w:r w:rsidRPr="00B7497D">
        <w:rPr>
          <w:bCs/>
        </w:rPr>
        <w:t xml:space="preserve"> e</w:t>
      </w:r>
      <w:r>
        <w:rPr>
          <w:bCs/>
        </w:rPr>
        <w:t xml:space="preserve"> à</w:t>
      </w:r>
      <w:r w:rsidRPr="00B7497D">
        <w:rPr>
          <w:bCs/>
        </w:rPr>
        <w:t xml:space="preserve"> soci</w:t>
      </w:r>
      <w:r>
        <w:rPr>
          <w:bCs/>
        </w:rPr>
        <w:t>edade</w:t>
      </w:r>
      <w:r w:rsidRPr="00B7497D">
        <w:rPr>
          <w:bCs/>
        </w:rPr>
        <w:t>,</w:t>
      </w:r>
      <w:r>
        <w:rPr>
          <w:bCs/>
        </w:rPr>
        <w:t xml:space="preserve"> tendo, ainda, </w:t>
      </w:r>
      <w:r w:rsidRPr="00B7497D">
        <w:rPr>
          <w:bCs/>
        </w:rPr>
        <w:t>incorpor</w:t>
      </w:r>
      <w:r>
        <w:rPr>
          <w:bCs/>
        </w:rPr>
        <w:t>ado</w:t>
      </w:r>
      <w:r w:rsidRPr="00B7497D">
        <w:rPr>
          <w:bCs/>
        </w:rPr>
        <w:t xml:space="preserve"> contribuições relevantes de especialistas, representantes do setor produtivo, da comunidade acadêmica, da sociedade civil e de diversas entidades públicas.</w:t>
      </w:r>
      <w:r>
        <w:rPr>
          <w:bCs/>
        </w:rPr>
        <w:t xml:space="preserve"> </w:t>
      </w:r>
      <w:r w:rsidRPr="00B7497D">
        <w:rPr>
          <w:bCs/>
        </w:rPr>
        <w:t xml:space="preserve">Além disso, o </w:t>
      </w:r>
      <w:r>
        <w:rPr>
          <w:bCs/>
        </w:rPr>
        <w:t xml:space="preserve">processo legislativo </w:t>
      </w:r>
      <w:r w:rsidRPr="00B7497D">
        <w:rPr>
          <w:bCs/>
        </w:rPr>
        <w:t>levou em conta o histórico de iniciativas já desenvolvidas nos diferentes Poderes da República</w:t>
      </w:r>
      <w:r>
        <w:rPr>
          <w:bCs/>
        </w:rPr>
        <w:t>, com destaque, n</w:t>
      </w:r>
      <w:r w:rsidRPr="00B7497D">
        <w:rPr>
          <w:bCs/>
        </w:rPr>
        <w:t xml:space="preserve">o âmbito do Executivo, </w:t>
      </w:r>
      <w:r>
        <w:rPr>
          <w:bCs/>
        </w:rPr>
        <w:t xml:space="preserve">para a </w:t>
      </w:r>
      <w:r w:rsidRPr="00B7497D">
        <w:rPr>
          <w:bCs/>
        </w:rPr>
        <w:t xml:space="preserve">Estratégia Brasileira de Inteligência Artificial (EBIA), instituída pela Portaria MCTI nº 4.617/2021 (BRASIL, 2021a); </w:t>
      </w:r>
      <w:r>
        <w:rPr>
          <w:bCs/>
        </w:rPr>
        <w:t xml:space="preserve">e </w:t>
      </w:r>
      <w:r w:rsidRPr="00B7497D">
        <w:rPr>
          <w:bCs/>
        </w:rPr>
        <w:t>no Judiciário, a Resolução CNJ nº 332/2020, que disciplina o uso da inteligência artificial na prestação jurisdicional.</w:t>
      </w:r>
    </w:p>
    <w:p w14:paraId="147B8888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  <w:t>Ainda, o</w:t>
      </w:r>
      <w:r w:rsidRPr="00730B44">
        <w:rPr>
          <w:bCs/>
        </w:rPr>
        <w:t xml:space="preserve"> </w:t>
      </w:r>
      <w:r>
        <w:rPr>
          <w:bCs/>
        </w:rPr>
        <w:t xml:space="preserve">Projeto de Lei nº </w:t>
      </w:r>
      <w:r w:rsidRPr="00BA1B86">
        <w:rPr>
          <w:bCs/>
        </w:rPr>
        <w:t>2.338/2023</w:t>
      </w:r>
      <w:r>
        <w:rPr>
          <w:bCs/>
        </w:rPr>
        <w:t xml:space="preserve"> </w:t>
      </w:r>
      <w:r w:rsidRPr="00730B44">
        <w:rPr>
          <w:bCs/>
        </w:rPr>
        <w:t xml:space="preserve">propõe a integração e substituição de outros projetos legislativos correlatos, unificando abordagens principiológicas e prescritivas. </w:t>
      </w:r>
    </w:p>
    <w:p w14:paraId="62318F16" w14:textId="77777777" w:rsidR="00886427" w:rsidRPr="009667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730B44">
        <w:rPr>
          <w:bCs/>
        </w:rPr>
        <w:t xml:space="preserve">O texto consolida normas sobre conceitos, categorização de riscos, governança, responsabilidade civil e fiscalização, ao mesmo tempo em que aborda aspectos específicos, como o uso de sistemas de IA em contextos profissionais </w:t>
      </w:r>
      <w:r>
        <w:rPr>
          <w:bCs/>
        </w:rPr>
        <w:t>–</w:t>
      </w:r>
      <w:r w:rsidRPr="00730B44">
        <w:rPr>
          <w:bCs/>
        </w:rPr>
        <w:t xml:space="preserve"> </w:t>
      </w:r>
      <w:r>
        <w:rPr>
          <w:bCs/>
        </w:rPr>
        <w:t xml:space="preserve">como </w:t>
      </w:r>
      <w:r w:rsidRPr="00730B44">
        <w:rPr>
          <w:bCs/>
        </w:rPr>
        <w:t>medicina, advocacia</w:t>
      </w:r>
      <w:r>
        <w:rPr>
          <w:bCs/>
        </w:rPr>
        <w:t xml:space="preserve"> e</w:t>
      </w:r>
      <w:r w:rsidRPr="00730B44">
        <w:rPr>
          <w:bCs/>
        </w:rPr>
        <w:t xml:space="preserve"> judicatura </w:t>
      </w:r>
      <w:r w:rsidRPr="00966727">
        <w:rPr>
          <w:bCs/>
        </w:rPr>
        <w:t>–</w:t>
      </w:r>
      <w:r w:rsidRPr="00730B44">
        <w:rPr>
          <w:bCs/>
        </w:rPr>
        <w:t xml:space="preserve"> e temas sensíveis, como publicidade, </w:t>
      </w:r>
      <w:proofErr w:type="spellStart"/>
      <w:r w:rsidRPr="00BA1B86">
        <w:rPr>
          <w:bCs/>
          <w:i/>
          <w:iCs/>
        </w:rPr>
        <w:t>deepfakes</w:t>
      </w:r>
      <w:proofErr w:type="spellEnd"/>
      <w:r w:rsidRPr="00730B44">
        <w:rPr>
          <w:bCs/>
        </w:rPr>
        <w:t xml:space="preserve"> e proteção de dados pessoais.</w:t>
      </w:r>
    </w:p>
    <w:p w14:paraId="224B3C59" w14:textId="77777777" w:rsidR="00886427" w:rsidRPr="00966727" w:rsidRDefault="00886427" w:rsidP="00886427">
      <w:pPr>
        <w:tabs>
          <w:tab w:val="left" w:pos="851"/>
        </w:tabs>
        <w:spacing w:line="360" w:lineRule="auto"/>
        <w:rPr>
          <w:bCs/>
        </w:rPr>
      </w:pPr>
      <w:r w:rsidRPr="00966727">
        <w:rPr>
          <w:bCs/>
        </w:rPr>
        <w:tab/>
      </w:r>
      <w:r w:rsidRPr="00730B44">
        <w:rPr>
          <w:bCs/>
        </w:rPr>
        <w:t xml:space="preserve">O resultado esperado é a criação de um marco normativo coerente, ético e tecnicamente orientado, capaz de oferecer segurança jurídica, estimular a inovação e alinhar o </w:t>
      </w:r>
      <w:r w:rsidRPr="00730B44">
        <w:rPr>
          <w:bCs/>
        </w:rPr>
        <w:lastRenderedPageBreak/>
        <w:t>Brasil às boas práticas internacionais no campo da regulação da inteligência artificial (OECD, 2019; UNESCO, 2021; BRASIL, 2023).</w:t>
      </w:r>
    </w:p>
    <w:p w14:paraId="3B56F7C0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 w:rsidRPr="00966727">
        <w:rPr>
          <w:bCs/>
        </w:rPr>
        <w:tab/>
        <w:t>Com base nas informações mais recentes do Senado Federal e da Câmara dos Deputados, observa-se que o Projeto de Lei nº 2.338/2023, que trata da regulamentação da inteligência artificial no Brasil, encontra-se em avançado estágio de tramitação no Congresso Nacional.</w:t>
      </w:r>
    </w:p>
    <w:p w14:paraId="126B5D4A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966727">
        <w:rPr>
          <w:bCs/>
        </w:rPr>
        <w:t>No âmbito do Senado Federal, o projeto foi autuado em 3 de maio de 2023 e, após tramitar na Comissão Temporária Interna sobre Inteligência Artificial (CTIA), teve seu substitutivo aprovado em plenário em 10 de dezembro de 2024. Com essa deliberação, encerrou-se formalmente a tramitação da matéria naquela Casa Legislativa, e o texto foi então remetido à Câmara dos Deputados para prosseguimento do processo legislativo.</w:t>
      </w:r>
    </w:p>
    <w:p w14:paraId="3BE69FDF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966727">
        <w:rPr>
          <w:bCs/>
        </w:rPr>
        <w:t xml:space="preserve">Na Câmara, o texto aprovado pelo Senado foi oficialmente recebido em 17 de março de 2025. Em abril do mesmo ano, foi constituída uma Comissão Especial destinada à </w:t>
      </w:r>
      <w:r>
        <w:rPr>
          <w:bCs/>
        </w:rPr>
        <w:t xml:space="preserve">sua </w:t>
      </w:r>
      <w:r w:rsidRPr="00966727">
        <w:rPr>
          <w:bCs/>
        </w:rPr>
        <w:t>análise, reunindo diversas comissões temáticas sob regime de tramitação prioritária, dado o caráter estratégico da matéria.</w:t>
      </w:r>
      <w:r>
        <w:rPr>
          <w:bCs/>
        </w:rPr>
        <w:t xml:space="preserve"> </w:t>
      </w:r>
      <w:r w:rsidRPr="00966727">
        <w:rPr>
          <w:bCs/>
        </w:rPr>
        <w:t>No mês seguinte, maio de 2025, foi designado como relator. Desde então, a Comissão tem promovido a realização de audiências públicas e seminários regionais, com o objetivo de ampliar a participação social no processo de debate e construção do marco normativo.</w:t>
      </w:r>
    </w:p>
    <w:p w14:paraId="19900C80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966727">
        <w:rPr>
          <w:bCs/>
        </w:rPr>
        <w:t xml:space="preserve">Em resumo, o projeto </w:t>
      </w:r>
      <w:r>
        <w:rPr>
          <w:bCs/>
        </w:rPr>
        <w:t xml:space="preserve">de lei </w:t>
      </w:r>
      <w:r w:rsidRPr="00966727">
        <w:rPr>
          <w:bCs/>
        </w:rPr>
        <w:t xml:space="preserve">já teve sua tramitação concluída no Senado Federal, com a aprovação de um substitutivo em plenário, e atualmente encontra-se em análise na Câmara dos Deputados, sob responsabilidade de Comissão Especial que conduz audiências públicas e debates técnicos com vistas à consolidação de um marco legal </w:t>
      </w:r>
      <w:r>
        <w:rPr>
          <w:bCs/>
        </w:rPr>
        <w:t>consistente</w:t>
      </w:r>
      <w:r w:rsidRPr="00966727">
        <w:rPr>
          <w:bCs/>
        </w:rPr>
        <w:t>, ético e compatível com os desafios e potencialidades da inteligência artificial no Brasil.</w:t>
      </w:r>
    </w:p>
    <w:p w14:paraId="463C3FD9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</w:p>
    <w:p w14:paraId="106A4E43" w14:textId="77777777" w:rsidR="00886427" w:rsidRDefault="00886427" w:rsidP="00886427">
      <w:pPr>
        <w:tabs>
          <w:tab w:val="left" w:pos="851"/>
        </w:tabs>
        <w:spacing w:line="360" w:lineRule="auto"/>
        <w:ind w:left="360"/>
        <w:rPr>
          <w:b/>
          <w:bCs/>
        </w:rPr>
      </w:pPr>
      <w:r>
        <w:rPr>
          <w:b/>
        </w:rPr>
        <w:t xml:space="preserve">4.3. </w:t>
      </w:r>
      <w:r>
        <w:rPr>
          <w:b/>
          <w:bCs/>
        </w:rPr>
        <w:t xml:space="preserve">Comparativo entre a proposta legislativa constante do </w:t>
      </w:r>
      <w:r w:rsidRPr="00730B44">
        <w:rPr>
          <w:b/>
          <w:bCs/>
        </w:rPr>
        <w:t>Projeto de Lei nº 2.338/2023</w:t>
      </w:r>
      <w:r>
        <w:rPr>
          <w:b/>
          <w:bCs/>
        </w:rPr>
        <w:t xml:space="preserve">, aprovado pelo Senado, e a </w:t>
      </w:r>
      <w:r w:rsidRPr="007167B5">
        <w:rPr>
          <w:b/>
          <w:bCs/>
        </w:rPr>
        <w:t xml:space="preserve">Convenção-Quadro </w:t>
      </w:r>
      <w:r>
        <w:rPr>
          <w:b/>
          <w:bCs/>
        </w:rPr>
        <w:t>d</w:t>
      </w:r>
      <w:r w:rsidRPr="007167B5">
        <w:rPr>
          <w:b/>
          <w:bCs/>
        </w:rPr>
        <w:t xml:space="preserve">o Conselho </w:t>
      </w:r>
      <w:r>
        <w:rPr>
          <w:b/>
          <w:bCs/>
        </w:rPr>
        <w:t>d</w:t>
      </w:r>
      <w:r w:rsidRPr="007167B5">
        <w:rPr>
          <w:b/>
          <w:bCs/>
        </w:rPr>
        <w:t>a Europa</w:t>
      </w:r>
      <w:r>
        <w:rPr>
          <w:b/>
          <w:bCs/>
        </w:rPr>
        <w:t xml:space="preserve"> Sobre IA.</w:t>
      </w:r>
    </w:p>
    <w:p w14:paraId="59491F6E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  <w:t>C</w:t>
      </w:r>
      <w:r w:rsidRPr="007167B5">
        <w:rPr>
          <w:bCs/>
        </w:rPr>
        <w:t>ompara</w:t>
      </w:r>
      <w:r>
        <w:rPr>
          <w:bCs/>
        </w:rPr>
        <w:t xml:space="preserve">ndo </w:t>
      </w:r>
      <w:r w:rsidRPr="007167B5">
        <w:rPr>
          <w:bCs/>
        </w:rPr>
        <w:t xml:space="preserve">a proposta legislativa constante do Projeto de Lei nº 2.338/2023, aprovado pelo Senado, </w:t>
      </w:r>
      <w:r>
        <w:rPr>
          <w:bCs/>
        </w:rPr>
        <w:t xml:space="preserve">com </w:t>
      </w:r>
      <w:r w:rsidRPr="007167B5">
        <w:rPr>
          <w:bCs/>
        </w:rPr>
        <w:t>a Convenção-Quadro do Conselho da Europa Sobre IA</w:t>
      </w:r>
      <w:r>
        <w:rPr>
          <w:bCs/>
        </w:rPr>
        <w:t xml:space="preserve">, observa-se a existência de </w:t>
      </w:r>
      <w:r w:rsidRPr="007167B5">
        <w:rPr>
          <w:bCs/>
        </w:rPr>
        <w:t>convergências normativas e diferenças de abordagem quanto à regulação da inteligência artificial (IA), especialmente nos temas da proteção de direitos fundamentais, governança, proporcionalidade regulatória e participação democrática.</w:t>
      </w:r>
      <w:r>
        <w:rPr>
          <w:bCs/>
        </w:rPr>
        <w:t xml:space="preserve"> </w:t>
      </w:r>
    </w:p>
    <w:p w14:paraId="6547968D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lastRenderedPageBreak/>
        <w:tab/>
      </w:r>
      <w:r w:rsidRPr="007167B5">
        <w:rPr>
          <w:bCs/>
        </w:rPr>
        <w:t xml:space="preserve">Ambos os documentos adotam como eixo central a promoção e a proteção dos direitos humanos. </w:t>
      </w:r>
    </w:p>
    <w:p w14:paraId="06678607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DF2531">
        <w:rPr>
          <w:bCs/>
        </w:rPr>
        <w:t xml:space="preserve">O Projeto de Lei nº 2.338/2023 parte de uma abordagem nacional, ancorada nos princípios constitucionais da dignidade da pessoa humana, da liberdade, da igualdade, da não discriminação e da intimidade </w:t>
      </w:r>
      <w:r>
        <w:rPr>
          <w:bCs/>
        </w:rPr>
        <w:t>–</w:t>
      </w:r>
      <w:r w:rsidRPr="00DF2531">
        <w:rPr>
          <w:bCs/>
        </w:rPr>
        <w:t xml:space="preserve"> esta última especialmente concretizada por meio da proteção de dados pessoais. A proposta normativa adota uma lógica de regulação baseada em riscos, com a previsão de medidas proporcionais ao potencial lesivo de cada sistema de inteligência artificial. Por sua vez, a Convenção-Quadro, adotada pelo Comitê de Ministros do Conselho da Europa, configura um instrumento internacional vinculante, estruturado sobre os pilares da democracia, do Estado de Direito e dos direitos humanos, inspirando-se nas diretrizes da OCDE, nos trabalhos da CAHAI e na jurisprudência consolidada da Corte Europeia de Direitos Humanos.</w:t>
      </w:r>
    </w:p>
    <w:p w14:paraId="4C8D761C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7167B5">
        <w:rPr>
          <w:bCs/>
        </w:rPr>
        <w:t xml:space="preserve">Ambos os textos enfatizam a necessidade de garantir a transparência algorítmica, a auditabilidade, a supervisão humana significativa e a responsabilização dos agentes envolvidos no ciclo de vida dos sistemas de IA. O </w:t>
      </w:r>
      <w:r>
        <w:rPr>
          <w:bCs/>
        </w:rPr>
        <w:t>projeto de lei brasileiro</w:t>
      </w:r>
      <w:r w:rsidRPr="007167B5">
        <w:rPr>
          <w:bCs/>
        </w:rPr>
        <w:t xml:space="preserve"> sugere</w:t>
      </w:r>
      <w:r>
        <w:rPr>
          <w:bCs/>
        </w:rPr>
        <w:t xml:space="preserve">, </w:t>
      </w:r>
      <w:r w:rsidRPr="007167B5">
        <w:rPr>
          <w:bCs/>
        </w:rPr>
        <w:t>ainda</w:t>
      </w:r>
      <w:r>
        <w:rPr>
          <w:bCs/>
        </w:rPr>
        <w:t xml:space="preserve">, </w:t>
      </w:r>
      <w:r w:rsidRPr="007167B5">
        <w:rPr>
          <w:bCs/>
        </w:rPr>
        <w:t>a criação de autoridades administrativas independentes, bem como instrumentos de regulação responsiva e abertura para a inovação regulatória</w:t>
      </w:r>
      <w:r>
        <w:rPr>
          <w:bCs/>
        </w:rPr>
        <w:t xml:space="preserve"> –</w:t>
      </w:r>
      <w:r w:rsidRPr="007167B5">
        <w:rPr>
          <w:bCs/>
        </w:rPr>
        <w:t xml:space="preserve"> como </w:t>
      </w:r>
      <w:proofErr w:type="spellStart"/>
      <w:r w:rsidRPr="004E377B">
        <w:rPr>
          <w:bCs/>
          <w:i/>
          <w:iCs/>
        </w:rPr>
        <w:t>sandboxes</w:t>
      </w:r>
      <w:proofErr w:type="spellEnd"/>
      <w:r>
        <w:rPr>
          <w:rStyle w:val="Refdenotaderodap"/>
          <w:bCs/>
          <w:i/>
          <w:iCs/>
        </w:rPr>
        <w:footnoteReference w:id="3"/>
      </w:r>
      <w:r w:rsidRPr="007167B5">
        <w:rPr>
          <w:bCs/>
        </w:rPr>
        <w:t xml:space="preserve">. A </w:t>
      </w:r>
      <w:r w:rsidRPr="007167B5">
        <w:t>Convenção-Quadro</w:t>
      </w:r>
      <w:r w:rsidRPr="007167B5">
        <w:rPr>
          <w:bCs/>
        </w:rPr>
        <w:t xml:space="preserve"> europeia, por sua vez, é mais incisiva ao exigir testes de impacto em direitos humanos, mecanismos formais de recurso, regulação </w:t>
      </w:r>
      <w:proofErr w:type="spellStart"/>
      <w:r w:rsidRPr="004E377B">
        <w:rPr>
          <w:bCs/>
          <w:i/>
          <w:iCs/>
        </w:rPr>
        <w:t>ex</w:t>
      </w:r>
      <w:proofErr w:type="spellEnd"/>
      <w:r w:rsidRPr="004E377B">
        <w:rPr>
          <w:bCs/>
          <w:i/>
          <w:iCs/>
        </w:rPr>
        <w:t xml:space="preserve"> ante</w:t>
      </w:r>
      <w:r w:rsidRPr="007167B5">
        <w:rPr>
          <w:bCs/>
        </w:rPr>
        <w:t xml:space="preserve"> para casos de risco significativo</w:t>
      </w:r>
      <w:r>
        <w:rPr>
          <w:bCs/>
        </w:rPr>
        <w:t xml:space="preserve"> – o que, de alguma forma, se aproxima do modelo de </w:t>
      </w:r>
      <w:proofErr w:type="spellStart"/>
      <w:r w:rsidRPr="004E377B">
        <w:rPr>
          <w:bCs/>
          <w:i/>
          <w:iCs/>
        </w:rPr>
        <w:t>sandboxes</w:t>
      </w:r>
      <w:proofErr w:type="spellEnd"/>
      <w:r w:rsidRPr="007167B5">
        <w:rPr>
          <w:bCs/>
        </w:rPr>
        <w:t xml:space="preserve"> </w:t>
      </w:r>
      <w:r>
        <w:rPr>
          <w:bCs/>
        </w:rPr>
        <w:t xml:space="preserve">adotado pelo projeto brasileiro – </w:t>
      </w:r>
      <w:r w:rsidRPr="007167B5">
        <w:rPr>
          <w:bCs/>
        </w:rPr>
        <w:t>e mecanismos independentes de fiscalização.</w:t>
      </w:r>
    </w:p>
    <w:p w14:paraId="69F8F985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7167B5">
        <w:rPr>
          <w:bCs/>
        </w:rPr>
        <w:t xml:space="preserve">No que tange à governança, o </w:t>
      </w:r>
      <w:r>
        <w:rPr>
          <w:bCs/>
        </w:rPr>
        <w:t>Projeto de Lei n</w:t>
      </w:r>
      <w:r>
        <w:rPr>
          <w:bCs/>
          <w:sz w:val="26"/>
          <w:szCs w:val="26"/>
        </w:rPr>
        <w:t xml:space="preserve">º </w:t>
      </w:r>
      <w:r w:rsidRPr="007167B5">
        <w:t>2.338/2023</w:t>
      </w:r>
      <w:r>
        <w:rPr>
          <w:bCs/>
        </w:rPr>
        <w:t xml:space="preserve"> </w:t>
      </w:r>
      <w:r w:rsidRPr="007167B5">
        <w:rPr>
          <w:bCs/>
        </w:rPr>
        <w:t xml:space="preserve">destaca o papel da legislação infraconstitucional para </w:t>
      </w:r>
      <w:r>
        <w:rPr>
          <w:bCs/>
        </w:rPr>
        <w:t>construção de</w:t>
      </w:r>
      <w:r w:rsidRPr="007167B5">
        <w:rPr>
          <w:bCs/>
        </w:rPr>
        <w:t xml:space="preserve"> uma regulação</w:t>
      </w:r>
      <w:r>
        <w:rPr>
          <w:bCs/>
        </w:rPr>
        <w:t xml:space="preserve"> </w:t>
      </w:r>
      <w:r w:rsidRPr="007167B5">
        <w:rPr>
          <w:bCs/>
        </w:rPr>
        <w:t>harmônica</w:t>
      </w:r>
      <w:r>
        <w:rPr>
          <w:bCs/>
        </w:rPr>
        <w:t>, capaz de</w:t>
      </w:r>
      <w:r w:rsidRPr="007167B5">
        <w:rPr>
          <w:bCs/>
        </w:rPr>
        <w:t xml:space="preserve"> dialog</w:t>
      </w:r>
      <w:r>
        <w:rPr>
          <w:bCs/>
        </w:rPr>
        <w:t>ar</w:t>
      </w:r>
      <w:r w:rsidRPr="007167B5">
        <w:rPr>
          <w:bCs/>
        </w:rPr>
        <w:t xml:space="preserve"> com a sociedade civil, o setor produtivo e os órgãos do Estado</w:t>
      </w:r>
      <w:r>
        <w:rPr>
          <w:bCs/>
        </w:rPr>
        <w:t>, e</w:t>
      </w:r>
      <w:r w:rsidRPr="007167B5">
        <w:rPr>
          <w:bCs/>
        </w:rPr>
        <w:t xml:space="preserve"> </w:t>
      </w:r>
      <w:r>
        <w:rPr>
          <w:bCs/>
        </w:rPr>
        <w:t>r</w:t>
      </w:r>
      <w:r w:rsidRPr="007167B5">
        <w:rPr>
          <w:bCs/>
        </w:rPr>
        <w:t xml:space="preserve">econhece a necessidade de </w:t>
      </w:r>
      <w:r w:rsidRPr="007167B5">
        <w:rPr>
          <w:bCs/>
        </w:rPr>
        <w:lastRenderedPageBreak/>
        <w:t xml:space="preserve">incluir medidas específicas para setores sensíveis, como saúde, segurança pública e justiça. </w:t>
      </w:r>
      <w:r>
        <w:rPr>
          <w:bCs/>
        </w:rPr>
        <w:t>Já</w:t>
      </w:r>
      <w:r w:rsidRPr="007167B5">
        <w:rPr>
          <w:bCs/>
        </w:rPr>
        <w:t xml:space="preserve"> </w:t>
      </w:r>
      <w:r>
        <w:rPr>
          <w:bCs/>
        </w:rPr>
        <w:t xml:space="preserve">a Convenção-Quadro </w:t>
      </w:r>
      <w:r w:rsidRPr="007167B5">
        <w:rPr>
          <w:bCs/>
        </w:rPr>
        <w:t xml:space="preserve">propõe uma governança multinível, com responsabilidade compartilhada entre Estados, desenvolvedores, fornecedores e usuários de sistemas de IA, e determina que o setor público adote </w:t>
      </w:r>
      <w:r>
        <w:rPr>
          <w:bCs/>
        </w:rPr>
        <w:t>parâmetros</w:t>
      </w:r>
      <w:r w:rsidRPr="007167B5">
        <w:rPr>
          <w:bCs/>
        </w:rPr>
        <w:t xml:space="preserve"> normativ</w:t>
      </w:r>
      <w:r>
        <w:rPr>
          <w:bCs/>
        </w:rPr>
        <w:t>o</w:t>
      </w:r>
      <w:r w:rsidRPr="007167B5">
        <w:rPr>
          <w:bCs/>
        </w:rPr>
        <w:t>s rígid</w:t>
      </w:r>
      <w:r>
        <w:rPr>
          <w:bCs/>
        </w:rPr>
        <w:t>o</w:t>
      </w:r>
      <w:r w:rsidRPr="007167B5">
        <w:rPr>
          <w:bCs/>
        </w:rPr>
        <w:t>s quando empregar tais tecnologias.</w:t>
      </w:r>
    </w:p>
    <w:p w14:paraId="0F894BFF" w14:textId="77777777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  <w:t>No que se refere</w:t>
      </w:r>
      <w:r w:rsidRPr="007167B5">
        <w:rPr>
          <w:bCs/>
        </w:rPr>
        <w:t xml:space="preserve"> à implementação, </w:t>
      </w:r>
      <w:r>
        <w:rPr>
          <w:bCs/>
        </w:rPr>
        <w:t>a abordagem proposta pelo</w:t>
      </w:r>
      <w:r w:rsidRPr="007167B5">
        <w:rPr>
          <w:bCs/>
        </w:rPr>
        <w:t xml:space="preserve"> </w:t>
      </w:r>
      <w:r>
        <w:rPr>
          <w:bCs/>
        </w:rPr>
        <w:t>projeto de lei</w:t>
      </w:r>
      <w:r w:rsidRPr="007167B5">
        <w:rPr>
          <w:bCs/>
        </w:rPr>
        <w:t xml:space="preserve"> brasileiro </w:t>
      </w:r>
      <w:r>
        <w:rPr>
          <w:bCs/>
        </w:rPr>
        <w:t xml:space="preserve">é mais </w:t>
      </w:r>
      <w:r w:rsidRPr="007167B5">
        <w:rPr>
          <w:bCs/>
        </w:rPr>
        <w:t>pragmática e incremental, voltada ao fortalecimento do ecossistema nacional de IA e à segurança jurídica</w:t>
      </w:r>
      <w:r>
        <w:rPr>
          <w:bCs/>
        </w:rPr>
        <w:t>; v</w:t>
      </w:r>
      <w:r w:rsidRPr="007167B5">
        <w:rPr>
          <w:bCs/>
        </w:rPr>
        <w:t>aloriza</w:t>
      </w:r>
      <w:r>
        <w:rPr>
          <w:bCs/>
        </w:rPr>
        <w:t xml:space="preserve"> </w:t>
      </w:r>
      <w:r w:rsidRPr="007167B5">
        <w:rPr>
          <w:bCs/>
        </w:rPr>
        <w:t xml:space="preserve">a participação social na formulação normativa e propõe um modelo de regulação adaptável. Em contrapartida, a </w:t>
      </w:r>
      <w:r>
        <w:rPr>
          <w:bCs/>
        </w:rPr>
        <w:t>Convenção-Quadro</w:t>
      </w:r>
      <w:r w:rsidRPr="007167B5">
        <w:rPr>
          <w:bCs/>
        </w:rPr>
        <w:t xml:space="preserve"> exige dos Estados signatários</w:t>
      </w:r>
      <w:r>
        <w:rPr>
          <w:bCs/>
        </w:rPr>
        <w:t xml:space="preserve"> </w:t>
      </w:r>
      <w:r w:rsidRPr="007167B5">
        <w:rPr>
          <w:bCs/>
        </w:rPr>
        <w:t>compromissos jurídicos robustos, com ênfase em medidas protetivas e mecanismos internacionais de supervisão e cooperação.</w:t>
      </w:r>
    </w:p>
    <w:p w14:paraId="0E026C8D" w14:textId="77777777" w:rsidR="00FD13D0" w:rsidRDefault="00FD13D0" w:rsidP="00886427">
      <w:pPr>
        <w:tabs>
          <w:tab w:val="left" w:pos="851"/>
        </w:tabs>
        <w:spacing w:line="360" w:lineRule="auto"/>
        <w:rPr>
          <w:bCs/>
        </w:rPr>
      </w:pPr>
    </w:p>
    <w:p w14:paraId="55DA4529" w14:textId="7C28B458" w:rsidR="00FD13D0" w:rsidRPr="00FD13D0" w:rsidRDefault="003B619D" w:rsidP="00FD13D0">
      <w:pPr>
        <w:pStyle w:val="PargrafodaLista"/>
        <w:numPr>
          <w:ilvl w:val="0"/>
          <w:numId w:val="3"/>
        </w:numPr>
        <w:tabs>
          <w:tab w:val="left" w:pos="851"/>
        </w:tabs>
        <w:spacing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Conclusões</w:t>
      </w:r>
    </w:p>
    <w:p w14:paraId="21351F99" w14:textId="409B82F0" w:rsidR="00886427" w:rsidRDefault="00886427" w:rsidP="00886427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</w:r>
      <w:r w:rsidRPr="004E377B">
        <w:rPr>
          <w:bCs/>
        </w:rPr>
        <w:t>De modo geral, os dois instrumentos apresenta</w:t>
      </w:r>
      <w:r w:rsidR="00FD13D0">
        <w:rPr>
          <w:bCs/>
        </w:rPr>
        <w:t xml:space="preserve">dos </w:t>
      </w:r>
      <w:r w:rsidRPr="004E377B">
        <w:rPr>
          <w:bCs/>
        </w:rPr>
        <w:t>converg</w:t>
      </w:r>
      <w:r w:rsidR="00FD13D0">
        <w:rPr>
          <w:bCs/>
        </w:rPr>
        <w:t>em</w:t>
      </w:r>
      <w:r w:rsidRPr="004E377B">
        <w:rPr>
          <w:bCs/>
        </w:rPr>
        <w:t xml:space="preserve"> quanto aos fundamentos éticos e jurídicos que devem orientar a regulação da inteligência artificial, enfatizando a centralidade da dignidade humana, a necessidade de mitigação de riscos e a definição de mecanismos adequados de responsabilização. Enquanto o projeto de lei brasileiro privilegia a construção de um </w:t>
      </w:r>
      <w:r>
        <w:rPr>
          <w:bCs/>
        </w:rPr>
        <w:t xml:space="preserve">conjunto de normas internas, </w:t>
      </w:r>
      <w:r w:rsidRPr="004E377B">
        <w:rPr>
          <w:bCs/>
        </w:rPr>
        <w:t xml:space="preserve">pautado pelo equilíbrio entre inovação e proteção de direitos, a Convenção-Quadro do Conselho da Europa avança na definição de compromissos internacionais mais exigentes e vinculantes, funcionando como referência global para a formulação de políticas regulatórias em IA. </w:t>
      </w:r>
    </w:p>
    <w:p w14:paraId="50E18A03" w14:textId="2F4B01B2" w:rsidR="003B619D" w:rsidRPr="003B619D" w:rsidRDefault="00886427" w:rsidP="003B619D">
      <w:pPr>
        <w:tabs>
          <w:tab w:val="left" w:pos="851"/>
        </w:tabs>
        <w:spacing w:line="360" w:lineRule="auto"/>
        <w:rPr>
          <w:bCs/>
        </w:rPr>
      </w:pPr>
      <w:r>
        <w:rPr>
          <w:bCs/>
        </w:rPr>
        <w:tab/>
        <w:t>Por fim, a</w:t>
      </w:r>
      <w:r w:rsidRPr="004E377B">
        <w:rPr>
          <w:bCs/>
        </w:rPr>
        <w:t xml:space="preserve"> compatibilização entre essas iniciativas normativas mostra-se fundamental para que o Brasil consolide uma regulação alinhada aos mais altos parâmetros internacionais.</w:t>
      </w:r>
      <w:r w:rsidR="003B619D" w:rsidRPr="003B619D">
        <w:t xml:space="preserve"> </w:t>
      </w:r>
      <w:r w:rsidR="003B619D" w:rsidRPr="003B619D">
        <w:rPr>
          <w:bCs/>
        </w:rPr>
        <w:t xml:space="preserve">No contexto da compatibilização normativa entre o Projeto de Lei nº 2.338/2023 e a Convenção-Quadro do Conselho da Europa, é imprescindível reconhecer que a regulação da inteligência artificial não pode se dissociar das implicações sobre a propriedade intelectual. A utilização massiva de obras protegidas como insumo para treinamento de sistemas de IA, bem como a geração de conteúdos por modelos algorítmicos, desafia os limites tradicionais da autoria, da titularidade e da proteção jurídica. Como afirma </w:t>
      </w:r>
      <w:r w:rsidR="003B619D" w:rsidRPr="003B619D">
        <w:t>Pedro Marcos Nunes Barbosa,</w:t>
      </w:r>
      <w:r w:rsidR="003B619D" w:rsidRPr="003B619D">
        <w:rPr>
          <w:bCs/>
        </w:rPr>
        <w:t xml:space="preserve"> um dos principais doutrinadores brasileiros na área, “a inteligência artificial, ao operar sobre bancos de dados e obras preexistentes, tensiona o regime autoral ao exigir uma releitura dos critérios de originalidade e apropriação legítima”. A convergência entre os dois instrumentos regulatórios — um de caráter nacional e outro internacional — oferece uma oportunidade </w:t>
      </w:r>
      <w:r w:rsidR="003B619D" w:rsidRPr="003B619D">
        <w:rPr>
          <w:bCs/>
        </w:rPr>
        <w:lastRenderedPageBreak/>
        <w:t>estratégica para que o Brasil desenvolva soluções normativas que preservem os direitos dos criadores, assegurem transparência nos processos de uso e recombinação de obras protegidas, e promovam um ambiente de inovação responsável. A incorporação de princípios como rastreabilidade, consentimento informado e remuneração proporcional pode garantir que a propriedade intelectual não seja apenas preservada, mas também fortalecida na era algorítmica.</w:t>
      </w:r>
    </w:p>
    <w:p w14:paraId="0E09FFA2" w14:textId="777867A8" w:rsidR="00886427" w:rsidRPr="007167B5" w:rsidRDefault="00886427" w:rsidP="00886427">
      <w:pPr>
        <w:tabs>
          <w:tab w:val="left" w:pos="851"/>
        </w:tabs>
        <w:spacing w:line="360" w:lineRule="auto"/>
        <w:rPr>
          <w:bCs/>
        </w:rPr>
      </w:pPr>
    </w:p>
    <w:p w14:paraId="30A0B588" w14:textId="77777777" w:rsidR="00886427" w:rsidRPr="00966727" w:rsidRDefault="00886427" w:rsidP="00886427">
      <w:pPr>
        <w:tabs>
          <w:tab w:val="left" w:pos="851"/>
        </w:tabs>
        <w:spacing w:line="360" w:lineRule="auto"/>
        <w:rPr>
          <w:bCs/>
        </w:rPr>
      </w:pPr>
    </w:p>
    <w:p w14:paraId="2060E76B" w14:textId="6F605431" w:rsidR="00886427" w:rsidRPr="00F23479" w:rsidRDefault="00886427" w:rsidP="00F23479">
      <w:pPr>
        <w:pStyle w:val="PargrafodaLista"/>
        <w:numPr>
          <w:ilvl w:val="0"/>
          <w:numId w:val="3"/>
        </w:numPr>
        <w:spacing w:line="360" w:lineRule="auto"/>
        <w:rPr>
          <w:b/>
          <w:bCs/>
        </w:rPr>
      </w:pPr>
      <w:r w:rsidRPr="00F23479">
        <w:rPr>
          <w:b/>
          <w:bCs/>
        </w:rPr>
        <w:t>Referências</w:t>
      </w:r>
    </w:p>
    <w:p w14:paraId="440B0BA3" w14:textId="7842835D" w:rsidR="003B619D" w:rsidRPr="003B619D" w:rsidRDefault="003B619D" w:rsidP="00886427">
      <w:pPr>
        <w:numPr>
          <w:ilvl w:val="0"/>
          <w:numId w:val="4"/>
        </w:numPr>
        <w:spacing w:line="360" w:lineRule="auto"/>
      </w:pPr>
      <w:r w:rsidRPr="003B619D">
        <w:rPr>
          <w:b/>
          <w:bCs/>
        </w:rPr>
        <w:t>BARBOSA, Pedro Marcos Nunes.</w:t>
      </w:r>
      <w:r w:rsidRPr="003B619D">
        <w:t xml:space="preserve"> A sobreposição de direitos da propriedade intelectual na ordenação brasileira. </w:t>
      </w:r>
      <w:r w:rsidRPr="003B619D">
        <w:rPr>
          <w:i/>
          <w:iCs/>
        </w:rPr>
        <w:t>Denis Borges Barbosa Advogados</w:t>
      </w:r>
      <w:r w:rsidRPr="003B619D">
        <w:t>, 2024. Disponível em: Artigo completo em PDF. Acesso em: 07 set. 2025.</w:t>
      </w:r>
    </w:p>
    <w:p w14:paraId="409AB283" w14:textId="6D3C796C" w:rsidR="00886427" w:rsidRPr="00966727" w:rsidRDefault="00886427" w:rsidP="00886427">
      <w:pPr>
        <w:numPr>
          <w:ilvl w:val="0"/>
          <w:numId w:val="4"/>
        </w:numPr>
        <w:spacing w:line="360" w:lineRule="auto"/>
      </w:pPr>
      <w:r w:rsidRPr="00966727">
        <w:rPr>
          <w:b/>
          <w:bCs/>
        </w:rPr>
        <w:t>BRASIL</w:t>
      </w:r>
      <w:r w:rsidRPr="00966727">
        <w:t xml:space="preserve">. Decreto nº 9.319, de 21 de março de 2018. Aprova a Estratégia Brasileira para a Transformação Digital (E-Digital). Diário Oficial da União: seção 1, Brasília, DF, 22 mar. 2018. Disponível em: </w:t>
      </w:r>
      <w:hyperlink r:id="rId8" w:history="1">
        <w:r w:rsidRPr="00966727">
          <w:rPr>
            <w:rStyle w:val="Hyperlink"/>
          </w:rPr>
          <w:t>https://www.in.gov.br/materia/-/asset_publisher/Kujrw0TZC2Mb/content/id/11775955</w:t>
        </w:r>
      </w:hyperlink>
      <w:r>
        <w:t>.</w:t>
      </w:r>
      <w:r w:rsidRPr="00966727">
        <w:t xml:space="preserve"> Acesso em: 31 ago. 2025.</w:t>
      </w:r>
    </w:p>
    <w:p w14:paraId="09BF1FBD" w14:textId="77777777" w:rsidR="00886427" w:rsidRPr="00966727" w:rsidRDefault="00886427" w:rsidP="00886427">
      <w:pPr>
        <w:numPr>
          <w:ilvl w:val="0"/>
          <w:numId w:val="4"/>
        </w:numPr>
        <w:spacing w:line="360" w:lineRule="auto"/>
      </w:pPr>
      <w:r w:rsidRPr="00966727">
        <w:rPr>
          <w:b/>
          <w:bCs/>
        </w:rPr>
        <w:t>BRASIL</w:t>
      </w:r>
      <w:r w:rsidRPr="00966727">
        <w:t>. Ministério da Ciência, Tecnologia, Inovações e Comunicações. Portaria nº 1.556, de 26 de abril de 2018. Define áreas prioritárias para pesquisa, desenvolvimento e inovações. Diário Oficial da União, Brasília, DF, 27 abr. 2018.</w:t>
      </w:r>
    </w:p>
    <w:p w14:paraId="04314877" w14:textId="77777777" w:rsidR="00886427" w:rsidRPr="00966727" w:rsidRDefault="00886427" w:rsidP="00886427">
      <w:pPr>
        <w:numPr>
          <w:ilvl w:val="0"/>
          <w:numId w:val="4"/>
        </w:numPr>
        <w:spacing w:line="360" w:lineRule="auto"/>
      </w:pPr>
      <w:r w:rsidRPr="00966727">
        <w:rPr>
          <w:b/>
          <w:bCs/>
        </w:rPr>
        <w:t>BRASIL</w:t>
      </w:r>
      <w:r w:rsidRPr="00966727">
        <w:t>. Ministério da Ciência, Tecnologia e Inovações. Portaria nº 4.617, de 6 de abril de 2021. Institui a Estratégia Brasileira de Inteligência Artificial – EBIA. Diário Oficial da União: seção 1, Brasília, DF, 7 abr. 2021.</w:t>
      </w:r>
    </w:p>
    <w:p w14:paraId="71B5B68C" w14:textId="77777777" w:rsidR="00886427" w:rsidRPr="00504F4C" w:rsidRDefault="00886427" w:rsidP="00886427">
      <w:pPr>
        <w:numPr>
          <w:ilvl w:val="0"/>
          <w:numId w:val="4"/>
        </w:numPr>
        <w:spacing w:line="360" w:lineRule="auto"/>
      </w:pPr>
      <w:r w:rsidRPr="00966727">
        <w:rPr>
          <w:b/>
          <w:bCs/>
        </w:rPr>
        <w:t>BRASIL</w:t>
      </w:r>
      <w:r w:rsidRPr="00966727">
        <w:t xml:space="preserve">. Senado Federal. Projeto de Lei nº 2.338, de 2023. Dispõe sobre o uso da Inteligência Artificial no Brasil. Brasília, DF, 2023. Disponível em: </w:t>
      </w:r>
      <w:hyperlink r:id="rId9" w:history="1">
        <w:r w:rsidRPr="00966727">
          <w:rPr>
            <w:rStyle w:val="Hyperlink"/>
          </w:rPr>
          <w:t>https://www25.senado.leg.br/web/atividade/materias/-/materia/159132</w:t>
        </w:r>
      </w:hyperlink>
      <w:r w:rsidRPr="00966727">
        <w:t xml:space="preserve">. </w:t>
      </w:r>
      <w:proofErr w:type="spellStart"/>
      <w:r w:rsidRPr="00966727">
        <w:rPr>
          <w:lang w:val="en-US"/>
        </w:rPr>
        <w:t>Acesso</w:t>
      </w:r>
      <w:proofErr w:type="spellEnd"/>
      <w:r w:rsidRPr="00966727">
        <w:rPr>
          <w:lang w:val="en-US"/>
        </w:rPr>
        <w:t xml:space="preserve"> </w:t>
      </w:r>
      <w:proofErr w:type="spellStart"/>
      <w:r w:rsidRPr="00966727">
        <w:rPr>
          <w:lang w:val="en-US"/>
        </w:rPr>
        <w:t>em</w:t>
      </w:r>
      <w:proofErr w:type="spellEnd"/>
      <w:r w:rsidRPr="00966727">
        <w:rPr>
          <w:lang w:val="en-US"/>
        </w:rPr>
        <w:t>: 31 ago. 2025.</w:t>
      </w:r>
    </w:p>
    <w:p w14:paraId="63291756" w14:textId="77777777" w:rsidR="00886427" w:rsidRPr="003E21BD" w:rsidRDefault="00886427" w:rsidP="00886427">
      <w:pPr>
        <w:numPr>
          <w:ilvl w:val="0"/>
          <w:numId w:val="4"/>
        </w:numPr>
        <w:spacing w:line="360" w:lineRule="auto"/>
      </w:pPr>
      <w:r w:rsidRPr="00966727">
        <w:rPr>
          <w:b/>
          <w:bCs/>
        </w:rPr>
        <w:t>BRASIL</w:t>
      </w:r>
      <w:r w:rsidRPr="00966727">
        <w:t>. Senado Federal. Projeto de Lei nº 2.338, de 2023. Dispõe sobre o uso da Inteligência Artificial no Brasil. Brasília, DF, 2023. Disponível em:</w:t>
      </w:r>
      <w:r>
        <w:t xml:space="preserve"> </w:t>
      </w:r>
      <w:hyperlink r:id="rId10" w:history="1">
        <w:r w:rsidRPr="00F31C39">
          <w:rPr>
            <w:rStyle w:val="Hyperlink"/>
          </w:rPr>
          <w:t>https://www.camara.leg.br/proposicoesWeb/fichadetramitacao?idProposicao=2487262</w:t>
        </w:r>
      </w:hyperlink>
      <w:r>
        <w:t>. Acesso em: 02 set. 2025.</w:t>
      </w:r>
    </w:p>
    <w:p w14:paraId="3A712F76" w14:textId="77777777" w:rsidR="00886427" w:rsidRPr="00DA2CBD" w:rsidRDefault="00886427" w:rsidP="00886427">
      <w:pPr>
        <w:numPr>
          <w:ilvl w:val="0"/>
          <w:numId w:val="4"/>
        </w:numPr>
        <w:spacing w:line="360" w:lineRule="auto"/>
      </w:pPr>
      <w:r w:rsidRPr="00D76498">
        <w:rPr>
          <w:b/>
          <w:bCs/>
        </w:rPr>
        <w:t>BRASIL</w:t>
      </w:r>
      <w:r w:rsidRPr="00011AB9">
        <w:t xml:space="preserve">. </w:t>
      </w:r>
      <w:r w:rsidRPr="00D76498">
        <w:rPr>
          <w:i/>
          <w:iCs/>
        </w:rPr>
        <w:t>Lei Complementar nº 182, de 1º de junho de 2021</w:t>
      </w:r>
      <w:r w:rsidRPr="00011AB9">
        <w:t xml:space="preserve">. Institui o Marco Legal das </w:t>
      </w:r>
      <w:r w:rsidRPr="0066708A">
        <w:rPr>
          <w:i/>
          <w:iCs/>
        </w:rPr>
        <w:t>Startups</w:t>
      </w:r>
      <w:r w:rsidRPr="00011AB9">
        <w:t xml:space="preserve"> e do Empreendedorismo Inovador. Diário Oficial da União: seção 1, ed. </w:t>
      </w:r>
      <w:r w:rsidRPr="00011AB9">
        <w:lastRenderedPageBreak/>
        <w:t xml:space="preserve">extra, Brasília, DF, 1 jun. 2021. Disponível em: </w:t>
      </w:r>
      <w:hyperlink r:id="rId11" w:history="1">
        <w:r w:rsidRPr="0063073F">
          <w:rPr>
            <w:rStyle w:val="Hyperlink"/>
          </w:rPr>
          <w:t>https://www.planalto.gov.br/ccivil_03/leis/lcp/lcp182.htm</w:t>
        </w:r>
      </w:hyperlink>
      <w:r>
        <w:t>.</w:t>
      </w:r>
      <w:r w:rsidRPr="00011AB9">
        <w:t xml:space="preserve"> Acesso em: 1 jun. 2025.</w:t>
      </w:r>
    </w:p>
    <w:p w14:paraId="6401D48C" w14:textId="1070F1E4" w:rsidR="00523173" w:rsidRDefault="00886427" w:rsidP="00E33A33">
      <w:pPr>
        <w:numPr>
          <w:ilvl w:val="0"/>
          <w:numId w:val="4"/>
        </w:numPr>
        <w:spacing w:line="360" w:lineRule="auto"/>
      </w:pPr>
      <w:r w:rsidRPr="00FB4243">
        <w:rPr>
          <w:b/>
          <w:bCs/>
          <w:lang w:val="en-US"/>
        </w:rPr>
        <w:t>COMMISSION OF THE EUROPEAN UNION.</w:t>
      </w:r>
      <w:r w:rsidRPr="00FB4243">
        <w:rPr>
          <w:lang w:val="en-US"/>
        </w:rPr>
        <w:t xml:space="preserve"> Commission signed the Council of Europe Framework Convention on Artificial Intelligence and Human Rights, Democracy and the Rule of Law. 2024. </w:t>
      </w:r>
      <w:r w:rsidRPr="00920ED7">
        <w:t xml:space="preserve">Disponível em: </w:t>
      </w:r>
      <w:hyperlink r:id="rId12" w:tgtFrame="_new" w:history="1">
        <w:r w:rsidRPr="00920ED7">
          <w:rPr>
            <w:rStyle w:val="Hyperlink"/>
          </w:rPr>
          <w:t>https://digital-strategy.ec.europa.eu/pt/news/commission-signed-council-europe-framework-convention-artificial-intelligence-and-human-rights?utm_source=chatgpt.com</w:t>
        </w:r>
      </w:hyperlink>
      <w:r w:rsidRPr="00920ED7">
        <w:t>. Acesso em: 28 jun. 2025.</w:t>
      </w:r>
      <w:r>
        <w:t xml:space="preserve"> </w:t>
      </w:r>
    </w:p>
    <w:p w14:paraId="7DE4043F" w14:textId="77777777" w:rsidR="00886427" w:rsidRDefault="00886427" w:rsidP="00886427">
      <w:pPr>
        <w:numPr>
          <w:ilvl w:val="0"/>
          <w:numId w:val="4"/>
        </w:numPr>
        <w:spacing w:line="360" w:lineRule="auto"/>
      </w:pPr>
      <w:r w:rsidRPr="00FB4243">
        <w:rPr>
          <w:b/>
          <w:bCs/>
          <w:lang w:val="en-US"/>
        </w:rPr>
        <w:t>DYSON</w:t>
      </w:r>
      <w:r w:rsidRPr="00FB4243">
        <w:rPr>
          <w:lang w:val="en-US"/>
        </w:rPr>
        <w:t xml:space="preserve">, </w:t>
      </w:r>
      <w:r w:rsidRPr="00FB4243">
        <w:rPr>
          <w:b/>
          <w:bCs/>
          <w:lang w:val="en-US"/>
        </w:rPr>
        <w:t>George</w:t>
      </w:r>
      <w:r w:rsidRPr="00FB4243">
        <w:rPr>
          <w:lang w:val="en-US"/>
        </w:rPr>
        <w:t xml:space="preserve">. </w:t>
      </w:r>
      <w:r w:rsidRPr="00FB4243">
        <w:rPr>
          <w:i/>
          <w:iCs/>
          <w:lang w:val="en-US"/>
        </w:rPr>
        <w:t>Turing's cathedral: the origins of the digital universe</w:t>
      </w:r>
      <w:r w:rsidRPr="00FB4243">
        <w:rPr>
          <w:lang w:val="en-US"/>
        </w:rPr>
        <w:t xml:space="preserve">. </w:t>
      </w:r>
      <w:r w:rsidRPr="000F5D1F">
        <w:t xml:space="preserve">New York: </w:t>
      </w:r>
      <w:proofErr w:type="spellStart"/>
      <w:r w:rsidRPr="000F5D1F">
        <w:t>Pantheon</w:t>
      </w:r>
      <w:proofErr w:type="spellEnd"/>
      <w:r w:rsidRPr="000F5D1F">
        <w:t>, 2012.</w:t>
      </w:r>
    </w:p>
    <w:p w14:paraId="403AA645" w14:textId="419E88AC" w:rsidR="00DB0C19" w:rsidRDefault="00DB0C19" w:rsidP="00886427">
      <w:pPr>
        <w:numPr>
          <w:ilvl w:val="0"/>
          <w:numId w:val="4"/>
        </w:numPr>
        <w:spacing w:line="360" w:lineRule="auto"/>
      </w:pPr>
      <w:r w:rsidRPr="00DB0C19">
        <w:rPr>
          <w:b/>
          <w:bCs/>
        </w:rPr>
        <w:t>EUIPO.</w:t>
      </w:r>
      <w:r w:rsidRPr="00DB0C19">
        <w:t xml:space="preserve"> </w:t>
      </w:r>
      <w:r w:rsidRPr="00DB0C19">
        <w:rPr>
          <w:i/>
          <w:iCs/>
        </w:rPr>
        <w:t xml:space="preserve">The </w:t>
      </w:r>
      <w:proofErr w:type="spellStart"/>
      <w:r w:rsidRPr="00DB0C19">
        <w:rPr>
          <w:i/>
          <w:iCs/>
        </w:rPr>
        <w:t>Development</w:t>
      </w:r>
      <w:proofErr w:type="spellEnd"/>
      <w:r w:rsidRPr="00DB0C19">
        <w:rPr>
          <w:i/>
          <w:iCs/>
        </w:rPr>
        <w:t xml:space="preserve"> </w:t>
      </w:r>
      <w:proofErr w:type="spellStart"/>
      <w:r w:rsidRPr="00DB0C19">
        <w:rPr>
          <w:i/>
          <w:iCs/>
        </w:rPr>
        <w:t>of</w:t>
      </w:r>
      <w:proofErr w:type="spellEnd"/>
      <w:r w:rsidRPr="00DB0C19">
        <w:rPr>
          <w:i/>
          <w:iCs/>
        </w:rPr>
        <w:t xml:space="preserve"> </w:t>
      </w:r>
      <w:proofErr w:type="spellStart"/>
      <w:r w:rsidRPr="00DB0C19">
        <w:rPr>
          <w:i/>
          <w:iCs/>
        </w:rPr>
        <w:t>Generative</w:t>
      </w:r>
      <w:proofErr w:type="spellEnd"/>
      <w:r w:rsidRPr="00DB0C19">
        <w:rPr>
          <w:i/>
          <w:iCs/>
        </w:rPr>
        <w:t xml:space="preserve"> Artificial </w:t>
      </w:r>
      <w:proofErr w:type="spellStart"/>
      <w:r w:rsidRPr="00DB0C19">
        <w:rPr>
          <w:i/>
          <w:iCs/>
        </w:rPr>
        <w:t>Intelligence</w:t>
      </w:r>
      <w:proofErr w:type="spellEnd"/>
      <w:r w:rsidRPr="00DB0C19">
        <w:rPr>
          <w:i/>
          <w:iCs/>
        </w:rPr>
        <w:t xml:space="preserve"> </w:t>
      </w:r>
      <w:proofErr w:type="spellStart"/>
      <w:r w:rsidRPr="00DB0C19">
        <w:rPr>
          <w:i/>
          <w:iCs/>
        </w:rPr>
        <w:t>from</w:t>
      </w:r>
      <w:proofErr w:type="spellEnd"/>
      <w:r w:rsidRPr="00DB0C19">
        <w:rPr>
          <w:i/>
          <w:iCs/>
        </w:rPr>
        <w:t xml:space="preserve"> a Copyright Perspective</w:t>
      </w:r>
      <w:r w:rsidRPr="00DB0C19">
        <w:t xml:space="preserve">. Alicante: </w:t>
      </w:r>
      <w:proofErr w:type="spellStart"/>
      <w:r w:rsidRPr="00DB0C19">
        <w:t>European</w:t>
      </w:r>
      <w:proofErr w:type="spellEnd"/>
      <w:r w:rsidRPr="00DB0C19">
        <w:t xml:space="preserve"> Union </w:t>
      </w:r>
      <w:proofErr w:type="spellStart"/>
      <w:r w:rsidRPr="00DB0C19">
        <w:t>Intellectual</w:t>
      </w:r>
      <w:proofErr w:type="spellEnd"/>
      <w:r w:rsidRPr="00DB0C19">
        <w:t xml:space="preserve"> </w:t>
      </w:r>
      <w:proofErr w:type="spellStart"/>
      <w:r w:rsidRPr="00DB0C19">
        <w:t>Property</w:t>
      </w:r>
      <w:proofErr w:type="spellEnd"/>
      <w:r w:rsidRPr="00DB0C19">
        <w:t xml:space="preserve"> Office, maio 2025. Disponível em: Relatório oficial do EUIPO. Acesso em: 7 set. 2025.</w:t>
      </w:r>
    </w:p>
    <w:p w14:paraId="37E55BDD" w14:textId="39F6A32E" w:rsidR="00E13C0C" w:rsidRDefault="00E13C0C" w:rsidP="00886427">
      <w:pPr>
        <w:numPr>
          <w:ilvl w:val="0"/>
          <w:numId w:val="4"/>
        </w:numPr>
        <w:spacing w:line="360" w:lineRule="auto"/>
      </w:pPr>
      <w:r w:rsidRPr="00E13C0C">
        <w:rPr>
          <w:b/>
          <w:bCs/>
        </w:rPr>
        <w:t>FERNANDES, Márcia Santana; CALDEIRA, Cristina Maria de Gouveia</w:t>
      </w:r>
      <w:r w:rsidRPr="00E13C0C">
        <w:t xml:space="preserve">. </w:t>
      </w:r>
      <w:r w:rsidRPr="00E13C0C">
        <w:rPr>
          <w:i/>
          <w:iCs/>
        </w:rPr>
        <w:t>Inteligência artificial e propriedade intelectual</w:t>
      </w:r>
      <w:r w:rsidRPr="00E13C0C">
        <w:t>. 1. ed. São Paulo: Editora GZ, 2023.</w:t>
      </w:r>
    </w:p>
    <w:p w14:paraId="71829899" w14:textId="6962FC0E" w:rsidR="00DB0C19" w:rsidRDefault="00DB0C19" w:rsidP="00886427">
      <w:pPr>
        <w:numPr>
          <w:ilvl w:val="0"/>
          <w:numId w:val="4"/>
        </w:numPr>
        <w:spacing w:line="360" w:lineRule="auto"/>
      </w:pPr>
      <w:r w:rsidRPr="00DB0C19">
        <w:rPr>
          <w:b/>
          <w:bCs/>
        </w:rPr>
        <w:t xml:space="preserve">GUADAMUZ, Andrés. </w:t>
      </w:r>
      <w:r w:rsidRPr="00DB0C19">
        <w:rPr>
          <w:i/>
          <w:iCs/>
        </w:rPr>
        <w:t>Os direitos autorais na Lei de Inteligência Artificial da União Europeia</w:t>
      </w:r>
      <w:r w:rsidRPr="00DB0C19">
        <w:t>. Revista Rede de Direito Digital, Intelectual &amp; Sociedade, 2025. Disponível em: IODA – artigo completo. Acesso em: 7 set. 2025.</w:t>
      </w:r>
    </w:p>
    <w:p w14:paraId="10FD0571" w14:textId="3B4AA299" w:rsidR="00E33A33" w:rsidRPr="00DA2CBD" w:rsidRDefault="00E33A33" w:rsidP="00886427">
      <w:pPr>
        <w:numPr>
          <w:ilvl w:val="0"/>
          <w:numId w:val="4"/>
        </w:numPr>
        <w:spacing w:line="360" w:lineRule="auto"/>
      </w:pPr>
      <w:r w:rsidRPr="00E33A33">
        <w:rPr>
          <w:b/>
          <w:bCs/>
        </w:rPr>
        <w:t xml:space="preserve">MENDES, Laura </w:t>
      </w:r>
      <w:proofErr w:type="spellStart"/>
      <w:r w:rsidRPr="00E33A33">
        <w:rPr>
          <w:b/>
          <w:bCs/>
        </w:rPr>
        <w:t>Schertel</w:t>
      </w:r>
      <w:proofErr w:type="spellEnd"/>
      <w:r w:rsidRPr="00E33A33">
        <w:t xml:space="preserve">. Inteligência artificial e regulação: desafios para o direito autoral. </w:t>
      </w:r>
      <w:r w:rsidRPr="00E33A33">
        <w:rPr>
          <w:i/>
          <w:iCs/>
        </w:rPr>
        <w:t>Revista Brasileira de Propriedade Intelectual</w:t>
      </w:r>
      <w:r w:rsidRPr="00E33A33">
        <w:t>, n. 25, p. 45–62, jul./dez. 2024.</w:t>
      </w:r>
    </w:p>
    <w:p w14:paraId="2F83DB46" w14:textId="77777777" w:rsidR="00886427" w:rsidRPr="00DA2CBD" w:rsidRDefault="00886427" w:rsidP="00886427">
      <w:pPr>
        <w:numPr>
          <w:ilvl w:val="0"/>
          <w:numId w:val="4"/>
        </w:numPr>
        <w:spacing w:line="360" w:lineRule="auto"/>
      </w:pPr>
      <w:r w:rsidRPr="00DA2CBD">
        <w:rPr>
          <w:b/>
          <w:bCs/>
        </w:rPr>
        <w:t>MUCCI</w:t>
      </w:r>
      <w:r w:rsidRPr="00DA2CBD">
        <w:t>,</w:t>
      </w:r>
      <w:r w:rsidRPr="00DA2CBD">
        <w:rPr>
          <w:b/>
          <w:bCs/>
        </w:rPr>
        <w:t xml:space="preserve"> Tim. </w:t>
      </w:r>
      <w:r w:rsidRPr="00DA2CBD">
        <w:rPr>
          <w:i/>
          <w:iCs/>
        </w:rPr>
        <w:t>A história da inteligência artificial</w:t>
      </w:r>
      <w:r w:rsidRPr="00DA2CBD">
        <w:t xml:space="preserve">. </w:t>
      </w:r>
      <w:r w:rsidRPr="00DA2CBD">
        <w:rPr>
          <w:i/>
          <w:iCs/>
        </w:rPr>
        <w:t>IBM</w:t>
      </w:r>
      <w:r w:rsidRPr="00DA2CBD">
        <w:t>. [</w:t>
      </w:r>
      <w:proofErr w:type="spellStart"/>
      <w:r w:rsidRPr="00DA2CBD">
        <w:t>S.l</w:t>
      </w:r>
      <w:proofErr w:type="spellEnd"/>
      <w:r w:rsidRPr="00DA2CBD">
        <w:t>.], [2022]. Disponível em:</w:t>
      </w:r>
      <w:r w:rsidRPr="00DA2CBD">
        <w:rPr>
          <w:b/>
          <w:bCs/>
        </w:rPr>
        <w:t xml:space="preserve"> </w:t>
      </w:r>
      <w:hyperlink r:id="rId13" w:tgtFrame="_new" w:history="1">
        <w:r w:rsidRPr="00DA2CBD">
          <w:rPr>
            <w:rStyle w:val="Hyperlink"/>
          </w:rPr>
          <w:t>https://www.ibm.com/br-pt/think/topics/history-of-artificial-intelligence</w:t>
        </w:r>
      </w:hyperlink>
      <w:r w:rsidRPr="00DA2CBD">
        <w:t>. Acesso em: 28 jun. 2025.</w:t>
      </w:r>
    </w:p>
    <w:p w14:paraId="707FE5F7" w14:textId="77777777" w:rsidR="00886427" w:rsidRDefault="00886427" w:rsidP="00886427">
      <w:pPr>
        <w:numPr>
          <w:ilvl w:val="0"/>
          <w:numId w:val="4"/>
        </w:numPr>
        <w:spacing w:line="360" w:lineRule="auto"/>
      </w:pPr>
      <w:r w:rsidRPr="00966727">
        <w:rPr>
          <w:b/>
          <w:bCs/>
          <w:lang w:val="en-US"/>
        </w:rPr>
        <w:t>OECD</w:t>
      </w:r>
      <w:r w:rsidRPr="00966727">
        <w:rPr>
          <w:lang w:val="en-US"/>
        </w:rPr>
        <w:t xml:space="preserve">. Recommendation of the Council on Artificial Intelligence. OECD Legal Instruments, OECD/LEGAL/0449, 2019. </w:t>
      </w:r>
      <w:r w:rsidRPr="00966727">
        <w:t xml:space="preserve">Disponível em: </w:t>
      </w:r>
      <w:hyperlink r:id="rId14" w:history="1">
        <w:r w:rsidRPr="00966727">
          <w:rPr>
            <w:rStyle w:val="Hyperlink"/>
          </w:rPr>
          <w:t>https://legalinstruments.oecd.org/en/instruments/OECD-LEGAL-0449</w:t>
        </w:r>
      </w:hyperlink>
      <w:r w:rsidRPr="00966727">
        <w:t>. Acesso em: 31 ago. 2025.</w:t>
      </w:r>
    </w:p>
    <w:p w14:paraId="6827D2DE" w14:textId="38F65ECC" w:rsidR="00523173" w:rsidRPr="00DA2CBD" w:rsidRDefault="00523173" w:rsidP="00886427">
      <w:pPr>
        <w:numPr>
          <w:ilvl w:val="0"/>
          <w:numId w:val="4"/>
        </w:numPr>
        <w:spacing w:line="360" w:lineRule="auto"/>
      </w:pPr>
      <w:r w:rsidRPr="00523173">
        <w:rPr>
          <w:b/>
          <w:bCs/>
        </w:rPr>
        <w:t xml:space="preserve">STRASBURG JR., Carlos Eduardo; GARCIA, Luiza Alves </w:t>
      </w:r>
      <w:proofErr w:type="spellStart"/>
      <w:r w:rsidRPr="00523173">
        <w:rPr>
          <w:b/>
          <w:bCs/>
        </w:rPr>
        <w:t>Balby</w:t>
      </w:r>
      <w:proofErr w:type="spellEnd"/>
      <w:r w:rsidRPr="00523173">
        <w:rPr>
          <w:b/>
          <w:bCs/>
        </w:rPr>
        <w:t>.</w:t>
      </w:r>
      <w:r w:rsidRPr="00523173">
        <w:t xml:space="preserve"> </w:t>
      </w:r>
      <w:r w:rsidRPr="00523173">
        <w:rPr>
          <w:i/>
          <w:iCs/>
        </w:rPr>
        <w:t>Direitos autorais e inteligência artificial: movimentos recentes dos EUA e da União Europeia</w:t>
      </w:r>
      <w:r w:rsidRPr="00523173">
        <w:t>. Migalhas, São Paulo, 12 jun. 2025. Disponível em: Migalhas – artigo completo. Acesso em: 7 set. 2025.</w:t>
      </w:r>
    </w:p>
    <w:p w14:paraId="75A63741" w14:textId="77777777" w:rsidR="00886427" w:rsidRPr="00966727" w:rsidRDefault="00886427" w:rsidP="00886427">
      <w:pPr>
        <w:numPr>
          <w:ilvl w:val="0"/>
          <w:numId w:val="4"/>
        </w:numPr>
        <w:spacing w:line="360" w:lineRule="auto"/>
      </w:pPr>
      <w:r w:rsidRPr="000F5D1F">
        <w:rPr>
          <w:b/>
          <w:bCs/>
        </w:rPr>
        <w:t>SWIFT</w:t>
      </w:r>
      <w:r w:rsidRPr="000F5D1F">
        <w:t xml:space="preserve">, </w:t>
      </w:r>
      <w:r w:rsidRPr="000F5D1F">
        <w:rPr>
          <w:b/>
          <w:bCs/>
        </w:rPr>
        <w:t xml:space="preserve">Jonathan. </w:t>
      </w:r>
      <w:r w:rsidRPr="000F5D1F">
        <w:rPr>
          <w:i/>
          <w:iCs/>
        </w:rPr>
        <w:t>As viagens de Gulliver</w:t>
      </w:r>
      <w:r w:rsidRPr="000F5D1F">
        <w:t>. Tradução de Therezinha Monteiro Deutsch. São Paulo: Abril Cultural, 1979. (Os imortais da literatura universal). 2025.</w:t>
      </w:r>
    </w:p>
    <w:p w14:paraId="04A2A2A4" w14:textId="77777777" w:rsidR="00886427" w:rsidRDefault="00886427" w:rsidP="00886427">
      <w:pPr>
        <w:numPr>
          <w:ilvl w:val="0"/>
          <w:numId w:val="4"/>
        </w:numPr>
        <w:spacing w:line="360" w:lineRule="auto"/>
      </w:pPr>
      <w:r w:rsidRPr="00966727">
        <w:rPr>
          <w:b/>
          <w:bCs/>
        </w:rPr>
        <w:lastRenderedPageBreak/>
        <w:t>UNESCO</w:t>
      </w:r>
      <w:r w:rsidRPr="00966727">
        <w:t xml:space="preserve">. Recomendação sobre a Ética da Inteligência Artificial. Paris: UNESCO, 2021. Disponível em: </w:t>
      </w:r>
      <w:hyperlink r:id="rId15" w:history="1">
        <w:r w:rsidRPr="00966727">
          <w:rPr>
            <w:rStyle w:val="Hyperlink"/>
          </w:rPr>
          <w:t>https://unesdoc.unesco.org/ark:/48223/pf0000381137</w:t>
        </w:r>
      </w:hyperlink>
      <w:r w:rsidRPr="00966727">
        <w:t>. Acesso em: 31 ago. 2025.</w:t>
      </w:r>
    </w:p>
    <w:p w14:paraId="55BBB532" w14:textId="0FD19130" w:rsidR="008E6FC5" w:rsidRDefault="008E6FC5" w:rsidP="00886427">
      <w:pPr>
        <w:numPr>
          <w:ilvl w:val="0"/>
          <w:numId w:val="4"/>
        </w:numPr>
        <w:spacing w:line="360" w:lineRule="auto"/>
      </w:pPr>
      <w:r w:rsidRPr="008E6FC5">
        <w:rPr>
          <w:b/>
          <w:bCs/>
        </w:rPr>
        <w:t>VASCONCELOS, Cláudio Lins de.</w:t>
      </w:r>
      <w:r w:rsidRPr="008E6FC5">
        <w:t xml:space="preserve"> </w:t>
      </w:r>
      <w:r w:rsidRPr="008E6FC5">
        <w:rPr>
          <w:i/>
          <w:iCs/>
        </w:rPr>
        <w:t>A Lei Europeia sobre IA e os direitos autorais</w:t>
      </w:r>
      <w:r w:rsidRPr="008E6FC5">
        <w:t>. União Brasileira de Compositores, 25 mar. 2024. Disponível em: UBC. Acesso em: 7 set. 2025</w:t>
      </w:r>
    </w:p>
    <w:p w14:paraId="28A577E1" w14:textId="5A3C3615" w:rsidR="008E6FC5" w:rsidRPr="00DA2CBD" w:rsidRDefault="008E6FC5" w:rsidP="00886427">
      <w:pPr>
        <w:numPr>
          <w:ilvl w:val="0"/>
          <w:numId w:val="4"/>
        </w:numPr>
        <w:spacing w:line="360" w:lineRule="auto"/>
      </w:pPr>
      <w:r w:rsidRPr="008E6FC5">
        <w:rPr>
          <w:b/>
          <w:bCs/>
        </w:rPr>
        <w:t xml:space="preserve">VILALTA, Lucas. </w:t>
      </w:r>
      <w:r w:rsidRPr="008E6FC5">
        <w:t xml:space="preserve">Impactos estruturais da inteligência artificial na democracia e nos direitos humanos. </w:t>
      </w:r>
      <w:r w:rsidRPr="008E6FC5">
        <w:rPr>
          <w:i/>
          <w:iCs/>
        </w:rPr>
        <w:t>Jornal da USP</w:t>
      </w:r>
      <w:r w:rsidRPr="008E6FC5">
        <w:t>, São Paulo, 24 set. 2024. Disponível em: Jornal da USP</w:t>
      </w:r>
    </w:p>
    <w:p w14:paraId="6E4621F3" w14:textId="77777777" w:rsidR="00886427" w:rsidRPr="00966727" w:rsidRDefault="00886427" w:rsidP="00886427">
      <w:pPr>
        <w:spacing w:line="360" w:lineRule="auto"/>
        <w:ind w:left="720"/>
      </w:pPr>
    </w:p>
    <w:p w14:paraId="61753EDD" w14:textId="77777777" w:rsidR="00886427" w:rsidRDefault="00886427"/>
    <w:sectPr w:rsidR="00886427">
      <w:headerReference w:type="default" r:id="rId16"/>
      <w:footerReference w:type="default" r:id="rId17"/>
      <w:headerReference w:type="first" r:id="rId18"/>
      <w:pgSz w:w="11900" w:h="16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C111" w14:textId="77777777" w:rsidR="00A77950" w:rsidRDefault="00A77950">
      <w:pPr>
        <w:spacing w:line="240" w:lineRule="auto"/>
      </w:pPr>
      <w:r>
        <w:separator/>
      </w:r>
    </w:p>
  </w:endnote>
  <w:endnote w:type="continuationSeparator" w:id="0">
    <w:p w14:paraId="4ADA6A9F" w14:textId="77777777" w:rsidR="00A77950" w:rsidRDefault="00A77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2954" w14:textId="77777777" w:rsidR="008B5B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240" w:line="240" w:lineRule="auto"/>
      <w:ind w:firstLine="0"/>
      <w:rPr>
        <w:color w:val="000000"/>
      </w:rPr>
    </w:pPr>
    <w:r>
      <w:t>20</w:t>
    </w:r>
    <w:r>
      <w:rPr>
        <w:color w:val="000000"/>
      </w:rPr>
      <w:t xml:space="preserve">º Congresso Brasileiro de Sistemas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18B2" w14:textId="77777777" w:rsidR="00A77950" w:rsidRDefault="00A77950">
      <w:pPr>
        <w:spacing w:line="240" w:lineRule="auto"/>
      </w:pPr>
      <w:r>
        <w:separator/>
      </w:r>
    </w:p>
  </w:footnote>
  <w:footnote w:type="continuationSeparator" w:id="0">
    <w:p w14:paraId="1BEB0091" w14:textId="77777777" w:rsidR="00A77950" w:rsidRDefault="00A77950">
      <w:pPr>
        <w:spacing w:line="240" w:lineRule="auto"/>
      </w:pPr>
      <w:r>
        <w:continuationSeparator/>
      </w:r>
    </w:p>
  </w:footnote>
  <w:footnote w:id="1">
    <w:p w14:paraId="13916635" w14:textId="77777777" w:rsidR="00886427" w:rsidRPr="0006321A" w:rsidRDefault="00886427" w:rsidP="00886427">
      <w:pPr>
        <w:pStyle w:val="Textodenotaderodap"/>
        <w:tabs>
          <w:tab w:val="left" w:pos="709"/>
        </w:tabs>
        <w:jc w:val="both"/>
        <w:rPr>
          <w:rFonts w:ascii="Times New Roman" w:hAnsi="Times New Roman" w:cs="Times New Roman"/>
          <w:b/>
          <w:bCs/>
        </w:rPr>
      </w:pPr>
      <w:r w:rsidRPr="0006321A">
        <w:rPr>
          <w:rStyle w:val="Refdenotaderodap"/>
          <w:rFonts w:ascii="Times New Roman" w:hAnsi="Times New Roman" w:cs="Times New Roman"/>
          <w:b/>
          <w:bCs/>
        </w:rPr>
        <w:footnoteRef/>
      </w:r>
      <w:r w:rsidRPr="0006321A">
        <w:rPr>
          <w:rFonts w:ascii="Times New Roman" w:hAnsi="Times New Roman" w:cs="Times New Roman"/>
          <w:b/>
          <w:bCs/>
        </w:rPr>
        <w:t xml:space="preserve"> </w:t>
      </w:r>
      <w:r w:rsidRPr="0006321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T</w:t>
      </w:r>
      <w:r w:rsidRPr="0006321A">
        <w:rPr>
          <w:rFonts w:ascii="Times New Roman" w:hAnsi="Times New Roman" w:cs="Times New Roman"/>
        </w:rPr>
        <w:t>rata da</w:t>
      </w:r>
      <w:r w:rsidRPr="0006321A">
        <w:rPr>
          <w:rFonts w:ascii="Times New Roman" w:hAnsi="Times New Roman" w:cs="Times New Roman"/>
          <w:b/>
          <w:bCs/>
        </w:rPr>
        <w:t xml:space="preserve"> </w:t>
      </w:r>
      <w:r w:rsidRPr="0006321A">
        <w:rPr>
          <w:rStyle w:val="Forte"/>
          <w:rFonts w:ascii="Times New Roman" w:hAnsi="Times New Roman" w:cs="Times New Roman"/>
        </w:rPr>
        <w:t xml:space="preserve">necessidade de </w:t>
      </w:r>
      <w:r>
        <w:rPr>
          <w:rStyle w:val="Forte"/>
          <w:rFonts w:ascii="Times New Roman" w:hAnsi="Times New Roman" w:cs="Times New Roman"/>
        </w:rPr>
        <w:t xml:space="preserve">adoção de </w:t>
      </w:r>
      <w:r w:rsidRPr="0006321A">
        <w:rPr>
          <w:rStyle w:val="Forte"/>
          <w:rFonts w:ascii="Times New Roman" w:hAnsi="Times New Roman" w:cs="Times New Roman"/>
        </w:rPr>
        <w:t>mecanismos eficazes de supervisão das atividades relacionadas aos sistemas de inteligência artificial</w:t>
      </w:r>
      <w:r w:rsidRPr="0006321A">
        <w:rPr>
          <w:rFonts w:ascii="Times New Roman" w:hAnsi="Times New Roman" w:cs="Times New Roman"/>
          <w:b/>
          <w:bCs/>
        </w:rPr>
        <w:t xml:space="preserve">, </w:t>
      </w:r>
      <w:r w:rsidRPr="0006321A">
        <w:rPr>
          <w:rFonts w:ascii="Times New Roman" w:hAnsi="Times New Roman" w:cs="Times New Roman"/>
        </w:rPr>
        <w:t>além de prever</w:t>
      </w:r>
      <w:r w:rsidRPr="0006321A">
        <w:rPr>
          <w:rFonts w:ascii="Times New Roman" w:hAnsi="Times New Roman" w:cs="Times New Roman"/>
          <w:b/>
          <w:bCs/>
        </w:rPr>
        <w:t xml:space="preserve"> </w:t>
      </w:r>
      <w:r w:rsidRPr="0006321A">
        <w:rPr>
          <w:rFonts w:ascii="Times New Roman" w:hAnsi="Times New Roman" w:cs="Times New Roman"/>
        </w:rPr>
        <w:t xml:space="preserve">a </w:t>
      </w:r>
      <w:r w:rsidRPr="0006321A">
        <w:rPr>
          <w:rStyle w:val="Forte"/>
          <w:rFonts w:ascii="Times New Roman" w:hAnsi="Times New Roman" w:cs="Times New Roman"/>
        </w:rPr>
        <w:t>responsabilização por impactos negativos</w:t>
      </w:r>
      <w:r w:rsidRPr="0006321A">
        <w:rPr>
          <w:rFonts w:ascii="Times New Roman" w:hAnsi="Times New Roman" w:cs="Times New Roman"/>
          <w:b/>
          <w:bCs/>
        </w:rPr>
        <w:t xml:space="preserve"> </w:t>
      </w:r>
      <w:r w:rsidRPr="0006321A">
        <w:rPr>
          <w:rFonts w:ascii="Times New Roman" w:hAnsi="Times New Roman" w:cs="Times New Roman"/>
        </w:rPr>
        <w:t>e</w:t>
      </w:r>
      <w:r w:rsidRPr="0006321A">
        <w:rPr>
          <w:rFonts w:ascii="Times New Roman" w:hAnsi="Times New Roman" w:cs="Times New Roman"/>
          <w:b/>
          <w:bCs/>
        </w:rPr>
        <w:t xml:space="preserve"> </w:t>
      </w:r>
      <w:r w:rsidRPr="0006321A">
        <w:rPr>
          <w:rStyle w:val="Forte"/>
          <w:rFonts w:ascii="Times New Roman" w:hAnsi="Times New Roman" w:cs="Times New Roman"/>
        </w:rPr>
        <w:t>medidas de remediação</w:t>
      </w:r>
      <w:r w:rsidRPr="0006321A">
        <w:rPr>
          <w:rFonts w:ascii="Times New Roman" w:hAnsi="Times New Roman" w:cs="Times New Roman"/>
        </w:rPr>
        <w:t>.</w:t>
      </w:r>
    </w:p>
  </w:footnote>
  <w:footnote w:id="2">
    <w:p w14:paraId="4C0ACDB4" w14:textId="77777777" w:rsidR="00886427" w:rsidRPr="0006321A" w:rsidRDefault="00886427" w:rsidP="00886427">
      <w:pPr>
        <w:pStyle w:val="Textodenotaderodap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06321A">
        <w:rPr>
          <w:rStyle w:val="Refdenotaderodap"/>
          <w:rFonts w:ascii="Times New Roman" w:hAnsi="Times New Roman" w:cs="Times New Roman"/>
        </w:rPr>
        <w:footnoteRef/>
      </w:r>
      <w:r w:rsidRPr="0006321A">
        <w:rPr>
          <w:rFonts w:ascii="Times New Roman" w:hAnsi="Times New Roman" w:cs="Times New Roman"/>
        </w:rPr>
        <w:t xml:space="preserve"> </w:t>
      </w:r>
      <w:r w:rsidRPr="0006321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</w:t>
      </w:r>
      <w:r w:rsidRPr="0006321A">
        <w:rPr>
          <w:rFonts w:ascii="Times New Roman" w:hAnsi="Times New Roman" w:cs="Times New Roman"/>
        </w:rPr>
        <w:t xml:space="preserve">stabelece que nenhuma disposição da Convenção poderá ser interpretada </w:t>
      </w:r>
      <w:r>
        <w:rPr>
          <w:rFonts w:ascii="Times New Roman" w:hAnsi="Times New Roman" w:cs="Times New Roman"/>
        </w:rPr>
        <w:t xml:space="preserve">de forma de limitar ou afastar obrigações assumidas pelas </w:t>
      </w:r>
      <w:r w:rsidRPr="0006321A">
        <w:rPr>
          <w:rFonts w:ascii="Times New Roman" w:hAnsi="Times New Roman" w:cs="Times New Roman"/>
        </w:rPr>
        <w:t>Parte</w:t>
      </w:r>
      <w:r>
        <w:rPr>
          <w:rFonts w:ascii="Times New Roman" w:hAnsi="Times New Roman" w:cs="Times New Roman"/>
        </w:rPr>
        <w:t>s</w:t>
      </w:r>
      <w:r w:rsidRPr="0006321A">
        <w:rPr>
          <w:rFonts w:ascii="Times New Roman" w:hAnsi="Times New Roman" w:cs="Times New Roman"/>
        </w:rPr>
        <w:t xml:space="preserve"> em tratados internacionais </w:t>
      </w:r>
      <w:r>
        <w:rPr>
          <w:rFonts w:ascii="Times New Roman" w:hAnsi="Times New Roman" w:cs="Times New Roman"/>
        </w:rPr>
        <w:t xml:space="preserve">relacionados à </w:t>
      </w:r>
      <w:r w:rsidRPr="0006321A">
        <w:rPr>
          <w:rFonts w:ascii="Times New Roman" w:hAnsi="Times New Roman" w:cs="Times New Roman"/>
        </w:rPr>
        <w:t>proteção dos direitos humanos, da democracia e do Estado de Direito.</w:t>
      </w:r>
    </w:p>
  </w:footnote>
  <w:footnote w:id="3">
    <w:p w14:paraId="5582530C" w14:textId="77777777" w:rsidR="00886427" w:rsidRPr="003E21BD" w:rsidRDefault="00886427" w:rsidP="00886427">
      <w:pPr>
        <w:pStyle w:val="Textodenotaderodap"/>
        <w:jc w:val="both"/>
        <w:rPr>
          <w:rFonts w:ascii="Times New Roman" w:hAnsi="Times New Roman" w:cs="Times New Roman"/>
          <w:b/>
        </w:rPr>
      </w:pPr>
      <w:r w:rsidRPr="003E21BD">
        <w:rPr>
          <w:rStyle w:val="Refdenotaderodap"/>
          <w:rFonts w:ascii="Times New Roman" w:hAnsi="Times New Roman" w:cs="Times New Roman"/>
        </w:rPr>
        <w:footnoteRef/>
      </w:r>
      <w:r w:rsidRPr="003E21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ideia de </w:t>
      </w:r>
      <w:proofErr w:type="spellStart"/>
      <w:r w:rsidRPr="003E21BD">
        <w:rPr>
          <w:rFonts w:ascii="Times New Roman" w:hAnsi="Times New Roman" w:cs="Times New Roman"/>
          <w:i/>
          <w:iCs/>
        </w:rPr>
        <w:t>sanbox</w:t>
      </w:r>
      <w:proofErr w:type="spellEnd"/>
      <w:r>
        <w:rPr>
          <w:rFonts w:ascii="Times New Roman" w:hAnsi="Times New Roman" w:cs="Times New Roman"/>
        </w:rPr>
        <w:t xml:space="preserve"> regulatórios não constitui uma do Projeto de Lei nº 2.338/2023. Na realidade, a </w:t>
      </w:r>
      <w:r w:rsidRPr="003E21BD">
        <w:rPr>
          <w:rFonts w:ascii="Times New Roman" w:hAnsi="Times New Roman" w:cs="Times New Roman"/>
        </w:rPr>
        <w:t>Lei Complementar nº 182/2021,</w:t>
      </w:r>
      <w:r>
        <w:rPr>
          <w:rFonts w:ascii="Times New Roman" w:hAnsi="Times New Roman" w:cs="Times New Roman"/>
        </w:rPr>
        <w:t xml:space="preserve"> que institui o marco legal das </w:t>
      </w:r>
      <w:r w:rsidRPr="003E21BD">
        <w:rPr>
          <w:rFonts w:ascii="Times New Roman" w:hAnsi="Times New Roman" w:cs="Times New Roman"/>
          <w:i/>
          <w:iCs/>
        </w:rPr>
        <w:t>startups</w:t>
      </w:r>
      <w:r>
        <w:rPr>
          <w:rFonts w:ascii="Times New Roman" w:hAnsi="Times New Roman" w:cs="Times New Roman"/>
        </w:rPr>
        <w:t>, previu</w:t>
      </w:r>
      <w:r w:rsidRPr="003E21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adoção de </w:t>
      </w:r>
      <w:r w:rsidRPr="003E21BD">
        <w:rPr>
          <w:rFonts w:ascii="Times New Roman" w:hAnsi="Times New Roman" w:cs="Times New Roman"/>
        </w:rPr>
        <w:t>programas de ambiente regulatório experimental.</w:t>
      </w:r>
      <w:r>
        <w:rPr>
          <w:rFonts w:ascii="Times New Roman" w:hAnsi="Times New Roman" w:cs="Times New Roman"/>
          <w:b/>
        </w:rPr>
        <w:t xml:space="preserve"> </w:t>
      </w:r>
      <w:r w:rsidRPr="003E21BD">
        <w:rPr>
          <w:rFonts w:ascii="Times New Roman" w:hAnsi="Times New Roman" w:cs="Times New Roman"/>
        </w:rPr>
        <w:t>Para tanto, estabelece</w:t>
      </w:r>
      <w:r>
        <w:rPr>
          <w:rFonts w:ascii="Times New Roman" w:hAnsi="Times New Roman" w:cs="Times New Roman"/>
        </w:rPr>
        <w:t>u</w:t>
      </w:r>
      <w:r w:rsidRPr="003E21BD">
        <w:rPr>
          <w:rFonts w:ascii="Times New Roman" w:hAnsi="Times New Roman" w:cs="Times New Roman"/>
        </w:rPr>
        <w:t xml:space="preserve"> diretrizes gerais para a criação do chamado </w:t>
      </w:r>
      <w:proofErr w:type="spellStart"/>
      <w:r w:rsidRPr="003E21BD">
        <w:rPr>
          <w:rFonts w:ascii="Times New Roman" w:hAnsi="Times New Roman" w:cs="Times New Roman"/>
          <w:i/>
          <w:iCs/>
        </w:rPr>
        <w:t>sandbox</w:t>
      </w:r>
      <w:proofErr w:type="spellEnd"/>
      <w:r w:rsidRPr="003E21BD">
        <w:rPr>
          <w:rFonts w:ascii="Times New Roman" w:hAnsi="Times New Roman" w:cs="Times New Roman"/>
        </w:rPr>
        <w:t xml:space="preserve"> regulatório, permit</w:t>
      </w:r>
      <w:r>
        <w:rPr>
          <w:rFonts w:ascii="Times New Roman" w:hAnsi="Times New Roman" w:cs="Times New Roman"/>
        </w:rPr>
        <w:t>indo</w:t>
      </w:r>
      <w:r w:rsidRPr="003E21BD">
        <w:rPr>
          <w:rFonts w:ascii="Times New Roman" w:hAnsi="Times New Roman" w:cs="Times New Roman"/>
        </w:rPr>
        <w:t xml:space="preserve"> que as </w:t>
      </w:r>
      <w:r w:rsidRPr="003E21BD">
        <w:rPr>
          <w:rFonts w:ascii="Times New Roman" w:hAnsi="Times New Roman" w:cs="Times New Roman"/>
          <w:i/>
          <w:iCs/>
        </w:rPr>
        <w:t>startups</w:t>
      </w:r>
      <w:r w:rsidRPr="003E21BD">
        <w:rPr>
          <w:rFonts w:ascii="Times New Roman" w:hAnsi="Times New Roman" w:cs="Times New Roman"/>
        </w:rPr>
        <w:t xml:space="preserve"> possam testar projetos inovadores – isto é, produtos ou serviços experimentais – com clientes reais, sob um regime regulatório especial e temporário.</w:t>
      </w:r>
      <w:r>
        <w:rPr>
          <w:rFonts w:ascii="Times New Roman" w:hAnsi="Times New Roman" w:cs="Times New Roman"/>
          <w:b/>
        </w:rPr>
        <w:t xml:space="preserve"> </w:t>
      </w:r>
      <w:r w:rsidRPr="003E21BD">
        <w:rPr>
          <w:rFonts w:ascii="Times New Roman" w:hAnsi="Times New Roman" w:cs="Times New Roman"/>
        </w:rPr>
        <w:t xml:space="preserve">Ao instituir o </w:t>
      </w:r>
      <w:proofErr w:type="spellStart"/>
      <w:r w:rsidRPr="003E21BD">
        <w:rPr>
          <w:rFonts w:ascii="Times New Roman" w:hAnsi="Times New Roman" w:cs="Times New Roman"/>
          <w:i/>
          <w:iCs/>
        </w:rPr>
        <w:t>sandbox</w:t>
      </w:r>
      <w:proofErr w:type="spellEnd"/>
      <w:r w:rsidRPr="003E21BD">
        <w:rPr>
          <w:rFonts w:ascii="Times New Roman" w:hAnsi="Times New Roman" w:cs="Times New Roman"/>
        </w:rPr>
        <w:t xml:space="preserve"> regulatório, a Lei Complementar nº 182/2021 autoriza que órgãos e entidades da administração pública com competência regulatória setorial possam modular o ônus regulatório sob sua responsabilidade, por meio de regimes temporários e personalizados aplicáveis a </w:t>
      </w:r>
      <w:r w:rsidRPr="003E21BD">
        <w:rPr>
          <w:rFonts w:ascii="Times New Roman" w:hAnsi="Times New Roman" w:cs="Times New Roman"/>
          <w:i/>
          <w:iCs/>
        </w:rPr>
        <w:t>startups</w:t>
      </w:r>
      <w:r w:rsidRPr="003E21BD">
        <w:rPr>
          <w:rFonts w:ascii="Times New Roman" w:hAnsi="Times New Roman" w:cs="Times New Roman"/>
        </w:rPr>
        <w:t xml:space="preserve"> e grupos específicos. Isso possibilita que as empresas participantes testem seus modelos de negócio com clientes reais, sob regras ajustadas à sua realidade (BRASIL, 2021).</w:t>
      </w:r>
      <w:r>
        <w:rPr>
          <w:rFonts w:ascii="Times New Roman" w:hAnsi="Times New Roman" w:cs="Times New Roman"/>
          <w:b/>
        </w:rPr>
        <w:t xml:space="preserve"> </w:t>
      </w:r>
      <w:r w:rsidRPr="003E21BD">
        <w:rPr>
          <w:rFonts w:ascii="Times New Roman" w:hAnsi="Times New Roman" w:cs="Times New Roman"/>
        </w:rPr>
        <w:t>Trata-se de uma forma de regulação provisória, que busca adequar o ritmo das mudanças tecnológicas à resposta normativa, evitando a criação de regulações estanques e inibidoras de novos modelos de negócios com potencial de gerar eficiências para consumidores, empresas e para o próprio Estado.</w:t>
      </w:r>
    </w:p>
    <w:p w14:paraId="03B8D957" w14:textId="77777777" w:rsidR="00886427" w:rsidRDefault="00886427" w:rsidP="0088642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4FB1" w14:textId="77777777" w:rsidR="008B5BEB" w:rsidRDefault="008B5BE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firstLine="0"/>
      <w:jc w:val="left"/>
    </w:pPr>
  </w:p>
  <w:tbl>
    <w:tblPr>
      <w:tblStyle w:val="a"/>
      <w:tblW w:w="9020" w:type="dxa"/>
      <w:tblInd w:w="0" w:type="dxa"/>
      <w:tblLayout w:type="fixed"/>
      <w:tblLook w:val="0400" w:firstRow="0" w:lastRow="0" w:firstColumn="0" w:lastColumn="0" w:noHBand="0" w:noVBand="1"/>
    </w:tblPr>
    <w:tblGrid>
      <w:gridCol w:w="8417"/>
      <w:gridCol w:w="603"/>
    </w:tblGrid>
    <w:tr w:rsidR="008B5BEB" w14:paraId="7F197625" w14:textId="77777777">
      <w:tc>
        <w:tcPr>
          <w:tcW w:w="8417" w:type="dxa"/>
          <w:tcBorders>
            <w:bottom w:val="single" w:sz="4" w:space="0" w:color="000000"/>
          </w:tcBorders>
          <w:vAlign w:val="bottom"/>
        </w:tcPr>
        <w:p w14:paraId="061E056F" w14:textId="77777777" w:rsidR="008B5BE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jc w:val="righ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b/>
            </w:rPr>
            <w:t>20</w:t>
          </w:r>
          <w:r>
            <w:rPr>
              <w:rFonts w:ascii="Calibri" w:eastAsia="Calibri" w:hAnsi="Calibri" w:cs="Calibri"/>
              <w:b/>
              <w:color w:val="000000"/>
            </w:rPr>
            <w:t>º Congresso Brasileiro de Sistemas</w:t>
          </w:r>
        </w:p>
      </w:tc>
      <w:tc>
        <w:tcPr>
          <w:tcW w:w="603" w:type="dxa"/>
          <w:tcBorders>
            <w:bottom w:val="single" w:sz="4" w:space="0" w:color="943734"/>
          </w:tcBorders>
          <w:shd w:val="clear" w:color="auto" w:fill="85BD2D"/>
          <w:vAlign w:val="bottom"/>
        </w:tcPr>
        <w:p w14:paraId="48C3156B" w14:textId="77777777" w:rsidR="008B5BE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firstLine="0"/>
            <w:jc w:val="center"/>
            <w:rPr>
              <w:color w:val="FFFFFF"/>
            </w:rPr>
          </w:pPr>
          <w:r>
            <w:rPr>
              <w:rFonts w:ascii="Calibri" w:eastAsia="Calibri" w:hAnsi="Calibri" w:cs="Calibri"/>
              <w:b/>
              <w:color w:val="FFFFFF"/>
            </w:rPr>
            <w:fldChar w:fldCharType="begin"/>
          </w:r>
          <w:r>
            <w:rPr>
              <w:rFonts w:ascii="Calibri" w:eastAsia="Calibri" w:hAnsi="Calibri" w:cs="Calibri"/>
              <w:b/>
              <w:color w:val="FFFFFF"/>
            </w:rPr>
            <w:instrText>PAGE</w:instrText>
          </w:r>
          <w:r>
            <w:rPr>
              <w:rFonts w:ascii="Calibri" w:eastAsia="Calibri" w:hAnsi="Calibri" w:cs="Calibri"/>
              <w:b/>
              <w:color w:val="FFFFFF"/>
            </w:rPr>
            <w:fldChar w:fldCharType="separate"/>
          </w:r>
          <w:r w:rsidR="003167E1">
            <w:rPr>
              <w:rFonts w:ascii="Calibri" w:eastAsia="Calibri" w:hAnsi="Calibri" w:cs="Calibri"/>
              <w:b/>
              <w:noProof/>
              <w:color w:val="FFFFFF"/>
            </w:rPr>
            <w:t>2</w:t>
          </w:r>
          <w:r>
            <w:rPr>
              <w:rFonts w:ascii="Calibri" w:eastAsia="Calibri" w:hAnsi="Calibri" w:cs="Calibri"/>
              <w:b/>
              <w:color w:val="FFFFFF"/>
            </w:rPr>
            <w:fldChar w:fldCharType="end"/>
          </w:r>
        </w:p>
      </w:tc>
    </w:tr>
  </w:tbl>
  <w:p w14:paraId="0ED66633" w14:textId="77777777" w:rsidR="008B5BEB" w:rsidRDefault="008B5B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8EA3" w14:textId="77777777" w:rsidR="008B5B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-1276" w:firstLine="0"/>
      <w:jc w:val="left"/>
      <w:rPr>
        <w:color w:val="000000"/>
      </w:rPr>
    </w:pPr>
    <w:r>
      <w:rPr>
        <w:noProof/>
        <w:color w:val="000000"/>
      </w:rPr>
      <w:drawing>
        <wp:inline distT="0" distB="0" distL="0" distR="0" wp14:anchorId="38556D11" wp14:editId="4045FDAB">
          <wp:extent cx="1249308" cy="1254847"/>
          <wp:effectExtent l="0" t="0" r="0" b="0"/>
          <wp:docPr id="2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308" cy="1254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58215074" wp14:editId="111848FC">
              <wp:simplePos x="0" y="0"/>
              <wp:positionH relativeFrom="column">
                <wp:posOffset>1574800</wp:posOffset>
              </wp:positionH>
              <wp:positionV relativeFrom="paragraph">
                <wp:posOffset>58420</wp:posOffset>
              </wp:positionV>
              <wp:extent cx="4761230" cy="1007971"/>
              <wp:effectExtent l="0" t="0" r="0" b="0"/>
              <wp:wrapSquare wrapText="bothSides" distT="45720" distB="45720" distL="114300" distR="114300"/>
              <wp:docPr id="220" name="Retâ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92675" y="3203100"/>
                        <a:ext cx="5515500" cy="115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0EB071" w14:textId="77777777" w:rsidR="008B5BEB" w:rsidRDefault="00000000">
                          <w:pPr>
                            <w:spacing w:line="240" w:lineRule="auto"/>
                            <w:ind w:firstLine="0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smallCaps/>
                              <w:color w:val="000000"/>
                              <w:sz w:val="28"/>
                            </w:rPr>
                            <w:t>Perspectivas Sistêmicas para a Gestão da Inovação e Proteção Intelectual</w:t>
                          </w:r>
                        </w:p>
                        <w:p w14:paraId="7793B045" w14:textId="77777777" w:rsidR="008B5BEB" w:rsidRDefault="008B5BEB">
                          <w:pPr>
                            <w:spacing w:line="240" w:lineRule="auto"/>
                            <w:ind w:firstLine="0"/>
                            <w:jc w:val="left"/>
                            <w:textDirection w:val="btLr"/>
                          </w:pPr>
                        </w:p>
                        <w:p w14:paraId="77DE435F" w14:textId="77777777" w:rsidR="008B5BEB" w:rsidRDefault="00000000">
                          <w:pPr>
                            <w:spacing w:line="240" w:lineRule="auto"/>
                            <w:ind w:firstLine="0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2"/>
                            </w:rPr>
                            <w:t>Instituto Federal de Mato Grosso do Sul</w:t>
                          </w:r>
                        </w:p>
                        <w:p w14:paraId="24CB7A8A" w14:textId="77777777" w:rsidR="008B5BEB" w:rsidRDefault="008B5BEB">
                          <w:pPr>
                            <w:spacing w:line="240" w:lineRule="auto"/>
                            <w:ind w:firstLine="0"/>
                            <w:jc w:val="center"/>
                            <w:textDirection w:val="btLr"/>
                          </w:pPr>
                        </w:p>
                        <w:p w14:paraId="2D28D0AF" w14:textId="77777777" w:rsidR="008B5BEB" w:rsidRDefault="00000000">
                          <w:pPr>
                            <w:spacing w:line="240" w:lineRule="auto"/>
                            <w:ind w:firstLine="0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2"/>
                            </w:rPr>
                            <w:t xml:space="preserve">de 01 a 04 de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2"/>
                            </w:rPr>
                            <w:t>Outubro</w:t>
                          </w:r>
                          <w:proofErr w:type="gramEnd"/>
                        </w:p>
                        <w:p w14:paraId="11DA872B" w14:textId="77777777" w:rsidR="008B5BEB" w:rsidRDefault="008B5BE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215074" id="Retângulo 220" o:spid="_x0000_s1026" style="position:absolute;left:0;text-align:left;margin-left:124pt;margin-top:4.6pt;width:374.9pt;height:79.3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j4zwEAAIQDAAAOAAAAZHJzL2Uyb0RvYy54bWysU9uO2yAQfa/Uf0C8N74k3osVZ1XtKlWl&#10;VRtp2w/AGGIkDHQgsfP3HXC6SXffqvoBzzCH4ZyZYf0wDZocBXhlTUOLRU6JMNx2yuwb+vPH9tMd&#10;JT4w0zFtjWjoSXj6sPn4YT26WpS2t7oTQDCJ8fXoGtqH4Oos87wXA/ML64TBoLQwsIAu7LMO2IjZ&#10;B52VeX6TjRY6B5YL73H3aQ7STcovpeDhu5ReBKIbitxCWiGtbVyzzZrVe2CuV/xMg/0Di4Epg5e+&#10;pnpigZEDqHepBsXBeivDgtshs1IqLpIGVFPkb9S89MyJpAWL491rmfz/S8u/HV/cDrAMo/O1RzOq&#10;mCQM8Y/8yNTQcnVf3txWlJwauizzZZGfCyemQDgCqqqoKtwkHBFFUS3vZkR2SeXAhy/CDiQaDQXs&#10;TCoYOz77gNcj9A8k3uytVt1WaZ0c2LePGsiRYRe36YuNwyN/wbSJYGPjsTkcd7KLsGiFqZ3Oalvb&#10;nXZAvONbhaSemQ87Btj+gpIRR6Kh/teBgaBEfzVY8/tiVWIRQnJW1W0UDNeR9jrCDO8tTlqgZDYf&#10;Q5q7mePnQ7BSJeGR1UzlTBZbncSdxzLO0rWfUJfHs/kNAAD//wMAUEsDBBQABgAIAAAAIQAd6StW&#10;3QAAAAkBAAAPAAAAZHJzL2Rvd25yZXYueG1sTI9BT4QwEIXvJv6HZky8uUWy7gJSNmYTbyZG1Oix&#10;0BHItlNCC4v/3vGkx8l7efN95WF1Viw4hcGTgttNAgKp9WagTsHb6+NNBiJETUZbT6jgGwMcqsuL&#10;UhfGn+kFlzp2gkcoFFpBH+NYSBnaHp0OGz8icfblJ6cjn1MnzaTPPO6sTJNkJ50eiD/0esRjj+2p&#10;np0CuyTb94/m7jOrhw6fTuty9POzUtdX68M9iIhr/CvDLz6jQ8VMjZ/JBGEVpNuMXaKCPAXBeZ7v&#10;WaXh4m6fg6xK+d+g+gEAAP//AwBQSwECLQAUAAYACAAAACEAtoM4kv4AAADhAQAAEwAAAAAAAAAA&#10;AAAAAAAAAAAAW0NvbnRlbnRfVHlwZXNdLnhtbFBLAQItABQABgAIAAAAIQA4/SH/1gAAAJQBAAAL&#10;AAAAAAAAAAAAAAAAAC8BAABfcmVscy8ucmVsc1BLAQItABQABgAIAAAAIQAzxUj4zwEAAIQDAAAO&#10;AAAAAAAAAAAAAAAAAC4CAABkcnMvZTJvRG9jLnhtbFBLAQItABQABgAIAAAAIQAd6StW3QAAAAkB&#10;AAAPAAAAAAAAAAAAAAAAACkEAABkcnMvZG93bnJldi54bWxQSwUGAAAAAAQABADzAAAAMwUAAAAA&#10;" stroked="f">
              <v:textbox inset="2.53958mm,1.2694mm,2.53958mm,1.2694mm">
                <w:txbxContent>
                  <w:p w14:paraId="3D0EB071" w14:textId="77777777" w:rsidR="008B5BEB" w:rsidRDefault="00000000">
                    <w:pPr>
                      <w:spacing w:line="240" w:lineRule="auto"/>
                      <w:ind w:firstLine="0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smallCaps/>
                        <w:color w:val="000000"/>
                        <w:sz w:val="28"/>
                      </w:rPr>
                      <w:t>Perspectivas Sistêmicas para a Gestão da Inovação e Proteção Intelectual</w:t>
                    </w:r>
                  </w:p>
                  <w:p w14:paraId="7793B045" w14:textId="77777777" w:rsidR="008B5BEB" w:rsidRDefault="008B5BEB">
                    <w:pPr>
                      <w:spacing w:line="240" w:lineRule="auto"/>
                      <w:ind w:firstLine="0"/>
                      <w:jc w:val="left"/>
                      <w:textDirection w:val="btLr"/>
                    </w:pPr>
                  </w:p>
                  <w:p w14:paraId="77DE435F" w14:textId="77777777" w:rsidR="008B5BEB" w:rsidRDefault="00000000">
                    <w:pPr>
                      <w:spacing w:line="240" w:lineRule="auto"/>
                      <w:ind w:firstLine="0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2"/>
                      </w:rPr>
                      <w:t>Instituto Federal de Mato Grosso do Sul</w:t>
                    </w:r>
                  </w:p>
                  <w:p w14:paraId="24CB7A8A" w14:textId="77777777" w:rsidR="008B5BEB" w:rsidRDefault="008B5BEB">
                    <w:pPr>
                      <w:spacing w:line="240" w:lineRule="auto"/>
                      <w:ind w:firstLine="0"/>
                      <w:jc w:val="center"/>
                      <w:textDirection w:val="btLr"/>
                    </w:pPr>
                  </w:p>
                  <w:p w14:paraId="2D28D0AF" w14:textId="77777777" w:rsidR="008B5BEB" w:rsidRDefault="00000000">
                    <w:pPr>
                      <w:spacing w:line="240" w:lineRule="auto"/>
                      <w:ind w:firstLine="0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2"/>
                      </w:rPr>
                      <w:t xml:space="preserve">de 01 a 04 de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22"/>
                      </w:rPr>
                      <w:t>Outubro</w:t>
                    </w:r>
                    <w:proofErr w:type="gramEnd"/>
                  </w:p>
                  <w:p w14:paraId="11DA872B" w14:textId="77777777" w:rsidR="008B5BEB" w:rsidRDefault="008B5BEB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B4B307" wp14:editId="0E44F853">
              <wp:simplePos x="0" y="0"/>
              <wp:positionH relativeFrom="column">
                <wp:posOffset>127000</wp:posOffset>
              </wp:positionH>
              <wp:positionV relativeFrom="paragraph">
                <wp:posOffset>114300</wp:posOffset>
              </wp:positionV>
              <wp:extent cx="1400810" cy="312343"/>
              <wp:effectExtent l="0" t="0" r="0" b="0"/>
              <wp:wrapNone/>
              <wp:docPr id="218" name="Retâ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50358" y="3632045"/>
                        <a:ext cx="139128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82C52" w14:textId="77777777" w:rsidR="008B5BEB" w:rsidRDefault="00000000">
                          <w:pPr>
                            <w:spacing w:line="240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20º Congresso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B4B307" id="Retângulo 218" o:spid="_x0000_s1027" style="position:absolute;left:0;text-align:left;margin-left:10pt;margin-top:9pt;width:110.3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ZOvwEAAGEDAAAOAAAAZHJzL2Uyb0RvYy54bWysU9uO0zAQfUfiHyy/01zalG3UdIVYFSGt&#10;oNLCB7iO3VhKbDPjNunfM3bLtsAb4sWZm86cMzNZP05Dz04K0Djb8GKWc6asdK2xh4Z//7Z998AZ&#10;BmFb0TurGn5WyB83b9+sR1+r0nWubxUwArFYj77hXQi+zjKUnRoEzpxXlpLawSACuXDIWhAjoQ99&#10;Vub5MhsdtB6cVIgUfbok+Sbha61k+Ko1qsD6hhO3kF5I7z6+2WYt6gMI3xl5pSH+gcUgjKWmr1BP&#10;Igh2BPMX1GAkOHQ6zKQbMqe1kSppIDVF/oeal054lbTQcNC/jgn/H6z8cnrxO6AxjB5rJDOqmDQM&#10;8Uv82NTwxbLK5xVt8tzw+XJe5ovqMjg1BSapoJivivKh4kxSRbmqVkWabHZD8oDhk3IDi0bDgRaT&#10;5iVOzxioO5X+KomNrduavk/L6e1vASqMkexGN1ph2k/MtMQkEouRvWvPO2Do5dZQy2eBYSeAdltw&#10;NtK+G44/jgIUZ/1nSwNdFYuSBITkLKr3OV0L3Gf29xlhZefojAJnF/NjSEd1ofrhGJw2SdaNypUz&#10;7TGpvd5cPJR7P1Xd/ozNTwAAAP//AwBQSwMEFAAGAAgAAAAhAJLce8/aAAAACAEAAA8AAABkcnMv&#10;ZG93bnJldi54bWxMjzFPwzAQhXck/oN1SGzUblRCFeJUCMHQkZSB0Y2PJMI+R7bTpv+e6wTT6e49&#10;vftevVu8EyeMaQykYb1SIJC6YEfqNXwe3h+2IFI2ZI0LhBoumGDX3N7UprLhTB94anMvOIRSZTQM&#10;OU+VlKkb0Ju0ChMSa98hepN5jb200Zw53DtZKFVKb0biD4OZ8HXA7qedvYYJnZ3dplVfnXyLtC73&#10;B3l51Pr+bnl5BpFxyX9muOIzOjTMdAwz2SScBk5nJ9+3PFkvNqoEcdRQPhUgm1r+L9D8AgAA//8D&#10;AFBLAQItABQABgAIAAAAIQC2gziS/gAAAOEBAAATAAAAAAAAAAAAAAAAAAAAAABbQ29udGVudF9U&#10;eXBlc10ueG1sUEsBAi0AFAAGAAgAAAAhADj9If/WAAAAlAEAAAsAAAAAAAAAAAAAAAAALwEAAF9y&#10;ZWxzLy5yZWxzUEsBAi0AFAAGAAgAAAAhAFBcRk6/AQAAYQMAAA4AAAAAAAAAAAAAAAAALgIAAGRy&#10;cy9lMm9Eb2MueG1sUEsBAi0AFAAGAAgAAAAhAJLce8/aAAAACAEAAA8AAAAAAAAAAAAAAAAAGQQA&#10;AGRycy9kb3ducmV2LnhtbFBLBQYAAAAABAAEAPMAAAAgBQAAAAA=&#10;" filled="f" stroked="f">
              <v:textbox inset="2.53958mm,1.2694mm,2.53958mm,1.2694mm">
                <w:txbxContent>
                  <w:p w14:paraId="5D882C52" w14:textId="77777777" w:rsidR="008B5BEB" w:rsidRDefault="00000000">
                    <w:pPr>
                      <w:spacing w:line="240" w:lineRule="auto"/>
                      <w:ind w:firstLine="0"/>
                      <w:jc w:val="lef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20º Congresso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6F74778" wp14:editId="577D8CBA">
              <wp:simplePos x="0" y="0"/>
              <wp:positionH relativeFrom="column">
                <wp:posOffset>393700</wp:posOffset>
              </wp:positionH>
              <wp:positionV relativeFrom="paragraph">
                <wp:posOffset>342900</wp:posOffset>
              </wp:positionV>
              <wp:extent cx="1110615" cy="276225"/>
              <wp:effectExtent l="0" t="0" r="0" b="0"/>
              <wp:wrapNone/>
              <wp:docPr id="219" name="Retângulo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95455" y="3646650"/>
                        <a:ext cx="110109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6341F" w14:textId="77777777" w:rsidR="008B5BEB" w:rsidRDefault="00000000">
                          <w:pPr>
                            <w:spacing w:line="240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Brasileiro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F74778" id="Retângulo 219" o:spid="_x0000_s1028" style="position:absolute;left:0;text-align:left;margin-left:31pt;margin-top:27pt;width:87.4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z9vQEAAGEDAAAOAAAAZHJzL2Uyb0RvYy54bWysU9uO0zAQfUfiHyy/0yQlzdKo6QqxKkJa&#10;QaVlP8B17MZSYpsZt0n/nrHb3RZ4W/HizE1nzpmZrO6noWdHBWicbXgxyzlTVrrW2H3Dn39uPnzi&#10;DIOwreidVQ0/KeT36/fvVqOv1dx1rm8VMAKxWI++4V0Ivs4ylJ0aBM6cV5aS2sEgArmwz1oQI6EP&#10;fTbP8yobHbQenFSIFH04J/k64WutZPihNarA+oYTt5BeSO8uvtl6Jeo9CN8ZeaEh3sBiEMZS01eo&#10;BxEEO4D5B2owEhw6HWbSDZnT2kiVNJCaIv9LzVMnvEpaaDjoX8eE/w9Wfj8++S3QGEaPNZIZVUwa&#10;hvglfmxqeHm3XJSLBWenhn+syqpaXAanpsAkFRQFkV/SfCVVzKvqLk8F2RXJA4avyg0sGg0HWkya&#10;lzg+YqDuVPpSEhtbtzF9n5bT2z8CVBgj2ZVutMK0m5hpqXncaIzsXHvaAkMvN4ZaPgoMWwG024Kz&#10;kfbdcPx1EKA4679ZGuiyKOekMCSnXEQFDG4zu9uMsLJzdEaBs7P5JaSjOlP9fAhOmyTrSuXCmfaY&#10;1F5uLh7KrZ+qrn/G+jcAAAD//wMAUEsDBBQABgAIAAAAIQBWd5J/3AAAAAgBAAAPAAAAZHJzL2Rv&#10;d25yZXYueG1sTI/BTsMwEETvSPyDtUjcqNPQBBriVAjBgSNpDxzdeEki7HVkO2369ywnOI1Ws5p5&#10;U+8WZ8UJQxw9KVivMhBInTcj9QoO+7e7RxAxaTLaekIFF4ywa66val0Zf6YPPLWpFxxCsdIKhpSm&#10;SsrYDeh0XPkJib0vH5xOfIZemqDPHO6szLOslE6PxA2DnvBlwO67nZ2CCa2Z7abNPjv5Gmhdvu/l&#10;pVDq9mZ5fgKRcEl/z/CLz+jQMNPRz2SisArKnKckBcWGlf38vtyCOCrYPhQgm1r+H9D8AAAA//8D&#10;AFBLAQItABQABgAIAAAAIQC2gziS/gAAAOEBAAATAAAAAAAAAAAAAAAAAAAAAABbQ29udGVudF9U&#10;eXBlc10ueG1sUEsBAi0AFAAGAAgAAAAhADj9If/WAAAAlAEAAAsAAAAAAAAAAAAAAAAALwEAAF9y&#10;ZWxzLy5yZWxzUEsBAi0AFAAGAAgAAAAhANKM3P29AQAAYQMAAA4AAAAAAAAAAAAAAAAALgIAAGRy&#10;cy9lMm9Eb2MueG1sUEsBAi0AFAAGAAgAAAAhAFZ3kn/cAAAACAEAAA8AAAAAAAAAAAAAAAAAFwQA&#10;AGRycy9kb3ducmV2LnhtbFBLBQYAAAAABAAEAPMAAAAgBQAAAAA=&#10;" filled="f" stroked="f">
              <v:textbox inset="2.53958mm,1.2694mm,2.53958mm,1.2694mm">
                <w:txbxContent>
                  <w:p w14:paraId="7AF6341F" w14:textId="77777777" w:rsidR="008B5BEB" w:rsidRDefault="00000000">
                    <w:pPr>
                      <w:spacing w:line="240" w:lineRule="auto"/>
                      <w:ind w:firstLine="0"/>
                      <w:jc w:val="lef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Brasileiro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68C9603" wp14:editId="5A63ADC8">
              <wp:simplePos x="0" y="0"/>
              <wp:positionH relativeFrom="column">
                <wp:posOffset>355600</wp:posOffset>
              </wp:positionH>
              <wp:positionV relativeFrom="paragraph">
                <wp:posOffset>558800</wp:posOffset>
              </wp:positionV>
              <wp:extent cx="1110615" cy="305435"/>
              <wp:effectExtent l="0" t="0" r="0" b="0"/>
              <wp:wrapNone/>
              <wp:docPr id="221" name="Retâ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95455" y="3632045"/>
                        <a:ext cx="110109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62371" w14:textId="77777777" w:rsidR="008B5BEB" w:rsidRDefault="00000000">
                          <w:pPr>
                            <w:spacing w:line="240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Sistemas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8C9603" id="Retângulo 221" o:spid="_x0000_s1029" style="position:absolute;left:0;text-align:left;margin-left:28pt;margin-top:44pt;width:87.45pt;height:2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MJvgEAAGEDAAAOAAAAZHJzL2Uyb0RvYy54bWysU9uO0zAQfUfiHyy/01w22aVR0xViVYS0&#10;gkoLH+A6dmMpsc2M26R/z9gt2wJviBdnbpo558xk9TiPAzsqQONsy4tFzpmy0nXG7lv+/dvm3XvO&#10;MAjbicFZ1fKTQv64fvtmNflGla53Q6eAUROLzeRb3ofgmyxD2atR4MJ5ZSmpHYwikAv7rAMxUfdx&#10;yMo8v88mB50HJxUiRZ/OSb5O/bVWMnzVGlVgQ8sJW0gvpHcX32y9Es0ehO+NvMAQ/4BiFMbS0NdW&#10;TyIIdgDzV6vRSHDodFhIN2ZOayNV4kBsivwPNi+98CpxIXHQv8qE/6+t/HJ88VsgGSaPDZIZWcwa&#10;xvglfGxuefWwrKu65uzU8rv7uzKv6rNwag5MUkFREPgl6SupolzWyyIpm107ecDwSbmRRaPlQItJ&#10;eonjMwaaTqW/SuJg6zZmGNJyBvtbgApjJLvCjVaYdzMzHcGLwGJk57rTFhh6uTE08llg2Aqg3Rac&#10;TbTvluOPgwDF2fDZkqDLoiqJYUhOVT/kxAZuM7vbjLCyd3RGgbOz+TGkozpD/XAITptE6wrlgpn2&#10;mNhebi4eyq2fqq5/xvonAAAA//8DAFBLAwQUAAYACAAAACEAPK2yHdwAAAAJAQAADwAAAGRycy9k&#10;b3ducmV2LnhtbEyPwU7DMBBE70j8g7VI3KidlkYhjVMhBAeOpBw4uvGSRLXXUey06d+znOC0Gs1o&#10;9k21X7wTZ5ziEEhDtlIgkNpgB+o0fB7eHgoQMRmyxgVCDVeMsK9vbypT2nChDzw3qRNcQrE0GvqU&#10;xlLK2PboTVyFEYm97zB5k1hOnbSTuXC5d3KtVC69GYg/9GbElx7bUzN7DSM6O7vHRn218nWiLH8/&#10;yOtW6/u75XkHIuGS/sLwi8/oUDPTMcxko3AatjlPSRqKgi/76416AnHk4CbPQNaV/L+g/gEAAP//&#10;AwBQSwECLQAUAAYACAAAACEAtoM4kv4AAADhAQAAEwAAAAAAAAAAAAAAAAAAAAAAW0NvbnRlbnRf&#10;VHlwZXNdLnhtbFBLAQItABQABgAIAAAAIQA4/SH/1gAAAJQBAAALAAAAAAAAAAAAAAAAAC8BAABf&#10;cmVscy8ucmVsc1BLAQItABQABgAIAAAAIQBoanMJvgEAAGEDAAAOAAAAAAAAAAAAAAAAAC4CAABk&#10;cnMvZTJvRG9jLnhtbFBLAQItABQABgAIAAAAIQA8rbId3AAAAAkBAAAPAAAAAAAAAAAAAAAAABgE&#10;AABkcnMvZG93bnJldi54bWxQSwUGAAAAAAQABADzAAAAIQUAAAAA&#10;" filled="f" stroked="f">
              <v:textbox inset="2.53958mm,1.2694mm,2.53958mm,1.2694mm">
                <w:txbxContent>
                  <w:p w14:paraId="2B762371" w14:textId="77777777" w:rsidR="008B5BEB" w:rsidRDefault="00000000">
                    <w:pPr>
                      <w:spacing w:line="240" w:lineRule="auto"/>
                      <w:ind w:firstLine="0"/>
                      <w:jc w:val="lef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Sistemas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5E4"/>
    <w:multiLevelType w:val="multilevel"/>
    <w:tmpl w:val="0B1A5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9B3C1B"/>
    <w:multiLevelType w:val="multilevel"/>
    <w:tmpl w:val="73D2C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2F15976"/>
    <w:multiLevelType w:val="multilevel"/>
    <w:tmpl w:val="78D02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CA1C13"/>
    <w:multiLevelType w:val="multilevel"/>
    <w:tmpl w:val="9A6A58D6"/>
    <w:lvl w:ilvl="0">
      <w:start w:val="1"/>
      <w:numFmt w:val="decimal"/>
      <w:lvlText w:val="%1."/>
      <w:lvlJc w:val="left"/>
      <w:pPr>
        <w:ind w:left="414" w:hanging="314"/>
      </w:pPr>
      <w:rPr>
        <w:u w:val="none"/>
      </w:rPr>
    </w:lvl>
    <w:lvl w:ilvl="1">
      <w:start w:val="1"/>
      <w:numFmt w:val="decimal"/>
      <w:lvlText w:val="%1.%2."/>
      <w:lvlJc w:val="left"/>
      <w:pPr>
        <w:ind w:left="569" w:hanging="469"/>
      </w:pPr>
      <w:rPr>
        <w:u w:val="none"/>
      </w:rPr>
    </w:lvl>
    <w:lvl w:ilvl="2">
      <w:numFmt w:val="bullet"/>
      <w:lvlText w:val="•"/>
      <w:lvlJc w:val="left"/>
      <w:pPr>
        <w:ind w:left="1465" w:hanging="469"/>
      </w:pPr>
      <w:rPr>
        <w:u w:val="none"/>
      </w:rPr>
    </w:lvl>
    <w:lvl w:ilvl="3">
      <w:numFmt w:val="bullet"/>
      <w:lvlText w:val="•"/>
      <w:lvlJc w:val="left"/>
      <w:pPr>
        <w:ind w:left="2370" w:hanging="469"/>
      </w:pPr>
      <w:rPr>
        <w:u w:val="none"/>
      </w:rPr>
    </w:lvl>
    <w:lvl w:ilvl="4">
      <w:numFmt w:val="bullet"/>
      <w:lvlText w:val="•"/>
      <w:lvlJc w:val="left"/>
      <w:pPr>
        <w:ind w:left="3275" w:hanging="469"/>
      </w:pPr>
      <w:rPr>
        <w:u w:val="none"/>
      </w:rPr>
    </w:lvl>
    <w:lvl w:ilvl="5">
      <w:numFmt w:val="bullet"/>
      <w:lvlText w:val="•"/>
      <w:lvlJc w:val="left"/>
      <w:pPr>
        <w:ind w:left="4180" w:hanging="469"/>
      </w:pPr>
      <w:rPr>
        <w:u w:val="none"/>
      </w:rPr>
    </w:lvl>
    <w:lvl w:ilvl="6">
      <w:numFmt w:val="bullet"/>
      <w:lvlText w:val="•"/>
      <w:lvlJc w:val="left"/>
      <w:pPr>
        <w:ind w:left="5085" w:hanging="469"/>
      </w:pPr>
      <w:rPr>
        <w:u w:val="none"/>
      </w:rPr>
    </w:lvl>
    <w:lvl w:ilvl="7">
      <w:numFmt w:val="bullet"/>
      <w:lvlText w:val="•"/>
      <w:lvlJc w:val="left"/>
      <w:pPr>
        <w:ind w:left="5990" w:hanging="469"/>
      </w:pPr>
      <w:rPr>
        <w:u w:val="none"/>
      </w:rPr>
    </w:lvl>
    <w:lvl w:ilvl="8">
      <w:numFmt w:val="bullet"/>
      <w:lvlText w:val="•"/>
      <w:lvlJc w:val="left"/>
      <w:pPr>
        <w:ind w:left="6895" w:hanging="469"/>
      </w:pPr>
      <w:rPr>
        <w:u w:val="none"/>
      </w:rPr>
    </w:lvl>
  </w:abstractNum>
  <w:num w:numId="1" w16cid:durableId="1038437150">
    <w:abstractNumId w:val="3"/>
  </w:num>
  <w:num w:numId="2" w16cid:durableId="831523904">
    <w:abstractNumId w:val="2"/>
  </w:num>
  <w:num w:numId="3" w16cid:durableId="653409379">
    <w:abstractNumId w:val="1"/>
  </w:num>
  <w:num w:numId="4" w16cid:durableId="32899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BEB"/>
    <w:rsid w:val="000C6279"/>
    <w:rsid w:val="00147F40"/>
    <w:rsid w:val="00242A61"/>
    <w:rsid w:val="003167E1"/>
    <w:rsid w:val="003B619D"/>
    <w:rsid w:val="00523173"/>
    <w:rsid w:val="006D15FD"/>
    <w:rsid w:val="0087216B"/>
    <w:rsid w:val="00886427"/>
    <w:rsid w:val="008B5BEB"/>
    <w:rsid w:val="008D16B4"/>
    <w:rsid w:val="008E6FC5"/>
    <w:rsid w:val="0097470F"/>
    <w:rsid w:val="00977B12"/>
    <w:rsid w:val="00A77950"/>
    <w:rsid w:val="00AE723C"/>
    <w:rsid w:val="00C31459"/>
    <w:rsid w:val="00D92D25"/>
    <w:rsid w:val="00DB0C19"/>
    <w:rsid w:val="00E13C0C"/>
    <w:rsid w:val="00E33A33"/>
    <w:rsid w:val="00F23479"/>
    <w:rsid w:val="00FD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933D"/>
  <w15:docId w15:val="{4B530CC1-0538-4AE7-AC4A-F2AAD7EC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37"/>
  </w:style>
  <w:style w:type="paragraph" w:styleId="Ttulo1">
    <w:name w:val="heading 1"/>
    <w:basedOn w:val="Normal"/>
    <w:next w:val="Normal"/>
    <w:link w:val="Ttulo1Char"/>
    <w:uiPriority w:val="9"/>
    <w:qFormat/>
    <w:rsid w:val="00BE0DE7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BE0DE7"/>
    <w:pPr>
      <w:spacing w:before="200"/>
      <w:jc w:val="left"/>
      <w:outlineLvl w:val="1"/>
    </w:pPr>
    <w:rPr>
      <w:bCs w:val="0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E0DE7"/>
    <w:pPr>
      <w:ind w:firstLine="0"/>
      <w:contextualSpacing/>
      <w:jc w:val="center"/>
    </w:pPr>
    <w:rPr>
      <w:rFonts w:eastAsiaTheme="majorEastAsia" w:cstheme="majorBidi"/>
      <w:b/>
      <w:bCs/>
      <w:caps/>
      <w:spacing w:val="5"/>
      <w:kern w:val="28"/>
      <w:sz w:val="32"/>
      <w:szCs w:val="32"/>
    </w:rPr>
  </w:style>
  <w:style w:type="paragraph" w:styleId="SemEspaamento">
    <w:name w:val="No Spacing"/>
    <w:uiPriority w:val="1"/>
    <w:rsid w:val="00436D67"/>
  </w:style>
  <w:style w:type="paragraph" w:styleId="Cabealho">
    <w:name w:val="header"/>
    <w:basedOn w:val="Normal"/>
    <w:link w:val="CabealhoChar"/>
    <w:uiPriority w:val="99"/>
    <w:unhideWhenUsed/>
    <w:rsid w:val="00436D67"/>
    <w:pPr>
      <w:tabs>
        <w:tab w:val="center" w:pos="4320"/>
        <w:tab w:val="right" w:pos="864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D67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436D67"/>
    <w:pPr>
      <w:tabs>
        <w:tab w:val="center" w:pos="4320"/>
        <w:tab w:val="right" w:pos="864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D67"/>
    <w:rPr>
      <w:rFonts w:ascii="Times New Roman" w:hAnsi="Times New Roman"/>
    </w:rPr>
  </w:style>
  <w:style w:type="character" w:styleId="Nmerodepgina">
    <w:name w:val="page number"/>
    <w:basedOn w:val="Fontepargpadro"/>
    <w:uiPriority w:val="99"/>
    <w:semiHidden/>
    <w:unhideWhenUsed/>
    <w:rsid w:val="004D6154"/>
  </w:style>
  <w:style w:type="paragraph" w:styleId="Textodebalo">
    <w:name w:val="Balloon Text"/>
    <w:basedOn w:val="Normal"/>
    <w:link w:val="TextodebaloChar"/>
    <w:uiPriority w:val="99"/>
    <w:semiHidden/>
    <w:unhideWhenUsed/>
    <w:rsid w:val="00E8214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142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E0DE7"/>
    <w:rPr>
      <w:rFonts w:ascii="Times New Roman" w:eastAsiaTheme="majorEastAsia" w:hAnsi="Times New Roman" w:cstheme="majorBidi"/>
      <w:b/>
      <w:bCs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0DE7"/>
    <w:rPr>
      <w:rFonts w:ascii="Times New Roman" w:eastAsiaTheme="majorEastAsia" w:hAnsi="Times New Roman" w:cstheme="majorBidi"/>
      <w:b/>
      <w:szCs w:val="26"/>
    </w:rPr>
  </w:style>
  <w:style w:type="character" w:customStyle="1" w:styleId="TtuloChar">
    <w:name w:val="Título Char"/>
    <w:basedOn w:val="Fontepargpadro"/>
    <w:link w:val="Ttulo"/>
    <w:uiPriority w:val="10"/>
    <w:rsid w:val="00BE0DE7"/>
    <w:rPr>
      <w:rFonts w:ascii="Times New Roman" w:eastAsiaTheme="majorEastAsia" w:hAnsi="Times New Roman" w:cstheme="majorBidi"/>
      <w:b/>
      <w:bCs/>
      <w:caps/>
      <w:spacing w:val="5"/>
      <w:kern w:val="28"/>
      <w:sz w:val="32"/>
      <w:szCs w:val="32"/>
    </w:rPr>
  </w:style>
  <w:style w:type="paragraph" w:styleId="Legenda">
    <w:name w:val="caption"/>
    <w:basedOn w:val="Normal"/>
    <w:next w:val="Normal"/>
    <w:uiPriority w:val="35"/>
    <w:unhideWhenUsed/>
    <w:qFormat/>
    <w:rsid w:val="00416818"/>
    <w:pPr>
      <w:spacing w:after="200" w:line="240" w:lineRule="auto"/>
      <w:jc w:val="center"/>
    </w:pPr>
    <w:rPr>
      <w:rFonts w:ascii="Arial" w:hAnsi="Arial"/>
      <w:bCs/>
      <w:sz w:val="20"/>
      <w:szCs w:val="18"/>
    </w:rPr>
  </w:style>
  <w:style w:type="paragraph" w:styleId="Citao">
    <w:name w:val="Quote"/>
    <w:basedOn w:val="Normal"/>
    <w:next w:val="Normal"/>
    <w:link w:val="CitaoChar"/>
    <w:uiPriority w:val="29"/>
    <w:qFormat/>
    <w:rsid w:val="00416818"/>
    <w:pPr>
      <w:ind w:left="720"/>
    </w:pPr>
    <w:rPr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16818"/>
    <w:rPr>
      <w:rFonts w:ascii="Times New Roman" w:hAnsi="Times New Roman"/>
      <w:iCs/>
      <w:color w:val="000000" w:themeColor="text1"/>
    </w:rPr>
  </w:style>
  <w:style w:type="paragraph" w:customStyle="1" w:styleId="Referncias">
    <w:name w:val="Referências"/>
    <w:basedOn w:val="Normal"/>
    <w:qFormat/>
    <w:rsid w:val="000460CD"/>
    <w:pPr>
      <w:ind w:left="720" w:hanging="720"/>
    </w:pPr>
    <w:rPr>
      <w:noProof/>
    </w:rPr>
  </w:style>
  <w:style w:type="paragraph" w:styleId="NormalWeb">
    <w:name w:val="Normal (Web)"/>
    <w:basedOn w:val="Normal"/>
    <w:uiPriority w:val="99"/>
    <w:semiHidden/>
    <w:unhideWhenUsed/>
    <w:rsid w:val="00CA3536"/>
    <w:pPr>
      <w:spacing w:before="100" w:beforeAutospacing="1" w:after="100" w:afterAutospacing="1" w:line="240" w:lineRule="auto"/>
      <w:ind w:firstLine="0"/>
      <w:jc w:val="left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97470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470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8642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8642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8642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8642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864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materia/-/asset_publisher/Kujrw0TZC2Mb/content/id/11775955" TargetMode="External"/><Relationship Id="rId13" Type="http://schemas.openxmlformats.org/officeDocument/2006/relationships/hyperlink" Target="https://www.ibm.com/br-pt/think/topics/history-of-artificial-intelligenc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gital-strategy.ec.europa.eu/pt/news/commission-signed-council-europe-framework-convention-artificial-intelligence-and-human-rights?utm_source=chatgpt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leis/lcp/lcp182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esdoc.unesco.org/ark:/48223/pf0000381137" TargetMode="External"/><Relationship Id="rId10" Type="http://schemas.openxmlformats.org/officeDocument/2006/relationships/hyperlink" Target="https://www.camara.leg.br/proposicoesWeb/fichadetramitacao?idProposicao=248726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5.senado.leg.br/web/atividade/materias/-/materia/159132" TargetMode="External"/><Relationship Id="rId14" Type="http://schemas.openxmlformats.org/officeDocument/2006/relationships/hyperlink" Target="https://legalinstruments.oecd.org/en/instruments/OECD-LEGAL-044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GHISWn+vS/LeNtroMutvVg9YA==">CgMxLjA4AHIhMUdfT2x1aHFPckJ4WDh0ZTdaRm9nRkNLMFNNOWUxbnFp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21</Pages>
  <Words>7745</Words>
  <Characters>41828</Characters>
  <Application>Microsoft Office Word</Application>
  <DocSecurity>0</DocSecurity>
  <Lines>348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Augusto Amaral Terra</dc:creator>
  <cp:lastModifiedBy>germano coelho ramos</cp:lastModifiedBy>
  <cp:revision>7</cp:revision>
  <dcterms:created xsi:type="dcterms:W3CDTF">2025-09-08T00:16:00Z</dcterms:created>
  <dcterms:modified xsi:type="dcterms:W3CDTF">2025-09-08T02:34:00Z</dcterms:modified>
</cp:coreProperties>
</file>