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5CCC" w14:textId="097EFAF9" w:rsidR="000C591E" w:rsidRPr="00284ED7" w:rsidRDefault="00284ED7" w:rsidP="00B02B8F">
      <w:pPr>
        <w:pStyle w:val="Corpodetexto"/>
        <w:spacing w:before="3" w:after="240"/>
        <w:jc w:val="center"/>
        <w:rPr>
          <w:b/>
          <w:bCs/>
          <w:i/>
          <w:iCs/>
          <w:sz w:val="28"/>
          <w:lang w:val="pt-BR"/>
        </w:rPr>
      </w:pPr>
      <w:r w:rsidRPr="00284ED7">
        <w:rPr>
          <w:b/>
          <w:bCs/>
          <w:i/>
          <w:iCs/>
          <w:sz w:val="28"/>
          <w:lang w:val="pt-BR"/>
        </w:rPr>
        <w:t>CHOQUES EXTERNOS DO QUEROSENE DE AVIAÇÃO E TARIFAS AÉREAS: ANALISANDO O REPASSE DE PREÇOS NO MERCADO DOMÉSTICO BRASILEIRO</w:t>
      </w:r>
    </w:p>
    <w:p w14:paraId="3800C350" w14:textId="0FC1E9C4" w:rsidR="000C591E" w:rsidRPr="00284ED7" w:rsidRDefault="00284ED7" w:rsidP="00284ED7">
      <w:pPr>
        <w:pStyle w:val="Corpodetexto"/>
        <w:jc w:val="right"/>
        <w:rPr>
          <w:lang w:val="pt-BR"/>
        </w:rPr>
      </w:pPr>
      <w:r w:rsidRPr="00284ED7">
        <w:rPr>
          <w:lang w:val="pt-BR"/>
        </w:rPr>
        <w:t>Francisco Teixeira Raeder, Universidade Federal Fluminense, +55 21 988348943, fraeder@id.uff.br</w:t>
      </w:r>
    </w:p>
    <w:p w14:paraId="105192EE" w14:textId="77777777" w:rsidR="000C591E" w:rsidRDefault="000C591E" w:rsidP="00B02B8F">
      <w:pPr>
        <w:pStyle w:val="Corpodetexto"/>
        <w:rPr>
          <w:sz w:val="22"/>
          <w:lang w:val="pt-BR"/>
        </w:rPr>
      </w:pPr>
    </w:p>
    <w:p w14:paraId="247E7726" w14:textId="3056B135" w:rsidR="000C591E" w:rsidRDefault="00C11F45">
      <w:pPr>
        <w:pStyle w:val="Ttulo1"/>
      </w:pPr>
      <w:r>
        <w:t>Overview</w:t>
      </w:r>
    </w:p>
    <w:p w14:paraId="4B9C8EDF" w14:textId="5BC7DBC7" w:rsidR="00284ED7" w:rsidRPr="00284ED7" w:rsidRDefault="00284ED7" w:rsidP="00284ED7">
      <w:pPr>
        <w:pStyle w:val="Corpodetexto"/>
        <w:spacing w:before="240"/>
        <w:jc w:val="both"/>
        <w:rPr>
          <w:bCs/>
          <w:lang w:val="pt-BR"/>
        </w:rPr>
      </w:pPr>
      <w:r w:rsidRPr="00284ED7">
        <w:rPr>
          <w:bCs/>
          <w:lang w:val="pt-BR"/>
        </w:rPr>
        <w:t xml:space="preserve">Em março de 2020, com a Organização Mundial da Saúde tendo classificado a covid-19 como pandemia, os impactos na aviação comercial foram imediatos. No período mais crítico, em abril de 2020, a oferta </w:t>
      </w:r>
      <w:r w:rsidR="008F6EDA">
        <w:rPr>
          <w:bCs/>
          <w:lang w:val="pt-BR"/>
        </w:rPr>
        <w:t>de</w:t>
      </w:r>
      <w:r w:rsidRPr="00284ED7">
        <w:rPr>
          <w:bCs/>
          <w:lang w:val="pt-BR"/>
        </w:rPr>
        <w:t xml:space="preserve"> voos comerciais recuou quase 94% em relação ao ano anterior</w:t>
      </w:r>
      <w:r w:rsidR="00F30C3B">
        <w:rPr>
          <w:bCs/>
          <w:lang w:val="pt-BR"/>
        </w:rPr>
        <w:t>, enquanto a demanda caiu</w:t>
      </w:r>
      <w:r w:rsidR="00B02B8F">
        <w:rPr>
          <w:bCs/>
          <w:lang w:val="pt-BR"/>
        </w:rPr>
        <w:t xml:space="preserve"> </w:t>
      </w:r>
      <w:r w:rsidR="00F30C3B">
        <w:rPr>
          <w:bCs/>
          <w:lang w:val="pt-BR"/>
        </w:rPr>
        <w:t xml:space="preserve">96% </w:t>
      </w:r>
      <w:r w:rsidRPr="00284ED7">
        <w:rPr>
          <w:bCs/>
          <w:lang w:val="pt-BR"/>
        </w:rPr>
        <w:t>(ANAC, 2023a). Como consequência da demanda debilitada, os preços do querosene de aviação despencaram, atingido mínimas históricas.</w:t>
      </w:r>
      <w:r w:rsidR="00442509">
        <w:rPr>
          <w:bCs/>
          <w:lang w:val="pt-BR"/>
        </w:rPr>
        <w:t xml:space="preserve"> </w:t>
      </w:r>
      <w:r w:rsidR="008F6EDA">
        <w:rPr>
          <w:bCs/>
          <w:lang w:val="pt-BR"/>
        </w:rPr>
        <w:t>C</w:t>
      </w:r>
      <w:r w:rsidRPr="00284ED7">
        <w:rPr>
          <w:bCs/>
          <w:lang w:val="pt-BR"/>
        </w:rPr>
        <w:t xml:space="preserve">om o avanço da vacinação e com a gradual </w:t>
      </w:r>
      <w:r w:rsidR="008F6EDA">
        <w:rPr>
          <w:bCs/>
          <w:lang w:val="pt-BR"/>
        </w:rPr>
        <w:t>superação</w:t>
      </w:r>
      <w:r w:rsidRPr="00284ED7">
        <w:rPr>
          <w:bCs/>
          <w:lang w:val="pt-BR"/>
        </w:rPr>
        <w:t xml:space="preserve"> da pandemia</w:t>
      </w:r>
      <w:r w:rsidR="008F6EDA">
        <w:rPr>
          <w:bCs/>
          <w:lang w:val="pt-BR"/>
        </w:rPr>
        <w:t xml:space="preserve">, </w:t>
      </w:r>
      <w:r w:rsidRPr="00284ED7">
        <w:rPr>
          <w:bCs/>
          <w:lang w:val="pt-BR"/>
        </w:rPr>
        <w:t xml:space="preserve">o setor aéreo </w:t>
      </w:r>
      <w:r w:rsidR="008F6EDA">
        <w:rPr>
          <w:bCs/>
          <w:lang w:val="pt-BR"/>
        </w:rPr>
        <w:t>ensaiou</w:t>
      </w:r>
      <w:r w:rsidRPr="00284ED7">
        <w:rPr>
          <w:bCs/>
          <w:lang w:val="pt-BR"/>
        </w:rPr>
        <w:t xml:space="preserve"> uma recuperação. No entanto, o retorno aos níveis </w:t>
      </w:r>
      <w:proofErr w:type="spellStart"/>
      <w:r w:rsidRPr="00284ED7">
        <w:rPr>
          <w:bCs/>
          <w:lang w:val="pt-BR"/>
        </w:rPr>
        <w:t>pré</w:t>
      </w:r>
      <w:proofErr w:type="spellEnd"/>
      <w:r w:rsidRPr="00284ED7">
        <w:rPr>
          <w:bCs/>
          <w:lang w:val="pt-BR"/>
        </w:rPr>
        <w:t>-pandêmicos não ocorreu na velocidade esperada. Um dos entraves à recuperação plena no setor é a questão das tarifas aéreas, que decolaram e inibiram o crescimento mais robusto da demanda.</w:t>
      </w:r>
      <w:r w:rsidR="00442509">
        <w:rPr>
          <w:bCs/>
          <w:lang w:val="pt-BR"/>
        </w:rPr>
        <w:t xml:space="preserve"> </w:t>
      </w:r>
    </w:p>
    <w:p w14:paraId="5021D1EF" w14:textId="2BB7471F" w:rsidR="00284ED7" w:rsidRPr="00284ED7" w:rsidRDefault="00284ED7" w:rsidP="00284ED7">
      <w:pPr>
        <w:pStyle w:val="Corpodetexto"/>
        <w:spacing w:before="240"/>
        <w:jc w:val="both"/>
        <w:rPr>
          <w:bCs/>
          <w:lang w:val="pt-BR"/>
        </w:rPr>
      </w:pPr>
      <w:r w:rsidRPr="00284ED7">
        <w:rPr>
          <w:bCs/>
          <w:lang w:val="pt-BR"/>
        </w:rPr>
        <w:t xml:space="preserve">O reaquecimento da demanda por transporte somado aos desdobramentos da Guerra entre Rússia e Ucrânia causaram reflexos na trajetória de preços do combustível. Se, em abril de 2020, o galão de querosene de aviação custava US$ 0,61 no Golfo do México, em junho de 2022, a cotação do combustível era de US$ 4,12. Ou seja, em pouco mais de 2 anos, o preço do querosene de aviação disparou cerca de 575% (EIA, 2023). De acordo com a Agência Nacional de Aviação Civil (ANAC, 2022), quase um terço dos custos incorridos pelas companhias aéreas é com combustível (querosene de aviação). </w:t>
      </w:r>
      <w:r>
        <w:rPr>
          <w:bCs/>
          <w:lang w:val="pt-BR"/>
        </w:rPr>
        <w:t>Os</w:t>
      </w:r>
      <w:r w:rsidRPr="00284ED7">
        <w:rPr>
          <w:bCs/>
          <w:lang w:val="pt-BR"/>
        </w:rPr>
        <w:t xml:space="preserve"> gastos com combustível são os mais significativos para as empresas aéreas, superando até os gastos com pessoal e manutenção de aeronaves.</w:t>
      </w:r>
    </w:p>
    <w:p w14:paraId="29218DA7" w14:textId="77777777" w:rsidR="00361DC0" w:rsidRDefault="00361DC0" w:rsidP="00284ED7">
      <w:pPr>
        <w:pStyle w:val="Corpodetexto"/>
        <w:spacing w:before="240"/>
        <w:jc w:val="both"/>
        <w:rPr>
          <w:bCs/>
          <w:lang w:val="pt-BR"/>
        </w:rPr>
      </w:pPr>
      <w:r>
        <w:rPr>
          <w:bCs/>
          <w:lang w:val="pt-BR"/>
        </w:rPr>
        <w:t>Com a</w:t>
      </w:r>
      <w:r w:rsidR="00284ED7" w:rsidRPr="00284ED7">
        <w:rPr>
          <w:bCs/>
          <w:lang w:val="pt-BR"/>
        </w:rPr>
        <w:t xml:space="preserve"> forte alta no custo do principal insumo, não restou às companhias aéreas outra alternativa a não ser o repasse aos passageiros, via aumento das tarifas. Em abril de 2020, a tarifa nacional média flutuava na casa dos R$ 288,17. Já em junho de 202</w:t>
      </w:r>
      <w:r w:rsidR="00284ED7">
        <w:rPr>
          <w:bCs/>
          <w:lang w:val="pt-BR"/>
        </w:rPr>
        <w:t>2</w:t>
      </w:r>
      <w:r w:rsidR="00284ED7" w:rsidRPr="00284ED7">
        <w:rPr>
          <w:bCs/>
          <w:lang w:val="pt-BR"/>
        </w:rPr>
        <w:t xml:space="preserve"> – quando o preço do querosene de aviação atingiu sua máxima – a tarifa média brasileira era de R$ 624,27. De acordo com a literatura econômica, o repasse de preços tende a seguir um padrão que não costuma ser favorável aos consumidores: o foguete e pena (Bacon, 1991). Quando os custos sobem, a tendência é que o repasse aos preços siga trajetória semelhante à de um foguete, subindo rápido. Em contra partida, se o custo dos insumos cai, o repasse ocorre como uma pena, ou seja, existe uma certa resistência à queda.</w:t>
      </w:r>
      <w:r w:rsidR="00442509">
        <w:rPr>
          <w:bCs/>
          <w:lang w:val="pt-BR"/>
        </w:rPr>
        <w:t xml:space="preserve"> </w:t>
      </w:r>
    </w:p>
    <w:p w14:paraId="61AF4147" w14:textId="1EC93C78" w:rsidR="00284ED7" w:rsidRPr="00284ED7" w:rsidRDefault="00284ED7" w:rsidP="00284ED7">
      <w:pPr>
        <w:pStyle w:val="Corpodetexto"/>
        <w:spacing w:before="240"/>
        <w:jc w:val="both"/>
        <w:rPr>
          <w:bCs/>
          <w:lang w:val="pt-BR"/>
        </w:rPr>
      </w:pPr>
      <w:r w:rsidRPr="00284ED7">
        <w:rPr>
          <w:bCs/>
          <w:lang w:val="pt-BR"/>
        </w:rPr>
        <w:t xml:space="preserve">Uma das principais causas de assimetria no repasse de preços é a concorrência imperfeita. Se o mercado é competitivo, é provável que as empresas procurem evitar aumentar as tarifas por longos períodos de tempo (Kaufmann, 2017). </w:t>
      </w:r>
      <w:r w:rsidR="00361DC0">
        <w:rPr>
          <w:bCs/>
          <w:lang w:val="pt-BR"/>
        </w:rPr>
        <w:t>As três principais companhias nacionais, Azul, Gol e Latam, conjuntamente transportaram cerca de 99,6% de cerca das 82,2 milhões de pessoas que voaram domesticamente no ano de 2022 (ANAC, 2023b).</w:t>
      </w:r>
      <w:r w:rsidR="00361DC0" w:rsidRPr="00361DC0">
        <w:rPr>
          <w:bCs/>
          <w:lang w:val="pt-BR"/>
        </w:rPr>
        <w:t xml:space="preserve"> </w:t>
      </w:r>
      <w:r w:rsidR="00361DC0" w:rsidRPr="00284ED7">
        <w:rPr>
          <w:bCs/>
          <w:lang w:val="pt-BR"/>
        </w:rPr>
        <w:t>Consequentemente, é um mercado que está mais suscetível aos repasses assimétricos de preços.</w:t>
      </w:r>
    </w:p>
    <w:p w14:paraId="3BCF962C" w14:textId="477CFFC7" w:rsidR="00284ED7" w:rsidRDefault="00284ED7" w:rsidP="00284ED7">
      <w:pPr>
        <w:pStyle w:val="Corpodetexto"/>
        <w:spacing w:before="240"/>
        <w:jc w:val="both"/>
        <w:rPr>
          <w:bCs/>
          <w:lang w:val="pt-BR"/>
        </w:rPr>
      </w:pPr>
      <w:r w:rsidRPr="00284ED7">
        <w:rPr>
          <w:bCs/>
          <w:lang w:val="pt-BR"/>
        </w:rPr>
        <w:t>Trabalhos sobre o repasse de preços entre querosene de aviação e tarifas aéreas ainda são escassos</w:t>
      </w:r>
      <w:r w:rsidR="00361DC0">
        <w:rPr>
          <w:bCs/>
          <w:lang w:val="pt-BR"/>
        </w:rPr>
        <w:t>, deixando uma lacuna a ser preenchida</w:t>
      </w:r>
      <w:r w:rsidRPr="00284ED7">
        <w:rPr>
          <w:bCs/>
          <w:lang w:val="pt-BR"/>
        </w:rPr>
        <w:t>. Até então, existe uma carência de artigos que abordem o problema no Brasil e também após o período conturbado para os preços, com destaque para a Covid-19 e para o conflito entre a Rússia e a Ucrânia.</w:t>
      </w:r>
      <w:r>
        <w:rPr>
          <w:bCs/>
          <w:lang w:val="pt-BR"/>
        </w:rPr>
        <w:t xml:space="preserve"> </w:t>
      </w:r>
      <w:r w:rsidRPr="00284ED7">
        <w:rPr>
          <w:bCs/>
          <w:lang w:val="pt-BR"/>
        </w:rPr>
        <w:t xml:space="preserve">O objetivo deste trabalho é, portanto, analisar o repasse de preços entre o querosene de aviação e as tarifas aéreas domésticas no Brasil, sobretudo devido à ocorrência de grandes choques externos de preços. O período analisado é de janeiro de 2019 até março de 2023. </w:t>
      </w:r>
    </w:p>
    <w:p w14:paraId="562C5C73" w14:textId="77777777" w:rsidR="000C591E" w:rsidRPr="00284ED7" w:rsidRDefault="000C591E">
      <w:pPr>
        <w:pStyle w:val="Corpodetexto"/>
        <w:rPr>
          <w:rFonts w:ascii="Arial"/>
          <w:b/>
          <w:lang w:val="pt-BR"/>
        </w:rPr>
      </w:pPr>
    </w:p>
    <w:p w14:paraId="78F05C11" w14:textId="08D90E22" w:rsidR="000C591E" w:rsidRDefault="00C11F45">
      <w:pPr>
        <w:ind w:left="840"/>
        <w:rPr>
          <w:rFonts w:ascii="Arial"/>
          <w:b/>
          <w:sz w:val="24"/>
        </w:rPr>
      </w:pPr>
      <w:r>
        <w:rPr>
          <w:rFonts w:ascii="Arial"/>
          <w:b/>
          <w:sz w:val="24"/>
        </w:rPr>
        <w:t>Methods</w:t>
      </w:r>
    </w:p>
    <w:p w14:paraId="62D8C7FE" w14:textId="30D958D0" w:rsidR="00284ED7" w:rsidRPr="00284ED7" w:rsidRDefault="00284ED7" w:rsidP="00284ED7">
      <w:pPr>
        <w:spacing w:before="240"/>
        <w:jc w:val="both"/>
        <w:rPr>
          <w:bCs/>
          <w:sz w:val="20"/>
          <w:szCs w:val="20"/>
          <w:lang w:val="pt-BR"/>
        </w:rPr>
      </w:pPr>
      <w:r w:rsidRPr="00284ED7">
        <w:rPr>
          <w:bCs/>
          <w:sz w:val="20"/>
          <w:szCs w:val="20"/>
          <w:lang w:val="pt-BR"/>
        </w:rPr>
        <w:t xml:space="preserve">Em relação às tarifas aéreas, os dados foram retirados do Painel de Tarifas Aéreas, do site da Agência Nacional de Aviação Civil. Por sua vez, os preços do querosene de aviação foram retirados do US Energy </w:t>
      </w:r>
      <w:proofErr w:type="spellStart"/>
      <w:r w:rsidRPr="00284ED7">
        <w:rPr>
          <w:bCs/>
          <w:sz w:val="20"/>
          <w:szCs w:val="20"/>
          <w:lang w:val="pt-BR"/>
        </w:rPr>
        <w:t>Information</w:t>
      </w:r>
      <w:proofErr w:type="spellEnd"/>
      <w:r w:rsidRPr="00284ED7">
        <w:rPr>
          <w:bCs/>
          <w:sz w:val="20"/>
          <w:szCs w:val="20"/>
          <w:lang w:val="pt-BR"/>
        </w:rPr>
        <w:t xml:space="preserve"> </w:t>
      </w:r>
      <w:proofErr w:type="spellStart"/>
      <w:r w:rsidRPr="00284ED7">
        <w:rPr>
          <w:bCs/>
          <w:sz w:val="20"/>
          <w:szCs w:val="20"/>
          <w:lang w:val="pt-BR"/>
        </w:rPr>
        <w:t>Administration</w:t>
      </w:r>
      <w:proofErr w:type="spellEnd"/>
      <w:r w:rsidRPr="00284ED7">
        <w:rPr>
          <w:bCs/>
          <w:sz w:val="20"/>
          <w:szCs w:val="20"/>
          <w:lang w:val="pt-BR"/>
        </w:rPr>
        <w:t>. A opção pela utilização dos preços do petróleo no Golfo do México reflete a política de preços da Petrobras, baseada no mercado internacional.</w:t>
      </w:r>
    </w:p>
    <w:p w14:paraId="3808F814" w14:textId="5EB2F6E7" w:rsidR="000C591E" w:rsidRPr="00C12C35" w:rsidRDefault="00284ED7" w:rsidP="00C12C35">
      <w:pPr>
        <w:pStyle w:val="Corpodetexto"/>
        <w:spacing w:before="240"/>
        <w:jc w:val="both"/>
        <w:rPr>
          <w:bCs/>
          <w:lang w:val="pt-BR"/>
        </w:rPr>
      </w:pPr>
      <w:r w:rsidRPr="00C12C35">
        <w:rPr>
          <w:bCs/>
          <w:lang w:val="pt-BR"/>
        </w:rPr>
        <w:t>Para analisar como as variações positivas e negativas nos preços do querosene de aviação afetam as tarifas aéreas, é utilizado um modelo de correção e erros</w:t>
      </w:r>
      <w:r w:rsidR="00C12C35" w:rsidRPr="00C12C35">
        <w:rPr>
          <w:bCs/>
          <w:lang w:val="pt-BR"/>
        </w:rPr>
        <w:t>. Conforme apontado por Kaufmann (2017), é importante incluir no modelo o fator sazonalidade, já que em determinados meses do ano a maior demanda por viagens exerce pressão no preço das passagens. A Equação (1) apresenta o modelo estimado:</w:t>
      </w:r>
    </w:p>
    <w:p w14:paraId="2D2CE15F" w14:textId="527DA663" w:rsidR="00C12C35" w:rsidRPr="00C12C35" w:rsidRDefault="00C12C35" w:rsidP="00284ED7">
      <w:pPr>
        <w:pStyle w:val="Corpodetexto"/>
        <w:spacing w:before="240"/>
        <w:rPr>
          <w:rFonts w:ascii="Arial"/>
          <w:b/>
          <w:lang w:val="pt-BR"/>
        </w:rPr>
      </w:pPr>
      <m:oMathPara>
        <m:oMathParaPr>
          <m:jc m:val="right"/>
        </m:oMathParaPr>
        <m:oMath>
          <m:r>
            <w:rPr>
              <w:rFonts w:ascii="Cambria Math" w:eastAsiaTheme="minorEastAsia" w:hAnsi="Cambria Math"/>
              <w:lang w:val="pt-BR"/>
            </w:rPr>
            <m:t>∆</m:t>
          </m:r>
          <m:sSub>
            <m:sSubPr>
              <m:ctrlPr>
                <w:rPr>
                  <w:rFonts w:ascii="Cambria Math" w:eastAsiaTheme="minorEastAsia" w:hAnsi="Cambria Math"/>
                  <w:i/>
                </w:rPr>
              </m:ctrlPr>
            </m:sSubPr>
            <m:e>
              <m:r>
                <w:rPr>
                  <w:rFonts w:ascii="Cambria Math" w:eastAsiaTheme="minorEastAsia" w:hAnsi="Cambria Math"/>
                </w:rPr>
                <m:t>Tarifa</m:t>
              </m:r>
            </m:e>
            <m:sub>
              <m:r>
                <w:rPr>
                  <w:rFonts w:ascii="Cambria Math" w:eastAsiaTheme="minorEastAsia" w:hAnsi="Cambria Math"/>
                </w:rPr>
                <m:t>t</m:t>
              </m:r>
            </m:sub>
          </m:sSub>
          <m:r>
            <w:rPr>
              <w:rFonts w:ascii="Cambria Math" w:eastAsiaTheme="minorEastAsia" w:hAnsi="Cambria Math"/>
              <w:lang w:val="pt-BR"/>
            </w:rPr>
            <m:t xml:space="preserve">= </m:t>
          </m:r>
          <m:sSub>
            <m:sSubPr>
              <m:ctrlPr>
                <w:rPr>
                  <w:rFonts w:ascii="Cambria Math" w:hAnsi="Cambria Math"/>
                  <w:i/>
                </w:rPr>
              </m:ctrlPr>
            </m:sSubPr>
            <m:e>
              <m:r>
                <w:rPr>
                  <w:rFonts w:ascii="Cambria Math" w:hAnsi="Cambria Math"/>
                </w:rPr>
                <m:t>β</m:t>
              </m:r>
            </m:e>
            <m:sub>
              <m:r>
                <w:rPr>
                  <w:rFonts w:ascii="Cambria Math" w:hAnsi="Cambria Math"/>
                  <w:lang w:val="pt-BR"/>
                </w:rPr>
                <m:t>0</m:t>
              </m:r>
            </m:sub>
          </m:sSub>
          <m:r>
            <w:rPr>
              <w:rFonts w:ascii="Cambria Math" w:hAnsi="Cambria Math"/>
              <w:lang w:val="pt-BR"/>
            </w:rPr>
            <m:t xml:space="preserve">+ </m:t>
          </m:r>
          <m:nary>
            <m:naryPr>
              <m:chr m:val="∑"/>
              <m:limLoc m:val="undOvr"/>
              <m:ctrlPr>
                <w:rPr>
                  <w:rFonts w:ascii="Cambria Math" w:hAnsi="Cambria Math"/>
                  <w:i/>
                </w:rPr>
              </m:ctrlPr>
            </m:naryPr>
            <m:sub>
              <m:r>
                <w:rPr>
                  <w:rFonts w:ascii="Cambria Math" w:hAnsi="Cambria Math"/>
                </w:rPr>
                <m:t>i</m:t>
              </m:r>
              <m:r>
                <w:rPr>
                  <w:rFonts w:ascii="Cambria Math" w:hAnsi="Cambria Math"/>
                  <w:lang w:val="pt-BR"/>
                </w:rPr>
                <m:t>=1</m:t>
              </m:r>
            </m:sub>
            <m:sup>
              <m:r>
                <w:rPr>
                  <w:rFonts w:ascii="Cambria Math" w:hAnsi="Cambria Math"/>
                </w:rPr>
                <m:t>I</m:t>
              </m:r>
            </m:sup>
            <m:e>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lang w:val="pt-BR"/>
                </w:rPr>
                <m:t>∆</m:t>
              </m:r>
              <m:sSub>
                <m:sSubPr>
                  <m:ctrlPr>
                    <w:rPr>
                      <w:rFonts w:ascii="Cambria Math" w:hAnsi="Cambria Math"/>
                      <w:i/>
                    </w:rPr>
                  </m:ctrlPr>
                </m:sSubPr>
                <m:e>
                  <m:r>
                    <w:rPr>
                      <w:rFonts w:ascii="Cambria Math" w:hAnsi="Cambria Math"/>
                    </w:rPr>
                    <m:t>Tarifa</m:t>
                  </m:r>
                </m:e>
                <m:sub>
                  <m:r>
                    <w:rPr>
                      <w:rFonts w:ascii="Cambria Math" w:hAnsi="Cambria Math"/>
                    </w:rPr>
                    <m:t>t</m:t>
                  </m:r>
                  <m:r>
                    <w:rPr>
                      <w:rFonts w:ascii="Cambria Math" w:hAnsi="Cambria Math"/>
                      <w:lang w:val="pt-BR"/>
                    </w:rPr>
                    <m:t>-</m:t>
                  </m:r>
                  <m:r>
                    <w:rPr>
                      <w:rFonts w:ascii="Cambria Math" w:hAnsi="Cambria Math"/>
                    </w:rPr>
                    <m:t>i</m:t>
                  </m:r>
                </m:sub>
              </m:sSub>
            </m:e>
          </m:nary>
          <m:r>
            <w:rPr>
              <w:rFonts w:ascii="Cambria Math" w:hAnsi="Cambria Math"/>
              <w:lang w:val="pt-BR"/>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j</m:t>
              </m:r>
              <m:r>
                <w:rPr>
                  <w:rFonts w:ascii="Cambria Math" w:eastAsiaTheme="minorEastAsia" w:hAnsi="Cambria Math"/>
                  <w:lang w:val="pt-BR"/>
                </w:rPr>
                <m:t>=0</m:t>
              </m:r>
            </m:sub>
            <m:sup>
              <m:r>
                <w:rPr>
                  <w:rFonts w:ascii="Cambria Math" w:eastAsiaTheme="minorEastAsia" w:hAnsi="Cambria Math"/>
                </w:rPr>
                <m:t>J</m:t>
              </m:r>
            </m:sup>
            <m:e>
              <m:sSubSup>
                <m:sSubSupPr>
                  <m:ctrlPr>
                    <w:rPr>
                      <w:rFonts w:ascii="Cambria Math" w:eastAsiaTheme="minorEastAsia" w:hAnsi="Cambria Math"/>
                      <w:i/>
                    </w:rPr>
                  </m:ctrlPr>
                </m:sSubSupPr>
                <m:e>
                  <m:r>
                    <w:rPr>
                      <w:rFonts w:ascii="Cambria Math" w:eastAsiaTheme="minorEastAsia" w:hAnsi="Cambria Math"/>
                    </w:rPr>
                    <m:t>γ</m:t>
                  </m:r>
                </m:e>
                <m:sub>
                  <m:r>
                    <w:rPr>
                      <w:rFonts w:ascii="Cambria Math" w:eastAsiaTheme="minorEastAsia" w:hAnsi="Cambria Math"/>
                    </w:rPr>
                    <m:t>j</m:t>
                  </m:r>
                </m:sub>
                <m:sup>
                  <m:r>
                    <w:rPr>
                      <w:rFonts w:ascii="Cambria Math" w:eastAsiaTheme="minorEastAsia" w:hAnsi="Cambria Math"/>
                      <w:lang w:val="pt-BR"/>
                    </w:rPr>
                    <m:t>+</m:t>
                  </m:r>
                </m:sup>
              </m:sSubSup>
              <m:sSubSup>
                <m:sSubSupPr>
                  <m:ctrlPr>
                    <w:rPr>
                      <w:rFonts w:ascii="Cambria Math" w:eastAsiaTheme="minorEastAsia" w:hAnsi="Cambria Math"/>
                      <w:i/>
                    </w:rPr>
                  </m:ctrlPr>
                </m:sSubSupPr>
                <m:e>
                  <m:r>
                    <w:rPr>
                      <w:rFonts w:ascii="Cambria Math" w:eastAsiaTheme="minorEastAsia" w:hAnsi="Cambria Math"/>
                      <w:lang w:val="pt-BR"/>
                    </w:rPr>
                    <m:t>∆</m:t>
                  </m:r>
                  <m:r>
                    <w:rPr>
                      <w:rFonts w:ascii="Cambria Math" w:eastAsiaTheme="minorEastAsia" w:hAnsi="Cambria Math"/>
                    </w:rPr>
                    <m:t>QAV</m:t>
                  </m:r>
                </m:e>
                <m:sub>
                  <m:r>
                    <w:rPr>
                      <w:rFonts w:ascii="Cambria Math" w:eastAsiaTheme="minorEastAsia" w:hAnsi="Cambria Math"/>
                    </w:rPr>
                    <m:t>t</m:t>
                  </m:r>
                  <m:r>
                    <w:rPr>
                      <w:rFonts w:ascii="Cambria Math" w:eastAsiaTheme="minorEastAsia" w:hAnsi="Cambria Math"/>
                      <w:lang w:val="pt-BR"/>
                    </w:rPr>
                    <m:t>-</m:t>
                  </m:r>
                  <m:r>
                    <w:rPr>
                      <w:rFonts w:ascii="Cambria Math" w:eastAsiaTheme="minorEastAsia" w:hAnsi="Cambria Math"/>
                    </w:rPr>
                    <m:t>j</m:t>
                  </m:r>
                </m:sub>
                <m:sup>
                  <m:r>
                    <w:rPr>
                      <w:rFonts w:ascii="Cambria Math" w:eastAsiaTheme="minorEastAsia" w:hAnsi="Cambria Math"/>
                      <w:lang w:val="pt-BR"/>
                    </w:rPr>
                    <m:t>+</m:t>
                  </m:r>
                </m:sup>
              </m:sSubSup>
            </m:e>
          </m:nary>
          <m:r>
            <w:rPr>
              <w:rFonts w:ascii="Cambria Math" w:eastAsiaTheme="minorEastAsia" w:hAnsi="Cambria Math"/>
              <w:lang w:val="pt-BR"/>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j</m:t>
              </m:r>
              <m:r>
                <w:rPr>
                  <w:rFonts w:ascii="Cambria Math" w:eastAsiaTheme="minorEastAsia" w:hAnsi="Cambria Math"/>
                  <w:lang w:val="pt-BR"/>
                </w:rPr>
                <m:t>=0</m:t>
              </m:r>
            </m:sub>
            <m:sup>
              <m:r>
                <w:rPr>
                  <w:rFonts w:ascii="Cambria Math" w:eastAsiaTheme="minorEastAsia" w:hAnsi="Cambria Math"/>
                </w:rPr>
                <m:t>J</m:t>
              </m:r>
            </m:sup>
            <m:e>
              <m:sSubSup>
                <m:sSubSupPr>
                  <m:ctrlPr>
                    <w:rPr>
                      <w:rFonts w:ascii="Cambria Math" w:eastAsiaTheme="minorEastAsia" w:hAnsi="Cambria Math"/>
                      <w:i/>
                    </w:rPr>
                  </m:ctrlPr>
                </m:sSubSupPr>
                <m:e>
                  <m:r>
                    <w:rPr>
                      <w:rFonts w:ascii="Cambria Math" w:eastAsiaTheme="minorEastAsia" w:hAnsi="Cambria Math"/>
                    </w:rPr>
                    <m:t>γ</m:t>
                  </m:r>
                </m:e>
                <m:sub>
                  <m:r>
                    <w:rPr>
                      <w:rFonts w:ascii="Cambria Math" w:eastAsiaTheme="minorEastAsia" w:hAnsi="Cambria Math"/>
                    </w:rPr>
                    <m:t>j</m:t>
                  </m:r>
                </m:sub>
                <m:sup>
                  <m:r>
                    <w:rPr>
                      <w:rFonts w:ascii="Cambria Math" w:eastAsiaTheme="minorEastAsia" w:hAnsi="Cambria Math"/>
                      <w:lang w:val="pt-BR"/>
                    </w:rPr>
                    <m:t>-</m:t>
                  </m:r>
                </m:sup>
              </m:sSubSup>
              <m:sSubSup>
                <m:sSubSupPr>
                  <m:ctrlPr>
                    <w:rPr>
                      <w:rFonts w:ascii="Cambria Math" w:eastAsiaTheme="minorEastAsia" w:hAnsi="Cambria Math"/>
                      <w:i/>
                    </w:rPr>
                  </m:ctrlPr>
                </m:sSubSupPr>
                <m:e>
                  <m:r>
                    <w:rPr>
                      <w:rFonts w:ascii="Cambria Math" w:eastAsiaTheme="minorEastAsia" w:hAnsi="Cambria Math"/>
                      <w:lang w:val="pt-BR"/>
                    </w:rPr>
                    <m:t>∆</m:t>
                  </m:r>
                  <m:r>
                    <w:rPr>
                      <w:rFonts w:ascii="Cambria Math" w:eastAsiaTheme="minorEastAsia" w:hAnsi="Cambria Math"/>
                    </w:rPr>
                    <m:t>QAV</m:t>
                  </m:r>
                </m:e>
                <m:sub>
                  <m:r>
                    <w:rPr>
                      <w:rFonts w:ascii="Cambria Math" w:eastAsiaTheme="minorEastAsia" w:hAnsi="Cambria Math"/>
                    </w:rPr>
                    <m:t>t</m:t>
                  </m:r>
                  <m:r>
                    <w:rPr>
                      <w:rFonts w:ascii="Cambria Math" w:eastAsiaTheme="minorEastAsia" w:hAnsi="Cambria Math"/>
                      <w:lang w:val="pt-BR"/>
                    </w:rPr>
                    <m:t>-</m:t>
                  </m:r>
                  <m:r>
                    <w:rPr>
                      <w:rFonts w:ascii="Cambria Math" w:eastAsiaTheme="minorEastAsia" w:hAnsi="Cambria Math"/>
                    </w:rPr>
                    <m:t>j</m:t>
                  </m:r>
                </m:sub>
                <m:sup>
                  <m:r>
                    <w:rPr>
                      <w:rFonts w:ascii="Cambria Math" w:eastAsiaTheme="minorEastAsia" w:hAnsi="Cambria Math"/>
                      <w:lang w:val="pt-BR"/>
                    </w:rPr>
                    <m:t>-</m:t>
                  </m:r>
                </m:sup>
              </m:sSubSup>
            </m:e>
          </m:nary>
          <m:r>
            <w:rPr>
              <w:rFonts w:ascii="Cambria Math" w:eastAsiaTheme="minorEastAsia" w:hAnsi="Cambria Math"/>
              <w:lang w:val="pt-BR"/>
            </w:rPr>
            <m:t xml:space="preserve">+ </m:t>
          </m:r>
          <m:sSup>
            <m:sSupPr>
              <m:ctrlPr>
                <w:rPr>
                  <w:rFonts w:ascii="Cambria Math" w:eastAsiaTheme="minorEastAsia" w:hAnsi="Cambria Math"/>
                  <w:i/>
                </w:rPr>
              </m:ctrlPr>
            </m:sSupPr>
            <m:e>
              <m:r>
                <w:rPr>
                  <w:rFonts w:ascii="Cambria Math" w:eastAsiaTheme="minorEastAsia" w:hAnsi="Cambria Math"/>
                </w:rPr>
                <m:t>φ</m:t>
              </m:r>
            </m:e>
            <m:sup>
              <m:r>
                <w:rPr>
                  <w:rFonts w:ascii="Cambria Math" w:eastAsiaTheme="minorEastAsia" w:hAnsi="Cambria Math"/>
                  <w:lang w:val="pt-BR"/>
                </w:rPr>
                <m:t>+</m:t>
              </m:r>
            </m:sup>
          </m:sSup>
          <m:sSubSup>
            <m:sSubSupPr>
              <m:ctrlPr>
                <w:rPr>
                  <w:rFonts w:ascii="Cambria Math" w:eastAsiaTheme="minorEastAsia" w:hAnsi="Cambria Math"/>
                  <w:i/>
                </w:rPr>
              </m:ctrlPr>
            </m:sSubSupPr>
            <m:e>
              <m:r>
                <w:rPr>
                  <w:rFonts w:ascii="Cambria Math" w:eastAsiaTheme="minorEastAsia" w:hAnsi="Cambria Math"/>
                </w:rPr>
                <m:t>TCE</m:t>
              </m:r>
            </m:e>
            <m:sub>
              <m:r>
                <w:rPr>
                  <w:rFonts w:ascii="Cambria Math" w:eastAsiaTheme="minorEastAsia" w:hAnsi="Cambria Math"/>
                </w:rPr>
                <m:t>t</m:t>
              </m:r>
              <m:r>
                <w:rPr>
                  <w:rFonts w:ascii="Cambria Math" w:eastAsiaTheme="minorEastAsia" w:hAnsi="Cambria Math"/>
                  <w:lang w:val="pt-BR"/>
                </w:rPr>
                <m:t>-1</m:t>
              </m:r>
            </m:sub>
            <m:sup>
              <m:r>
                <w:rPr>
                  <w:rFonts w:ascii="Cambria Math" w:eastAsiaTheme="minorEastAsia" w:hAnsi="Cambria Math"/>
                  <w:lang w:val="pt-BR"/>
                </w:rPr>
                <m:t>+</m:t>
              </m:r>
            </m:sup>
          </m:sSubSup>
          <m:r>
            <w:rPr>
              <w:rFonts w:ascii="Cambria Math" w:eastAsiaTheme="minorEastAsia" w:hAnsi="Cambria Math"/>
              <w:lang w:val="pt-BR"/>
            </w:rPr>
            <m:t xml:space="preserve">+ </m:t>
          </m:r>
          <m:sSup>
            <m:sSupPr>
              <m:ctrlPr>
                <w:rPr>
                  <w:rFonts w:ascii="Cambria Math" w:eastAsiaTheme="minorEastAsia" w:hAnsi="Cambria Math"/>
                  <w:i/>
                </w:rPr>
              </m:ctrlPr>
            </m:sSupPr>
            <m:e>
              <m:r>
                <w:rPr>
                  <w:rFonts w:ascii="Cambria Math" w:eastAsiaTheme="minorEastAsia" w:hAnsi="Cambria Math"/>
                </w:rPr>
                <m:t>φ</m:t>
              </m:r>
            </m:e>
            <m:sup>
              <m:r>
                <w:rPr>
                  <w:rFonts w:ascii="Cambria Math" w:eastAsiaTheme="minorEastAsia" w:hAnsi="Cambria Math"/>
                  <w:lang w:val="pt-BR"/>
                </w:rPr>
                <m:t>-</m:t>
              </m:r>
            </m:sup>
          </m:sSup>
          <m:sSubSup>
            <m:sSubSupPr>
              <m:ctrlPr>
                <w:rPr>
                  <w:rFonts w:ascii="Cambria Math" w:eastAsiaTheme="minorEastAsia" w:hAnsi="Cambria Math"/>
                  <w:i/>
                </w:rPr>
              </m:ctrlPr>
            </m:sSubSupPr>
            <m:e>
              <m:r>
                <w:rPr>
                  <w:rFonts w:ascii="Cambria Math" w:eastAsiaTheme="minorEastAsia" w:hAnsi="Cambria Math"/>
                </w:rPr>
                <m:t>TCE</m:t>
              </m:r>
            </m:e>
            <m:sub>
              <m:r>
                <w:rPr>
                  <w:rFonts w:ascii="Cambria Math" w:eastAsiaTheme="minorEastAsia" w:hAnsi="Cambria Math"/>
                </w:rPr>
                <m:t>t</m:t>
              </m:r>
              <m:r>
                <w:rPr>
                  <w:rFonts w:ascii="Cambria Math" w:eastAsiaTheme="minorEastAsia" w:hAnsi="Cambria Math"/>
                  <w:lang w:val="pt-BR"/>
                </w:rPr>
                <m:t>-1</m:t>
              </m:r>
            </m:sub>
            <m:sup>
              <m:r>
                <w:rPr>
                  <w:rFonts w:ascii="Cambria Math" w:eastAsiaTheme="minorEastAsia" w:hAnsi="Cambria Math"/>
                  <w:lang w:val="pt-BR"/>
                </w:rPr>
                <m:t>-</m:t>
              </m:r>
            </m:sup>
          </m:sSubSup>
          <m:r>
            <w:rPr>
              <w:rFonts w:ascii="Cambria Math" w:eastAsiaTheme="minorEastAsia" w:hAnsi="Cambria Math"/>
              <w:lang w:val="pt-BR"/>
            </w:rPr>
            <m:t>+</m:t>
          </m:r>
          <m:r>
            <w:rPr>
              <w:rFonts w:ascii="Cambria Math" w:eastAsiaTheme="minorEastAsia" w:hAnsi="Cambria Math"/>
            </w:rPr>
            <m:t>θM</m:t>
          </m:r>
          <m:r>
            <w:rPr>
              <w:rFonts w:ascii="Cambria Math" w:eastAsiaTheme="minorEastAsia" w:hAnsi="Cambria Math"/>
              <w:lang w:val="pt-BR"/>
            </w:rPr>
            <m:t xml:space="preserve">+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m:t>
              </m:r>
            </m:sub>
          </m:sSub>
          <m:r>
            <w:rPr>
              <w:rFonts w:ascii="Cambria Math" w:hAnsi="Cambria Math"/>
              <w:lang w:val="pt-BR"/>
            </w:rPr>
            <m:t xml:space="preserve">                 (1</m:t>
          </m:r>
          <m:r>
            <w:rPr>
              <w:rFonts w:ascii="Cambria Math" w:hAnsi="Cambria Math"/>
              <w:lang w:val="pt-BR"/>
            </w:rPr>
            <m:t>)</m:t>
          </m:r>
        </m:oMath>
      </m:oMathPara>
    </w:p>
    <w:p w14:paraId="6E44E6C4" w14:textId="77777777" w:rsidR="00C12C35" w:rsidRPr="00284ED7" w:rsidRDefault="00C12C35" w:rsidP="00361DC0">
      <w:pPr>
        <w:pStyle w:val="Corpodetexto"/>
        <w:rPr>
          <w:rFonts w:ascii="Arial"/>
          <w:b/>
          <w:lang w:val="pt-BR"/>
        </w:rPr>
      </w:pPr>
    </w:p>
    <w:p w14:paraId="0B4B2271" w14:textId="47679323" w:rsidR="00C12C35" w:rsidRPr="00C12C35" w:rsidRDefault="00C12C35" w:rsidP="008C724F">
      <w:pPr>
        <w:jc w:val="both"/>
        <w:rPr>
          <w:rFonts w:eastAsiaTheme="minorEastAsia"/>
          <w:sz w:val="20"/>
          <w:szCs w:val="20"/>
          <w:lang w:val="pt-BR"/>
        </w:rPr>
      </w:pPr>
      <w:r w:rsidRPr="00C12C35">
        <w:rPr>
          <w:rFonts w:eastAsiaTheme="minorEastAsia"/>
          <w:sz w:val="20"/>
          <w:szCs w:val="20"/>
          <w:lang w:val="pt-BR"/>
        </w:rPr>
        <w:t xml:space="preserve">em que: </w:t>
      </w:r>
      <m:oMath>
        <m:r>
          <w:rPr>
            <w:rFonts w:ascii="Cambria Math" w:eastAsiaTheme="minorEastAsia" w:hAnsi="Cambria Math"/>
            <w:sz w:val="20"/>
            <w:szCs w:val="20"/>
          </w:rPr>
          <m:t>Tarifa</m:t>
        </m:r>
      </m:oMath>
      <w:r w:rsidRPr="00C12C35">
        <w:rPr>
          <w:rFonts w:eastAsiaTheme="minorEastAsia"/>
          <w:sz w:val="20"/>
          <w:szCs w:val="20"/>
          <w:lang w:val="pt-BR"/>
        </w:rPr>
        <w:t xml:space="preserve"> é </w:t>
      </w:r>
      <w:r w:rsidR="00361DC0">
        <w:rPr>
          <w:rFonts w:eastAsiaTheme="minorEastAsia"/>
          <w:sz w:val="20"/>
          <w:szCs w:val="20"/>
          <w:lang w:val="pt-BR"/>
        </w:rPr>
        <w:t>a</w:t>
      </w:r>
      <w:r w:rsidRPr="00C12C35">
        <w:rPr>
          <w:rFonts w:eastAsiaTheme="minorEastAsia"/>
          <w:sz w:val="20"/>
          <w:szCs w:val="20"/>
          <w:lang w:val="pt-BR"/>
        </w:rPr>
        <w:t xml:space="preserve"> tarifa doméstica média; </w:t>
      </w:r>
      <m:oMath>
        <m:r>
          <w:rPr>
            <w:rFonts w:ascii="Cambria Math" w:eastAsiaTheme="minorEastAsia" w:hAnsi="Cambria Math"/>
            <w:sz w:val="20"/>
            <w:szCs w:val="20"/>
          </w:rPr>
          <m:t>QAV</m:t>
        </m:r>
      </m:oMath>
      <w:r w:rsidRPr="00C12C35">
        <w:rPr>
          <w:rFonts w:eastAsiaTheme="minorEastAsia"/>
          <w:sz w:val="20"/>
          <w:szCs w:val="20"/>
          <w:lang w:val="pt-BR"/>
        </w:rPr>
        <w:t xml:space="preserve"> é o preço do litro do querosene de aviação no mercado internacional; </w:t>
      </w:r>
      <m:oMath>
        <m:r>
          <w:rPr>
            <w:rFonts w:ascii="Cambria Math" w:eastAsiaTheme="minorEastAsia" w:hAnsi="Cambria Math"/>
            <w:sz w:val="20"/>
            <w:szCs w:val="20"/>
          </w:rPr>
          <m:t>M</m:t>
        </m:r>
      </m:oMath>
      <w:r w:rsidRPr="00C12C35">
        <w:rPr>
          <w:rFonts w:eastAsiaTheme="minorEastAsia"/>
          <w:sz w:val="20"/>
          <w:szCs w:val="20"/>
          <w:lang w:val="pt-BR"/>
        </w:rPr>
        <w:t xml:space="preserve"> busca captar a sazonalidade das tarifas aéreas e corresponde a 11 variáveis binárias para os meses de fevereiro a dezembro;</w:t>
      </w:r>
      <w:r w:rsidRPr="00C12C35">
        <w:rPr>
          <w:rFonts w:eastAsiaTheme="minorEastAsia"/>
          <w:sz w:val="20"/>
          <w:szCs w:val="20"/>
          <w:lang w:val="pt-BR"/>
        </w:rPr>
        <w:t xml:space="preserve"> </w:t>
      </w:r>
      <m:oMath>
        <m:r>
          <w:rPr>
            <w:rFonts w:ascii="Cambria Math" w:eastAsiaTheme="minorEastAsia" w:hAnsi="Cambria Math"/>
            <w:sz w:val="20"/>
            <w:szCs w:val="20"/>
          </w:rPr>
          <m:t>TCE</m:t>
        </m:r>
      </m:oMath>
      <w:r w:rsidRPr="00C12C35">
        <w:rPr>
          <w:rFonts w:eastAsiaTheme="minorEastAsia"/>
          <w:sz w:val="20"/>
          <w:szCs w:val="20"/>
          <w:lang w:val="pt-BR"/>
        </w:rPr>
        <w:t xml:space="preserve"> </w:t>
      </w:r>
      <w:proofErr w:type="spellStart"/>
      <w:r w:rsidRPr="00C12C35">
        <w:rPr>
          <w:rFonts w:eastAsiaTheme="minorEastAsia"/>
          <w:sz w:val="20"/>
          <w:szCs w:val="20"/>
          <w:lang w:val="pt-BR"/>
        </w:rPr>
        <w:t>é</w:t>
      </w:r>
      <w:proofErr w:type="spellEnd"/>
      <w:r w:rsidRPr="00C12C35">
        <w:rPr>
          <w:rFonts w:eastAsiaTheme="minorEastAsia"/>
          <w:sz w:val="20"/>
          <w:szCs w:val="20"/>
          <w:lang w:val="pt-BR"/>
        </w:rPr>
        <w:t xml:space="preserve"> o termo de correção de erros;</w:t>
      </w:r>
      <w:r w:rsidRPr="00C12C35">
        <w:rPr>
          <w:rFonts w:eastAsiaTheme="minorEastAsia"/>
          <w:sz w:val="20"/>
          <w:szCs w:val="20"/>
          <w:lang w:val="pt-BR"/>
        </w:rPr>
        <w:t xml:space="preserve"> o subscrito </w:t>
      </w:r>
      <m:oMath>
        <m:r>
          <w:rPr>
            <w:rFonts w:ascii="Cambria Math" w:eastAsiaTheme="minorEastAsia" w:hAnsi="Cambria Math"/>
            <w:sz w:val="20"/>
            <w:szCs w:val="20"/>
          </w:rPr>
          <m:t>t</m:t>
        </m:r>
      </m:oMath>
      <w:r w:rsidRPr="00C12C35">
        <w:rPr>
          <w:rFonts w:eastAsiaTheme="minorEastAsia"/>
          <w:sz w:val="20"/>
          <w:szCs w:val="20"/>
          <w:lang w:val="pt-BR"/>
        </w:rPr>
        <w:t xml:space="preserve"> é referente ao tempo, em meses; </w:t>
      </w:r>
      <m:oMath>
        <m:r>
          <w:rPr>
            <w:rFonts w:ascii="Cambria Math" w:eastAsiaTheme="minorEastAsia" w:hAnsi="Cambria Math"/>
            <w:sz w:val="20"/>
            <w:szCs w:val="20"/>
          </w:rPr>
          <m:t>I</m:t>
        </m:r>
      </m:oMath>
      <w:r w:rsidRPr="00C12C35">
        <w:rPr>
          <w:rFonts w:eastAsiaTheme="minorEastAsia"/>
          <w:sz w:val="20"/>
          <w:szCs w:val="20"/>
          <w:lang w:val="pt-BR"/>
        </w:rPr>
        <w:t xml:space="preserve"> e </w:t>
      </w:r>
      <m:oMath>
        <m:r>
          <w:rPr>
            <w:rFonts w:ascii="Cambria Math" w:eastAsiaTheme="minorEastAsia" w:hAnsi="Cambria Math"/>
            <w:sz w:val="20"/>
            <w:szCs w:val="20"/>
          </w:rPr>
          <m:t>J</m:t>
        </m:r>
      </m:oMath>
      <w:r w:rsidRPr="00C12C35">
        <w:rPr>
          <w:rFonts w:eastAsiaTheme="minorEastAsia"/>
          <w:sz w:val="20"/>
          <w:szCs w:val="20"/>
          <w:lang w:val="pt-BR"/>
        </w:rPr>
        <w:t xml:space="preserve"> são os números de defasagens, determinados através de modelos de vetores autorregressivos e critério de </w:t>
      </w:r>
      <w:proofErr w:type="spellStart"/>
      <w:r w:rsidRPr="00C12C35">
        <w:rPr>
          <w:rFonts w:eastAsiaTheme="minorEastAsia"/>
          <w:sz w:val="20"/>
          <w:szCs w:val="20"/>
          <w:lang w:val="pt-BR"/>
        </w:rPr>
        <w:t>Akaike</w:t>
      </w:r>
      <w:proofErr w:type="spellEnd"/>
      <w:r w:rsidRPr="00C12C35">
        <w:rPr>
          <w:rFonts w:eastAsiaTheme="minorEastAsia"/>
          <w:sz w:val="20"/>
          <w:szCs w:val="20"/>
          <w:lang w:val="pt-BR"/>
        </w:rPr>
        <w:t xml:space="preserve">; os somatórios correspondem ao componente dinâmico das variáveis; </w:t>
      </w:r>
      <m:oMath>
        <m:r>
          <w:rPr>
            <w:rFonts w:ascii="Cambria Math" w:eastAsiaTheme="minorEastAsia" w:hAnsi="Cambria Math"/>
            <w:sz w:val="20"/>
            <w:szCs w:val="20"/>
            <w:lang w:val="pt-BR"/>
          </w:rPr>
          <m:t>∆</m:t>
        </m:r>
      </m:oMath>
      <w:r w:rsidRPr="00C12C35">
        <w:rPr>
          <w:rFonts w:eastAsiaTheme="minorEastAsia"/>
          <w:sz w:val="20"/>
          <w:szCs w:val="20"/>
          <w:lang w:val="pt-BR"/>
        </w:rPr>
        <w:t xml:space="preserve"> é o operador da primeira diferença; e os sobrescritos </w:t>
      </w:r>
      <m:oMath>
        <m:r>
          <w:rPr>
            <w:rFonts w:ascii="Cambria Math" w:eastAsiaTheme="minorEastAsia" w:hAnsi="Cambria Math"/>
            <w:sz w:val="20"/>
            <w:szCs w:val="20"/>
            <w:lang w:val="pt-BR"/>
          </w:rPr>
          <m:t>+</m:t>
        </m:r>
      </m:oMath>
      <w:r w:rsidRPr="00C12C35">
        <w:rPr>
          <w:rFonts w:eastAsiaTheme="minorEastAsia"/>
          <w:sz w:val="20"/>
          <w:szCs w:val="20"/>
          <w:lang w:val="pt-BR"/>
        </w:rPr>
        <w:t xml:space="preserve"> e </w:t>
      </w:r>
      <m:oMath>
        <m:r>
          <w:rPr>
            <w:rFonts w:ascii="Cambria Math" w:eastAsiaTheme="minorEastAsia" w:hAnsi="Cambria Math"/>
            <w:sz w:val="20"/>
            <w:szCs w:val="20"/>
            <w:lang w:val="pt-BR"/>
          </w:rPr>
          <m:t>–</m:t>
        </m:r>
      </m:oMath>
      <w:r w:rsidRPr="00C12C35">
        <w:rPr>
          <w:rFonts w:eastAsiaTheme="minorEastAsia"/>
          <w:sz w:val="20"/>
          <w:szCs w:val="20"/>
          <w:lang w:val="pt-BR"/>
        </w:rPr>
        <w:t xml:space="preserve"> são as decomposições positivas e negativas, respectivamente, das variáveis</w:t>
      </w:r>
      <w:r w:rsidRPr="00C12C35">
        <w:rPr>
          <w:rFonts w:eastAsiaTheme="minorEastAsia"/>
          <w:sz w:val="20"/>
          <w:szCs w:val="20"/>
          <w:lang w:val="pt-BR"/>
        </w:rPr>
        <w:t xml:space="preserve">; </w:t>
      </w:r>
      <w:r w:rsidRPr="00C12C35">
        <w:rPr>
          <w:rFonts w:eastAsiaTheme="minorEastAsia"/>
          <w:sz w:val="20"/>
          <w:szCs w:val="20"/>
          <w:lang w:val="pt-BR"/>
        </w:rPr>
        <w:t xml:space="preserve">e </w:t>
      </w:r>
      <m:oMath>
        <m:r>
          <w:rPr>
            <w:rFonts w:ascii="Cambria Math" w:eastAsiaTheme="minorEastAsia" w:hAnsi="Cambria Math"/>
            <w:sz w:val="20"/>
            <w:szCs w:val="20"/>
          </w:rPr>
          <m:t>ε</m:t>
        </m:r>
      </m:oMath>
      <w:r w:rsidRPr="00C12C35">
        <w:rPr>
          <w:rFonts w:eastAsiaTheme="minorEastAsia"/>
          <w:sz w:val="20"/>
          <w:szCs w:val="20"/>
          <w:lang w:val="pt-BR"/>
        </w:rPr>
        <w:t xml:space="preserve"> é termo de erro</w:t>
      </w:r>
      <w:r w:rsidR="00B02B8F">
        <w:rPr>
          <w:rFonts w:eastAsiaTheme="minorEastAsia"/>
          <w:sz w:val="20"/>
          <w:szCs w:val="20"/>
          <w:lang w:val="pt-BR"/>
        </w:rPr>
        <w:t>.</w:t>
      </w:r>
    </w:p>
    <w:p w14:paraId="4BDCC557" w14:textId="0975153A" w:rsidR="00C12C35" w:rsidRDefault="00C12C35" w:rsidP="00C12C35">
      <w:pPr>
        <w:spacing w:before="240"/>
        <w:jc w:val="both"/>
        <w:rPr>
          <w:rFonts w:eastAsiaTheme="minorEastAsia"/>
          <w:sz w:val="20"/>
          <w:szCs w:val="20"/>
          <w:lang w:val="pt-BR"/>
        </w:rPr>
      </w:pPr>
      <w:r w:rsidRPr="00C12C35">
        <w:rPr>
          <w:rFonts w:eastAsiaTheme="minorEastAsia"/>
          <w:sz w:val="20"/>
          <w:szCs w:val="20"/>
          <w:lang w:val="pt-BR"/>
        </w:rPr>
        <w:lastRenderedPageBreak/>
        <w:t xml:space="preserve">Em seguida, </w:t>
      </w:r>
      <w:r w:rsidRPr="00C12C35">
        <w:rPr>
          <w:rFonts w:eastAsiaTheme="minorEastAsia"/>
          <w:sz w:val="20"/>
          <w:szCs w:val="20"/>
          <w:lang w:val="pt-BR"/>
        </w:rPr>
        <w:t>são realizados testes de hipóteses</w:t>
      </w:r>
      <w:r w:rsidRPr="00C12C35">
        <w:rPr>
          <w:rFonts w:eastAsiaTheme="minorEastAsia"/>
          <w:sz w:val="20"/>
          <w:szCs w:val="20"/>
          <w:lang w:val="pt-BR"/>
        </w:rPr>
        <w:t>:</w:t>
      </w:r>
      <w:r>
        <w:rPr>
          <w:rFonts w:eastAsiaTheme="minorEastAsia"/>
          <w:sz w:val="20"/>
          <w:szCs w:val="20"/>
          <w:lang w:val="pt-BR"/>
        </w:rPr>
        <w:t xml:space="preserve"> (i) </w:t>
      </w: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lang w:val="pt-BR"/>
              </w:rPr>
              <m:t>0</m:t>
            </m:r>
          </m:sub>
        </m:sSub>
        <m:r>
          <w:rPr>
            <w:rFonts w:ascii="Cambria Math" w:eastAsiaTheme="minorEastAsia" w:hAnsi="Cambria Math"/>
            <w:sz w:val="20"/>
            <w:szCs w:val="20"/>
            <w:lang w:val="pt-BR"/>
          </w:rPr>
          <m:t xml:space="preserve">: </m:t>
        </m:r>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j</m:t>
            </m:r>
            <m:r>
              <w:rPr>
                <w:rFonts w:ascii="Cambria Math" w:eastAsiaTheme="minorEastAsia" w:hAnsi="Cambria Math"/>
                <w:sz w:val="20"/>
                <w:szCs w:val="20"/>
                <w:lang w:val="pt-BR"/>
              </w:rPr>
              <m:t>=0</m:t>
            </m:r>
          </m:sub>
          <m:sup>
            <m:r>
              <w:rPr>
                <w:rFonts w:ascii="Cambria Math" w:eastAsiaTheme="minorEastAsia" w:hAnsi="Cambria Math"/>
                <w:sz w:val="20"/>
                <w:szCs w:val="20"/>
              </w:rPr>
              <m:t>J</m:t>
            </m:r>
          </m:sup>
          <m:e>
            <m:sSubSup>
              <m:sSubSupPr>
                <m:ctrlPr>
                  <w:rPr>
                    <w:rFonts w:ascii="Cambria Math" w:eastAsiaTheme="minorEastAsia" w:hAnsi="Cambria Math"/>
                    <w:i/>
                    <w:sz w:val="20"/>
                    <w:szCs w:val="20"/>
                  </w:rPr>
                </m:ctrlPr>
              </m:sSubSupPr>
              <m:e>
                <m:r>
                  <w:rPr>
                    <w:rFonts w:ascii="Cambria Math" w:eastAsiaTheme="minorEastAsia" w:hAnsi="Cambria Math"/>
                    <w:sz w:val="20"/>
                    <w:szCs w:val="20"/>
                  </w:rPr>
                  <m:t>γ</m:t>
                </m:r>
              </m:e>
              <m:sub>
                <m:r>
                  <w:rPr>
                    <w:rFonts w:ascii="Cambria Math" w:eastAsiaTheme="minorEastAsia" w:hAnsi="Cambria Math"/>
                    <w:sz w:val="20"/>
                    <w:szCs w:val="20"/>
                  </w:rPr>
                  <m:t>j</m:t>
                </m:r>
              </m:sub>
              <m:sup>
                <m:r>
                  <w:rPr>
                    <w:rFonts w:ascii="Cambria Math" w:eastAsiaTheme="minorEastAsia" w:hAnsi="Cambria Math"/>
                    <w:sz w:val="20"/>
                    <w:szCs w:val="20"/>
                    <w:lang w:val="pt-BR"/>
                  </w:rPr>
                  <m:t>+</m:t>
                </m:r>
              </m:sup>
            </m:sSubSup>
          </m:e>
        </m:nary>
        <m:r>
          <w:rPr>
            <w:rFonts w:ascii="Cambria Math" w:eastAsiaTheme="minorEastAsia" w:hAnsi="Cambria Math"/>
            <w:sz w:val="20"/>
            <w:szCs w:val="20"/>
            <w:lang w:val="pt-BR"/>
          </w:rPr>
          <m:t xml:space="preserve">= </m:t>
        </m:r>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j</m:t>
            </m:r>
            <m:r>
              <w:rPr>
                <w:rFonts w:ascii="Cambria Math" w:eastAsiaTheme="minorEastAsia" w:hAnsi="Cambria Math"/>
                <w:sz w:val="20"/>
                <w:szCs w:val="20"/>
                <w:lang w:val="pt-BR"/>
              </w:rPr>
              <m:t>=0</m:t>
            </m:r>
          </m:sub>
          <m:sup>
            <m:r>
              <w:rPr>
                <w:rFonts w:ascii="Cambria Math" w:eastAsiaTheme="minorEastAsia" w:hAnsi="Cambria Math"/>
                <w:sz w:val="20"/>
                <w:szCs w:val="20"/>
              </w:rPr>
              <m:t>J</m:t>
            </m:r>
          </m:sup>
          <m:e>
            <m:sSubSup>
              <m:sSubSupPr>
                <m:ctrlPr>
                  <w:rPr>
                    <w:rFonts w:ascii="Cambria Math" w:eastAsiaTheme="minorEastAsia" w:hAnsi="Cambria Math"/>
                    <w:i/>
                    <w:sz w:val="20"/>
                    <w:szCs w:val="20"/>
                  </w:rPr>
                </m:ctrlPr>
              </m:sSubSupPr>
              <m:e>
                <m:r>
                  <w:rPr>
                    <w:rFonts w:ascii="Cambria Math" w:eastAsiaTheme="minorEastAsia" w:hAnsi="Cambria Math"/>
                    <w:sz w:val="20"/>
                    <w:szCs w:val="20"/>
                  </w:rPr>
                  <m:t>γ</m:t>
                </m:r>
              </m:e>
              <m:sub>
                <m:r>
                  <w:rPr>
                    <w:rFonts w:ascii="Cambria Math" w:eastAsiaTheme="minorEastAsia" w:hAnsi="Cambria Math"/>
                    <w:sz w:val="20"/>
                    <w:szCs w:val="20"/>
                  </w:rPr>
                  <m:t>j</m:t>
                </m:r>
              </m:sub>
              <m:sup>
                <m:r>
                  <w:rPr>
                    <w:rFonts w:ascii="Cambria Math" w:eastAsiaTheme="minorEastAsia" w:hAnsi="Cambria Math"/>
                    <w:sz w:val="20"/>
                    <w:szCs w:val="20"/>
                    <w:lang w:val="pt-BR"/>
                  </w:rPr>
                  <m:t>-</m:t>
                </m:r>
              </m:sup>
            </m:sSubSup>
          </m:e>
        </m:nary>
      </m:oMath>
      <w:r w:rsidRPr="00C12C35">
        <w:rPr>
          <w:rFonts w:eastAsiaTheme="minorEastAsia"/>
          <w:sz w:val="20"/>
          <w:szCs w:val="20"/>
          <w:lang w:val="pt-BR"/>
        </w:rPr>
        <w:t>;</w:t>
      </w:r>
      <w:r>
        <w:rPr>
          <w:rFonts w:eastAsiaTheme="minorEastAsia"/>
          <w:sz w:val="20"/>
          <w:szCs w:val="20"/>
          <w:lang w:val="pt-BR"/>
        </w:rPr>
        <w:t xml:space="preserve"> e (</w:t>
      </w:r>
      <w:proofErr w:type="spellStart"/>
      <w:r>
        <w:rPr>
          <w:rFonts w:eastAsiaTheme="minorEastAsia"/>
          <w:sz w:val="20"/>
          <w:szCs w:val="20"/>
          <w:lang w:val="pt-BR"/>
        </w:rPr>
        <w:t>ii</w:t>
      </w:r>
      <w:proofErr w:type="spellEnd"/>
      <w:r>
        <w:rPr>
          <w:rFonts w:eastAsiaTheme="minorEastAsia"/>
          <w:sz w:val="20"/>
          <w:szCs w:val="20"/>
          <w:lang w:val="pt-BR"/>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lang w:val="pt-BR"/>
              </w:rPr>
              <m:t>0</m:t>
            </m:r>
          </m:sub>
        </m:sSub>
        <m:r>
          <w:rPr>
            <w:rFonts w:ascii="Cambria Math" w:eastAsiaTheme="minorEastAsia" w:hAnsi="Cambria Math"/>
            <w:sz w:val="20"/>
            <w:szCs w:val="20"/>
            <w:lang w:val="pt-BR"/>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φ</m:t>
            </m:r>
          </m:e>
          <m:sup>
            <m:r>
              <w:rPr>
                <w:rFonts w:ascii="Cambria Math" w:eastAsiaTheme="minorEastAsia" w:hAnsi="Cambria Math"/>
                <w:sz w:val="20"/>
                <w:szCs w:val="20"/>
                <w:lang w:val="pt-BR"/>
              </w:rPr>
              <m:t>+</m:t>
            </m:r>
          </m:sup>
        </m:sSup>
        <m:r>
          <w:rPr>
            <w:rFonts w:ascii="Cambria Math" w:eastAsiaTheme="minorEastAsia" w:hAnsi="Cambria Math"/>
            <w:sz w:val="20"/>
            <w:szCs w:val="20"/>
            <w:lang w:val="pt-BR"/>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φ</m:t>
            </m:r>
          </m:e>
          <m:sup>
            <m:r>
              <w:rPr>
                <w:rFonts w:ascii="Cambria Math" w:eastAsiaTheme="minorEastAsia" w:hAnsi="Cambria Math"/>
                <w:sz w:val="20"/>
                <w:szCs w:val="20"/>
                <w:lang w:val="pt-BR"/>
              </w:rPr>
              <m:t>-</m:t>
            </m:r>
          </m:sup>
        </m:sSup>
      </m:oMath>
      <w:r w:rsidRPr="00C12C35">
        <w:rPr>
          <w:rFonts w:eastAsiaTheme="minorEastAsia"/>
          <w:sz w:val="20"/>
          <w:szCs w:val="20"/>
          <w:lang w:val="pt-BR"/>
        </w:rPr>
        <w:t xml:space="preserve"> </w:t>
      </w:r>
      <w:r w:rsidR="00442509">
        <w:rPr>
          <w:rFonts w:eastAsiaTheme="minorEastAsia"/>
          <w:sz w:val="20"/>
          <w:szCs w:val="20"/>
          <w:lang w:val="pt-BR"/>
        </w:rPr>
        <w:t>. A hipótese nula (i) testa se existem diferenças entre choques positivos e negativos de QAV sobre as tarifas aéreas</w:t>
      </w:r>
      <w:r w:rsidR="008F6EDA">
        <w:rPr>
          <w:rFonts w:eastAsiaTheme="minorEastAsia"/>
          <w:sz w:val="20"/>
          <w:szCs w:val="20"/>
          <w:lang w:val="pt-BR"/>
        </w:rPr>
        <w:t>, ou seja, se há assimetrias de magnitude no reajuste</w:t>
      </w:r>
      <w:r w:rsidR="00442509">
        <w:rPr>
          <w:rFonts w:eastAsiaTheme="minorEastAsia"/>
          <w:sz w:val="20"/>
          <w:szCs w:val="20"/>
          <w:lang w:val="pt-BR"/>
        </w:rPr>
        <w:t>. Já a hipótese nula (</w:t>
      </w:r>
      <w:proofErr w:type="spellStart"/>
      <w:r w:rsidR="00442509">
        <w:rPr>
          <w:rFonts w:eastAsiaTheme="minorEastAsia"/>
          <w:sz w:val="20"/>
          <w:szCs w:val="20"/>
          <w:lang w:val="pt-BR"/>
        </w:rPr>
        <w:t>ii</w:t>
      </w:r>
      <w:proofErr w:type="spellEnd"/>
      <w:r w:rsidR="00442509">
        <w:rPr>
          <w:rFonts w:eastAsiaTheme="minorEastAsia"/>
          <w:sz w:val="20"/>
          <w:szCs w:val="20"/>
          <w:lang w:val="pt-BR"/>
        </w:rPr>
        <w:t>) verifica se a velocidade dos reajustes negativos é a mesma dos reajustes positivos nos preços.</w:t>
      </w:r>
      <w:r w:rsidR="008F6EDA">
        <w:rPr>
          <w:rFonts w:eastAsiaTheme="minorEastAsia"/>
          <w:sz w:val="20"/>
          <w:szCs w:val="20"/>
          <w:lang w:val="pt-BR"/>
        </w:rPr>
        <w:t xml:space="preserve"> Ao recusar as hipóteses nula, ficam evidenciadas a presença de repasses assimétricos de magnitude e de velocidade.</w:t>
      </w:r>
    </w:p>
    <w:p w14:paraId="38FF0FB1" w14:textId="09FFD398" w:rsidR="000C591E" w:rsidRPr="00442509" w:rsidRDefault="00C11F45" w:rsidP="008C724F">
      <w:pPr>
        <w:pStyle w:val="Ttulo1"/>
        <w:spacing w:before="240"/>
        <w:rPr>
          <w:lang w:val="pt-BR"/>
        </w:rPr>
      </w:pPr>
      <w:proofErr w:type="spellStart"/>
      <w:r w:rsidRPr="00442509">
        <w:rPr>
          <w:lang w:val="pt-BR"/>
        </w:rPr>
        <w:t>Results</w:t>
      </w:r>
      <w:proofErr w:type="spellEnd"/>
    </w:p>
    <w:p w14:paraId="2C09CE6C" w14:textId="4BFB61DD" w:rsidR="000C591E" w:rsidRDefault="00442509" w:rsidP="00AE649A">
      <w:pPr>
        <w:pStyle w:val="Corpodetexto"/>
        <w:spacing w:before="240"/>
        <w:jc w:val="both"/>
        <w:rPr>
          <w:bCs/>
          <w:lang w:val="pt-BR"/>
        </w:rPr>
      </w:pPr>
      <w:r w:rsidRPr="00AE649A">
        <w:rPr>
          <w:bCs/>
          <w:lang w:val="pt-BR"/>
        </w:rPr>
        <w:t>O período analisado cobre 40 meses. Durante esse período, o preço do querosene de aviação subiu em 29 ocasiões, enquanto as tarifas aumentara</w:t>
      </w:r>
      <w:r w:rsidR="00AE649A" w:rsidRPr="00AE649A">
        <w:rPr>
          <w:bCs/>
          <w:lang w:val="pt-BR"/>
        </w:rPr>
        <w:t>m 25 vezes. Em média, o reajuste médio positivo do QAV foi de 11,27% e, para as tarifas, esse mesmo reajuste foi de 10,63%. Ainda neste período, o preço do QAV caiu em 21 meses, com uma redução média de 9,73%. Já as tarifas caíram em 25 meses, com redução um pouco menor: 7,47%.</w:t>
      </w:r>
    </w:p>
    <w:p w14:paraId="312B9B14" w14:textId="751BB1D6" w:rsidR="008F6EDA" w:rsidRPr="00AE649A" w:rsidRDefault="008F6EDA" w:rsidP="00AE649A">
      <w:pPr>
        <w:pStyle w:val="Corpodetexto"/>
        <w:spacing w:before="240"/>
        <w:jc w:val="both"/>
        <w:rPr>
          <w:bCs/>
          <w:lang w:val="pt-BR"/>
        </w:rPr>
      </w:pPr>
      <w:r>
        <w:rPr>
          <w:bCs/>
          <w:lang w:val="pt-BR"/>
        </w:rPr>
        <w:t xml:space="preserve">Além disso, a partir dos coeficientes obtidos na estimação da Equação (1), foram realizados os testes de hipótese visando detectar assimetrias no </w:t>
      </w:r>
      <w:proofErr w:type="spellStart"/>
      <w:r w:rsidRPr="00361DC0">
        <w:rPr>
          <w:bCs/>
          <w:i/>
          <w:iCs/>
          <w:lang w:val="pt-BR"/>
        </w:rPr>
        <w:t>pass-through</w:t>
      </w:r>
      <w:proofErr w:type="spellEnd"/>
      <w:r>
        <w:rPr>
          <w:bCs/>
          <w:lang w:val="pt-BR"/>
        </w:rPr>
        <w:t xml:space="preserve"> do querosene de aviação para o preço das passagens aéreas domésticas. Os resultados na Tabela 1, abaixo:</w:t>
      </w:r>
    </w:p>
    <w:p w14:paraId="0F40C5E7" w14:textId="77777777" w:rsidR="000C591E" w:rsidRDefault="000C591E">
      <w:pPr>
        <w:pStyle w:val="Corpodetexto"/>
        <w:rPr>
          <w:rFonts w:ascii="Arial"/>
          <w:b/>
          <w:lang w:val="pt-BR"/>
        </w:rPr>
      </w:pPr>
    </w:p>
    <w:p w14:paraId="44322FB0" w14:textId="59D298E0" w:rsidR="00F30C3B" w:rsidRPr="00F30C3B" w:rsidRDefault="00F30C3B" w:rsidP="008C724F">
      <w:pPr>
        <w:pStyle w:val="Corpodetexto"/>
        <w:jc w:val="center"/>
        <w:rPr>
          <w:bCs/>
          <w:lang w:val="pt-BR"/>
        </w:rPr>
      </w:pPr>
      <w:r w:rsidRPr="00F30C3B">
        <w:rPr>
          <w:bCs/>
          <w:lang w:val="pt-BR"/>
        </w:rPr>
        <w:t>Tabela 1: Resultados dos testes de assimetrias no repasse</w:t>
      </w:r>
    </w:p>
    <w:tbl>
      <w:tblPr>
        <w:tblStyle w:val="TabeladeGradeClara"/>
        <w:tblW w:w="8335" w:type="dxa"/>
        <w:jc w:val="center"/>
        <w:tblLook w:val="04A0" w:firstRow="1" w:lastRow="0" w:firstColumn="1" w:lastColumn="0" w:noHBand="0" w:noVBand="1"/>
      </w:tblPr>
      <w:tblGrid>
        <w:gridCol w:w="2269"/>
        <w:gridCol w:w="3119"/>
        <w:gridCol w:w="2947"/>
      </w:tblGrid>
      <w:tr w:rsidR="00361DC0" w:rsidRPr="00E66568" w14:paraId="6483C6D6" w14:textId="77777777" w:rsidTr="00F30C3B">
        <w:trPr>
          <w:trHeight w:val="335"/>
          <w:jc w:val="center"/>
        </w:trPr>
        <w:tc>
          <w:tcPr>
            <w:tcW w:w="2269" w:type="dxa"/>
            <w:tcBorders>
              <w:top w:val="single" w:sz="4" w:space="0" w:color="auto"/>
              <w:bottom w:val="single" w:sz="4" w:space="0" w:color="auto"/>
            </w:tcBorders>
            <w:vAlign w:val="center"/>
          </w:tcPr>
          <w:p w14:paraId="131DA912" w14:textId="77777777" w:rsidR="00361DC0" w:rsidRPr="00361DC0" w:rsidRDefault="00361DC0" w:rsidP="00361DC0">
            <w:pPr>
              <w:jc w:val="both"/>
              <w:rPr>
                <w:b/>
                <w:bCs/>
                <w:sz w:val="20"/>
                <w:szCs w:val="20"/>
              </w:rPr>
            </w:pPr>
            <w:r w:rsidRPr="00361DC0">
              <w:rPr>
                <w:b/>
                <w:bCs/>
                <w:sz w:val="20"/>
                <w:szCs w:val="20"/>
              </w:rPr>
              <w:t>Hipótese testada</w:t>
            </w:r>
          </w:p>
        </w:tc>
        <w:tc>
          <w:tcPr>
            <w:tcW w:w="3119" w:type="dxa"/>
            <w:tcBorders>
              <w:top w:val="single" w:sz="4" w:space="0" w:color="auto"/>
              <w:bottom w:val="single" w:sz="4" w:space="0" w:color="auto"/>
            </w:tcBorders>
            <w:vAlign w:val="center"/>
          </w:tcPr>
          <w:p w14:paraId="3AD7B319" w14:textId="679CA80E" w:rsidR="00361DC0" w:rsidRPr="00361DC0" w:rsidRDefault="00361DC0" w:rsidP="00361DC0">
            <w:pPr>
              <w:jc w:val="both"/>
              <w:rPr>
                <w:b/>
                <w:bCs/>
                <w:sz w:val="20"/>
                <w:szCs w:val="20"/>
              </w:rPr>
            </w:pPr>
            <m:oMath>
              <m:r>
                <m:rPr>
                  <m:sty m:val="bi"/>
                </m:rPr>
                <w:rPr>
                  <w:rFonts w:ascii="Cambria Math" w:eastAsiaTheme="minorEastAsia" w:hAnsi="Cambria Math"/>
                  <w:sz w:val="20"/>
                  <w:szCs w:val="20"/>
                </w:rPr>
                <m:t xml:space="preserve">                 </m:t>
              </m:r>
              <m:nary>
                <m:naryPr>
                  <m:chr m:val="∑"/>
                  <m:limLoc m:val="undOvr"/>
                  <m:ctrlPr>
                    <w:rPr>
                      <w:rFonts w:ascii="Cambria Math" w:eastAsiaTheme="minorEastAsia" w:hAnsi="Cambria Math"/>
                      <w:b/>
                      <w:bCs/>
                      <w:i/>
                      <w:sz w:val="20"/>
                      <w:szCs w:val="20"/>
                    </w:rPr>
                  </m:ctrlPr>
                </m:naryPr>
                <m:sub>
                  <m:r>
                    <m:rPr>
                      <m:sty m:val="bi"/>
                    </m:rPr>
                    <w:rPr>
                      <w:rFonts w:ascii="Cambria Math" w:eastAsiaTheme="minorEastAsia" w:hAnsi="Cambria Math"/>
                      <w:sz w:val="20"/>
                      <w:szCs w:val="20"/>
                    </w:rPr>
                    <m:t>j=0</m:t>
                  </m:r>
                </m:sub>
                <m:sup>
                  <m:r>
                    <m:rPr>
                      <m:sty m:val="bi"/>
                    </m:rPr>
                    <w:rPr>
                      <w:rFonts w:ascii="Cambria Math" w:eastAsiaTheme="minorEastAsia" w:hAnsi="Cambria Math"/>
                      <w:sz w:val="20"/>
                      <w:szCs w:val="20"/>
                    </w:rPr>
                    <m:t>J</m:t>
                  </m:r>
                </m:sup>
                <m:e>
                  <m:sSubSup>
                    <m:sSubSupPr>
                      <m:ctrlPr>
                        <w:rPr>
                          <w:rFonts w:ascii="Cambria Math" w:eastAsiaTheme="minorEastAsia" w:hAnsi="Cambria Math"/>
                          <w:b/>
                          <w:bCs/>
                          <w:i/>
                          <w:sz w:val="20"/>
                          <w:szCs w:val="20"/>
                        </w:rPr>
                      </m:ctrlPr>
                    </m:sSubSupPr>
                    <m:e>
                      <m:r>
                        <m:rPr>
                          <m:sty m:val="bi"/>
                        </m:rPr>
                        <w:rPr>
                          <w:rFonts w:ascii="Cambria Math" w:eastAsiaTheme="minorEastAsia" w:hAnsi="Cambria Math"/>
                          <w:sz w:val="20"/>
                          <w:szCs w:val="20"/>
                        </w:rPr>
                        <m:t>γ</m:t>
                      </m:r>
                    </m:e>
                    <m:sub>
                      <m:r>
                        <m:rPr>
                          <m:sty m:val="bi"/>
                        </m:rPr>
                        <w:rPr>
                          <w:rFonts w:ascii="Cambria Math" w:eastAsiaTheme="minorEastAsia" w:hAnsi="Cambria Math"/>
                          <w:sz w:val="20"/>
                          <w:szCs w:val="20"/>
                        </w:rPr>
                        <m:t>j</m:t>
                      </m:r>
                    </m:sub>
                    <m:sup>
                      <m:r>
                        <m:rPr>
                          <m:sty m:val="bi"/>
                        </m:rPr>
                        <w:rPr>
                          <w:rFonts w:ascii="Cambria Math" w:eastAsiaTheme="minorEastAsia" w:hAnsi="Cambria Math"/>
                          <w:sz w:val="20"/>
                          <w:szCs w:val="20"/>
                        </w:rPr>
                        <m:t>+</m:t>
                      </m:r>
                    </m:sup>
                  </m:sSubSup>
                </m:e>
              </m:nary>
              <m:r>
                <m:rPr>
                  <m:sty m:val="bi"/>
                </m:rPr>
                <w:rPr>
                  <w:rFonts w:ascii="Cambria Math" w:eastAsiaTheme="minorEastAsia" w:hAnsi="Cambria Math"/>
                  <w:sz w:val="20"/>
                  <w:szCs w:val="20"/>
                </w:rPr>
                <m:t xml:space="preserve">= </m:t>
              </m:r>
              <m:nary>
                <m:naryPr>
                  <m:chr m:val="∑"/>
                  <m:limLoc m:val="undOvr"/>
                  <m:ctrlPr>
                    <w:rPr>
                      <w:rFonts w:ascii="Cambria Math" w:eastAsiaTheme="minorEastAsia" w:hAnsi="Cambria Math"/>
                      <w:b/>
                      <w:bCs/>
                      <w:i/>
                      <w:sz w:val="20"/>
                      <w:szCs w:val="20"/>
                    </w:rPr>
                  </m:ctrlPr>
                </m:naryPr>
                <m:sub>
                  <m:r>
                    <m:rPr>
                      <m:sty m:val="bi"/>
                    </m:rPr>
                    <w:rPr>
                      <w:rFonts w:ascii="Cambria Math" w:eastAsiaTheme="minorEastAsia" w:hAnsi="Cambria Math"/>
                      <w:sz w:val="20"/>
                      <w:szCs w:val="20"/>
                    </w:rPr>
                    <m:t>j=0</m:t>
                  </m:r>
                </m:sub>
                <m:sup>
                  <m:r>
                    <m:rPr>
                      <m:sty m:val="bi"/>
                    </m:rPr>
                    <w:rPr>
                      <w:rFonts w:ascii="Cambria Math" w:eastAsiaTheme="minorEastAsia" w:hAnsi="Cambria Math"/>
                      <w:sz w:val="20"/>
                      <w:szCs w:val="20"/>
                    </w:rPr>
                    <m:t>J</m:t>
                  </m:r>
                </m:sup>
                <m:e>
                  <m:sSubSup>
                    <m:sSubSupPr>
                      <m:ctrlPr>
                        <w:rPr>
                          <w:rFonts w:ascii="Cambria Math" w:eastAsiaTheme="minorEastAsia" w:hAnsi="Cambria Math"/>
                          <w:b/>
                          <w:bCs/>
                          <w:i/>
                          <w:sz w:val="20"/>
                          <w:szCs w:val="20"/>
                        </w:rPr>
                      </m:ctrlPr>
                    </m:sSubSupPr>
                    <m:e>
                      <m:r>
                        <m:rPr>
                          <m:sty m:val="bi"/>
                        </m:rPr>
                        <w:rPr>
                          <w:rFonts w:ascii="Cambria Math" w:eastAsiaTheme="minorEastAsia" w:hAnsi="Cambria Math"/>
                          <w:sz w:val="20"/>
                          <w:szCs w:val="20"/>
                        </w:rPr>
                        <m:t>γ</m:t>
                      </m:r>
                    </m:e>
                    <m:sub>
                      <m:r>
                        <m:rPr>
                          <m:sty m:val="bi"/>
                        </m:rPr>
                        <w:rPr>
                          <w:rFonts w:ascii="Cambria Math" w:eastAsiaTheme="minorEastAsia" w:hAnsi="Cambria Math"/>
                          <w:sz w:val="20"/>
                          <w:szCs w:val="20"/>
                        </w:rPr>
                        <m:t>j</m:t>
                      </m:r>
                    </m:sub>
                    <m:sup>
                      <m:r>
                        <m:rPr>
                          <m:sty m:val="bi"/>
                        </m:rPr>
                        <w:rPr>
                          <w:rFonts w:ascii="Cambria Math" w:eastAsiaTheme="minorEastAsia" w:hAnsi="Cambria Math"/>
                          <w:sz w:val="20"/>
                          <w:szCs w:val="20"/>
                        </w:rPr>
                        <m:t>-</m:t>
                      </m:r>
                    </m:sup>
                  </m:sSubSup>
                </m:e>
              </m:nary>
            </m:oMath>
            <w:r w:rsidRPr="00361DC0">
              <w:rPr>
                <w:rFonts w:eastAsiaTheme="minorEastAsia"/>
                <w:b/>
                <w:bCs/>
                <w:sz w:val="20"/>
                <w:szCs w:val="20"/>
              </w:rPr>
              <w:t xml:space="preserve"> </w:t>
            </w:r>
          </w:p>
        </w:tc>
        <w:tc>
          <w:tcPr>
            <w:tcW w:w="2947" w:type="dxa"/>
            <w:tcBorders>
              <w:top w:val="single" w:sz="4" w:space="0" w:color="auto"/>
              <w:bottom w:val="single" w:sz="4" w:space="0" w:color="auto"/>
            </w:tcBorders>
            <w:vAlign w:val="center"/>
          </w:tcPr>
          <w:p w14:paraId="7FFE9414" w14:textId="77777777" w:rsidR="00361DC0" w:rsidRPr="00361DC0" w:rsidRDefault="00361DC0" w:rsidP="00361DC0">
            <w:pPr>
              <w:jc w:val="both"/>
              <w:rPr>
                <w:b/>
                <w:bCs/>
                <w:sz w:val="20"/>
                <w:szCs w:val="20"/>
              </w:rPr>
            </w:pPr>
            <m:oMathPara>
              <m:oMath>
                <m:sSup>
                  <m:sSupPr>
                    <m:ctrlPr>
                      <w:rPr>
                        <w:rFonts w:ascii="Cambria Math" w:eastAsiaTheme="minorEastAsia" w:hAnsi="Cambria Math"/>
                        <w:b/>
                        <w:bCs/>
                        <w:i/>
                        <w:sz w:val="20"/>
                        <w:szCs w:val="20"/>
                      </w:rPr>
                    </m:ctrlPr>
                  </m:sSupPr>
                  <m:e>
                    <m:r>
                      <m:rPr>
                        <m:sty m:val="bi"/>
                      </m:rPr>
                      <w:rPr>
                        <w:rFonts w:ascii="Cambria Math" w:eastAsiaTheme="minorEastAsia" w:hAnsi="Cambria Math"/>
                        <w:sz w:val="20"/>
                        <w:szCs w:val="20"/>
                      </w:rPr>
                      <m:t>φ</m:t>
                    </m:r>
                  </m:e>
                  <m:sup>
                    <m:r>
                      <m:rPr>
                        <m:sty m:val="bi"/>
                      </m:rPr>
                      <w:rPr>
                        <w:rFonts w:ascii="Cambria Math" w:eastAsiaTheme="minorEastAsia" w:hAnsi="Cambria Math"/>
                        <w:sz w:val="20"/>
                        <w:szCs w:val="20"/>
                      </w:rPr>
                      <m:t>+</m:t>
                    </m:r>
                  </m:sup>
                </m:sSup>
                <m:r>
                  <m:rPr>
                    <m:sty m:val="bi"/>
                  </m:rPr>
                  <w:rPr>
                    <w:rFonts w:ascii="Cambria Math" w:eastAsiaTheme="minorEastAsia" w:hAnsi="Cambria Math"/>
                    <w:sz w:val="20"/>
                    <w:szCs w:val="20"/>
                  </w:rPr>
                  <m:t xml:space="preserve">= </m:t>
                </m:r>
                <m:sSup>
                  <m:sSupPr>
                    <m:ctrlPr>
                      <w:rPr>
                        <w:rFonts w:ascii="Cambria Math" w:eastAsiaTheme="minorEastAsia" w:hAnsi="Cambria Math"/>
                        <w:b/>
                        <w:bCs/>
                        <w:i/>
                        <w:sz w:val="20"/>
                        <w:szCs w:val="20"/>
                      </w:rPr>
                    </m:ctrlPr>
                  </m:sSupPr>
                  <m:e>
                    <m:r>
                      <m:rPr>
                        <m:sty m:val="bi"/>
                      </m:rPr>
                      <w:rPr>
                        <w:rFonts w:ascii="Cambria Math" w:eastAsiaTheme="minorEastAsia" w:hAnsi="Cambria Math"/>
                        <w:sz w:val="20"/>
                        <w:szCs w:val="20"/>
                      </w:rPr>
                      <m:t>φ</m:t>
                    </m:r>
                  </m:e>
                  <m:sup>
                    <m:r>
                      <m:rPr>
                        <m:sty m:val="bi"/>
                      </m:rPr>
                      <w:rPr>
                        <w:rFonts w:ascii="Cambria Math" w:eastAsiaTheme="minorEastAsia" w:hAnsi="Cambria Math"/>
                        <w:sz w:val="20"/>
                        <w:szCs w:val="20"/>
                      </w:rPr>
                      <m:t>-</m:t>
                    </m:r>
                  </m:sup>
                </m:sSup>
              </m:oMath>
            </m:oMathPara>
          </w:p>
        </w:tc>
      </w:tr>
      <w:tr w:rsidR="00361DC0" w:rsidRPr="00E66568" w14:paraId="3C6DCDE4" w14:textId="77777777" w:rsidTr="00F30C3B">
        <w:trPr>
          <w:trHeight w:val="311"/>
          <w:jc w:val="center"/>
        </w:trPr>
        <w:tc>
          <w:tcPr>
            <w:tcW w:w="2269" w:type="dxa"/>
            <w:tcBorders>
              <w:top w:val="single" w:sz="4" w:space="0" w:color="auto"/>
            </w:tcBorders>
          </w:tcPr>
          <w:p w14:paraId="2E6FFE73" w14:textId="77D78D20" w:rsidR="00361DC0" w:rsidRPr="00361DC0" w:rsidRDefault="00361DC0" w:rsidP="00361DC0">
            <w:pPr>
              <w:jc w:val="both"/>
              <w:rPr>
                <w:sz w:val="20"/>
                <w:szCs w:val="20"/>
              </w:rPr>
            </w:pPr>
            <w:r w:rsidRPr="00361DC0">
              <w:rPr>
                <w:sz w:val="20"/>
                <w:szCs w:val="20"/>
              </w:rPr>
              <w:t>Estatística F</w:t>
            </w:r>
            <w:r>
              <w:rPr>
                <w:sz w:val="20"/>
                <w:szCs w:val="20"/>
              </w:rPr>
              <w:t xml:space="preserve"> (p-valor)</w:t>
            </w:r>
          </w:p>
        </w:tc>
        <w:tc>
          <w:tcPr>
            <w:tcW w:w="3119" w:type="dxa"/>
            <w:tcBorders>
              <w:top w:val="single" w:sz="4" w:space="0" w:color="auto"/>
            </w:tcBorders>
          </w:tcPr>
          <w:p w14:paraId="0DC7E612" w14:textId="5DDE7A85" w:rsidR="00361DC0" w:rsidRPr="00361DC0" w:rsidRDefault="00361DC0" w:rsidP="00361DC0">
            <w:pPr>
              <w:jc w:val="center"/>
              <w:rPr>
                <w:sz w:val="20"/>
                <w:szCs w:val="20"/>
              </w:rPr>
            </w:pPr>
            <w:r w:rsidRPr="00361DC0">
              <w:rPr>
                <w:sz w:val="20"/>
                <w:szCs w:val="20"/>
              </w:rPr>
              <w:t>0,03</w:t>
            </w:r>
            <w:r>
              <w:rPr>
                <w:sz w:val="20"/>
                <w:szCs w:val="20"/>
              </w:rPr>
              <w:t xml:space="preserve"> (0,8615)</w:t>
            </w:r>
          </w:p>
        </w:tc>
        <w:tc>
          <w:tcPr>
            <w:tcW w:w="2947" w:type="dxa"/>
            <w:tcBorders>
              <w:top w:val="single" w:sz="4" w:space="0" w:color="auto"/>
            </w:tcBorders>
          </w:tcPr>
          <w:p w14:paraId="48D20745" w14:textId="26D23E51" w:rsidR="00361DC0" w:rsidRPr="00361DC0" w:rsidRDefault="00361DC0" w:rsidP="00361DC0">
            <w:pPr>
              <w:jc w:val="center"/>
              <w:rPr>
                <w:sz w:val="20"/>
                <w:szCs w:val="20"/>
              </w:rPr>
            </w:pPr>
            <w:r w:rsidRPr="00361DC0">
              <w:rPr>
                <w:sz w:val="20"/>
                <w:szCs w:val="20"/>
              </w:rPr>
              <w:t>0,17</w:t>
            </w:r>
            <w:r>
              <w:rPr>
                <w:sz w:val="20"/>
                <w:szCs w:val="20"/>
              </w:rPr>
              <w:t xml:space="preserve"> (0,6851)</w:t>
            </w:r>
          </w:p>
        </w:tc>
      </w:tr>
      <w:tr w:rsidR="00361DC0" w:rsidRPr="00E66568" w14:paraId="78E60677" w14:textId="77777777" w:rsidTr="00F30C3B">
        <w:trPr>
          <w:trHeight w:val="277"/>
          <w:jc w:val="center"/>
        </w:trPr>
        <w:tc>
          <w:tcPr>
            <w:tcW w:w="2269" w:type="dxa"/>
            <w:tcBorders>
              <w:bottom w:val="single" w:sz="4" w:space="0" w:color="auto"/>
            </w:tcBorders>
          </w:tcPr>
          <w:p w14:paraId="1E3306F9" w14:textId="77777777" w:rsidR="00361DC0" w:rsidRPr="00361DC0" w:rsidRDefault="00361DC0" w:rsidP="00361DC0">
            <w:pPr>
              <w:jc w:val="both"/>
              <w:rPr>
                <w:sz w:val="20"/>
                <w:szCs w:val="20"/>
              </w:rPr>
            </w:pPr>
            <w:r w:rsidRPr="00361DC0">
              <w:rPr>
                <w:sz w:val="20"/>
                <w:szCs w:val="20"/>
              </w:rPr>
              <w:t>Resultado</w:t>
            </w:r>
          </w:p>
        </w:tc>
        <w:tc>
          <w:tcPr>
            <w:tcW w:w="3119" w:type="dxa"/>
            <w:tcBorders>
              <w:bottom w:val="single" w:sz="4" w:space="0" w:color="auto"/>
            </w:tcBorders>
          </w:tcPr>
          <w:p w14:paraId="485920CF" w14:textId="6739A1FB" w:rsidR="00361DC0" w:rsidRPr="00361DC0" w:rsidRDefault="00361DC0" w:rsidP="00361DC0">
            <w:pPr>
              <w:jc w:val="center"/>
              <w:rPr>
                <w:sz w:val="20"/>
                <w:szCs w:val="20"/>
              </w:rPr>
            </w:pPr>
            <w:r w:rsidRPr="00361DC0">
              <w:rPr>
                <w:sz w:val="20"/>
                <w:szCs w:val="20"/>
              </w:rPr>
              <w:t>Repasse simétrico</w:t>
            </w:r>
            <w:r>
              <w:rPr>
                <w:sz w:val="20"/>
                <w:szCs w:val="20"/>
              </w:rPr>
              <w:t xml:space="preserve"> de magnitude</w:t>
            </w:r>
          </w:p>
        </w:tc>
        <w:tc>
          <w:tcPr>
            <w:tcW w:w="2947" w:type="dxa"/>
            <w:tcBorders>
              <w:bottom w:val="single" w:sz="4" w:space="0" w:color="auto"/>
            </w:tcBorders>
          </w:tcPr>
          <w:p w14:paraId="1E4C870F" w14:textId="11944D4B" w:rsidR="00361DC0" w:rsidRPr="00361DC0" w:rsidRDefault="00361DC0" w:rsidP="00361DC0">
            <w:pPr>
              <w:jc w:val="center"/>
              <w:rPr>
                <w:sz w:val="20"/>
                <w:szCs w:val="20"/>
              </w:rPr>
            </w:pPr>
            <w:r w:rsidRPr="00361DC0">
              <w:rPr>
                <w:sz w:val="20"/>
                <w:szCs w:val="20"/>
              </w:rPr>
              <w:t>Repasse simétrico</w:t>
            </w:r>
            <w:r>
              <w:rPr>
                <w:sz w:val="20"/>
                <w:szCs w:val="20"/>
              </w:rPr>
              <w:t xml:space="preserve"> de velocidade</w:t>
            </w:r>
          </w:p>
        </w:tc>
      </w:tr>
    </w:tbl>
    <w:p w14:paraId="008F4383" w14:textId="77777777" w:rsidR="00361DC0" w:rsidRPr="00442509" w:rsidRDefault="00361DC0">
      <w:pPr>
        <w:pStyle w:val="Corpodetexto"/>
        <w:rPr>
          <w:rFonts w:ascii="Arial"/>
          <w:b/>
          <w:lang w:val="pt-BR"/>
        </w:rPr>
      </w:pPr>
    </w:p>
    <w:p w14:paraId="4636BE87" w14:textId="6BC0EDF8" w:rsidR="000C591E" w:rsidRDefault="00757868" w:rsidP="00757868">
      <w:pPr>
        <w:pStyle w:val="Corpodetexto"/>
        <w:jc w:val="both"/>
        <w:rPr>
          <w:bCs/>
          <w:lang w:val="pt-BR"/>
        </w:rPr>
      </w:pPr>
      <w:r w:rsidRPr="00757868">
        <w:rPr>
          <w:bCs/>
          <w:lang w:val="pt-BR"/>
        </w:rPr>
        <w:t xml:space="preserve">Conforme disposto, os resultados indicam que não há indícios estatísticos de um padrão assimétrico de repasse de preços do QAV às tarifas aéreas domésticas. </w:t>
      </w:r>
      <w:r w:rsidRPr="00757868">
        <w:rPr>
          <w:bCs/>
          <w:lang w:val="pt-BR"/>
        </w:rPr>
        <w:t>Mesmo com um mercado concentrado e dominado por três empresas, pela ótica do repasse de preços é possível inferir que existe competição entre as empresas aéreas domésticas</w:t>
      </w:r>
      <w:r>
        <w:rPr>
          <w:bCs/>
          <w:lang w:val="pt-BR"/>
        </w:rPr>
        <w:t>.</w:t>
      </w:r>
    </w:p>
    <w:p w14:paraId="48518B31" w14:textId="77777777" w:rsidR="00757868" w:rsidRPr="00757868" w:rsidRDefault="00757868" w:rsidP="00757868">
      <w:pPr>
        <w:pStyle w:val="Corpodetexto"/>
        <w:jc w:val="both"/>
        <w:rPr>
          <w:bCs/>
          <w:lang w:val="pt-BR"/>
        </w:rPr>
      </w:pPr>
    </w:p>
    <w:p w14:paraId="3D382AD8" w14:textId="36652C43" w:rsidR="000C591E" w:rsidRPr="00757868" w:rsidRDefault="00C11F45" w:rsidP="00757868">
      <w:pPr>
        <w:pStyle w:val="Ttulo1"/>
        <w:rPr>
          <w:lang w:val="pt-BR"/>
        </w:rPr>
      </w:pPr>
      <w:proofErr w:type="spellStart"/>
      <w:r w:rsidRPr="00757868">
        <w:rPr>
          <w:lang w:val="pt-BR"/>
        </w:rPr>
        <w:t>Conclusions</w:t>
      </w:r>
      <w:proofErr w:type="spellEnd"/>
    </w:p>
    <w:p w14:paraId="436DA3C5" w14:textId="4141B78C" w:rsidR="00757868" w:rsidRPr="00757868" w:rsidRDefault="00757868" w:rsidP="00757868">
      <w:pPr>
        <w:pStyle w:val="Corpodetexto"/>
        <w:spacing w:before="240"/>
        <w:jc w:val="both"/>
        <w:rPr>
          <w:bCs/>
          <w:lang w:val="pt-BR"/>
        </w:rPr>
      </w:pPr>
      <w:r w:rsidRPr="00757868">
        <w:rPr>
          <w:bCs/>
          <w:lang w:val="pt-BR"/>
        </w:rPr>
        <w:t>O objetivo do trabalho foi analisar o repasse de preços do querosene de aviação sobre as tarifas aéreas domésticas no Brasil entre janeiro de 2019 e março de 2023</w:t>
      </w:r>
      <w:r>
        <w:rPr>
          <w:bCs/>
          <w:lang w:val="pt-BR"/>
        </w:rPr>
        <w:t xml:space="preserve"> – um período caracterizado por choques externos, como a pandemia e a invasão da Rússia à Ucrânia</w:t>
      </w:r>
      <w:r w:rsidRPr="00757868">
        <w:rPr>
          <w:bCs/>
          <w:lang w:val="pt-BR"/>
        </w:rPr>
        <w:t xml:space="preserve">. </w:t>
      </w:r>
      <w:r w:rsidRPr="00757868">
        <w:rPr>
          <w:bCs/>
          <w:lang w:val="pt-BR"/>
        </w:rPr>
        <w:t xml:space="preserve">A literatura sobre o repasse de preços é unânime ao apontar que, em concorrência imperfeita, o repasse é assimétrico. Em especial, a transmissão de preços segue o padrão foguete e pena, em que os preços sobem em trajetória instantânea e completa, mas enfrentam resistências para cair. Tendo em vista que o mercado aéreo doméstico é dominado por três empresas, além de apresentar elevadas barreiras legais à entrada, a hipótese preliminar era que o repasse de preços entre o combustível e as tarifas aéreas fosse assimétrico. </w:t>
      </w:r>
    </w:p>
    <w:p w14:paraId="2A41681B" w14:textId="387E7679" w:rsidR="00757868" w:rsidRPr="00757868" w:rsidRDefault="005C107C" w:rsidP="00757868">
      <w:pPr>
        <w:pStyle w:val="Corpodetexto"/>
        <w:spacing w:before="240"/>
        <w:jc w:val="both"/>
        <w:rPr>
          <w:bCs/>
          <w:lang w:val="pt-BR"/>
        </w:rPr>
      </w:pPr>
      <w:r>
        <w:rPr>
          <w:bCs/>
          <w:lang w:val="pt-BR"/>
        </w:rPr>
        <w:t>U</w:t>
      </w:r>
      <w:r w:rsidR="00757868" w:rsidRPr="00757868">
        <w:rPr>
          <w:bCs/>
          <w:lang w:val="pt-BR"/>
        </w:rPr>
        <w:t>m modelo de correção de erros apontou para a inexistência de evidências de repasse assimétrico de preços do QAV para as tarifas aéreas.</w:t>
      </w:r>
      <w:r w:rsidR="00757868">
        <w:rPr>
          <w:bCs/>
          <w:lang w:val="pt-BR"/>
        </w:rPr>
        <w:t xml:space="preserve"> </w:t>
      </w:r>
      <w:r>
        <w:rPr>
          <w:bCs/>
          <w:lang w:val="pt-BR"/>
        </w:rPr>
        <w:t>Contudo, o</w:t>
      </w:r>
      <w:r w:rsidR="00757868" w:rsidRPr="00757868">
        <w:rPr>
          <w:bCs/>
          <w:lang w:val="pt-BR"/>
        </w:rPr>
        <w:t xml:space="preserve"> horizonte temporal</w:t>
      </w:r>
      <w:r w:rsidR="00757868">
        <w:rPr>
          <w:bCs/>
          <w:lang w:val="pt-BR"/>
        </w:rPr>
        <w:t xml:space="preserve"> </w:t>
      </w:r>
      <w:r w:rsidR="00757868" w:rsidRPr="00757868">
        <w:rPr>
          <w:bCs/>
          <w:lang w:val="pt-BR"/>
        </w:rPr>
        <w:t xml:space="preserve">pode guardar relação com os resultados obtidos. Tendo em vista que a pandemia afetou severamente a aviação comercial com as restrições de mobilidade, o setor ainda caminha para sua recuperação plena. Portanto, as companhias aéreas podem ter optado por repassar os choques de custos negativos, por exemplo, bem como evitar aumentar muito as passagens aéreas para retomarem aos níveis </w:t>
      </w:r>
      <w:proofErr w:type="spellStart"/>
      <w:r w:rsidR="00757868" w:rsidRPr="00757868">
        <w:rPr>
          <w:bCs/>
          <w:lang w:val="pt-BR"/>
        </w:rPr>
        <w:t>pré</w:t>
      </w:r>
      <w:proofErr w:type="spellEnd"/>
      <w:r w:rsidR="00757868" w:rsidRPr="00757868">
        <w:rPr>
          <w:bCs/>
          <w:lang w:val="pt-BR"/>
        </w:rPr>
        <w:t>-pandêmicos mais rapidamente e não ficarem para trás em relação aos seus concorrentes.</w:t>
      </w:r>
      <w:r w:rsidR="008C724F">
        <w:rPr>
          <w:bCs/>
          <w:lang w:val="pt-BR"/>
        </w:rPr>
        <w:t xml:space="preserve"> Ou seja, a opção das companhias aéreas pode ter sido a competição para a superação da crise.</w:t>
      </w:r>
    </w:p>
    <w:p w14:paraId="2F0660CE" w14:textId="77777777" w:rsidR="000C591E" w:rsidRPr="00757868" w:rsidRDefault="000C591E">
      <w:pPr>
        <w:pStyle w:val="Corpodetexto"/>
        <w:rPr>
          <w:rFonts w:ascii="Arial"/>
          <w:b/>
          <w:sz w:val="23"/>
          <w:lang w:val="pt-BR"/>
        </w:rPr>
      </w:pPr>
    </w:p>
    <w:p w14:paraId="22BC7B4E" w14:textId="625FC919" w:rsidR="000C591E" w:rsidRDefault="00C11F45">
      <w:pPr>
        <w:pStyle w:val="Ttulo1"/>
      </w:pPr>
      <w:r>
        <w:t>References</w:t>
      </w:r>
    </w:p>
    <w:p w14:paraId="57E47D89" w14:textId="429A0AB4" w:rsidR="00757868" w:rsidRPr="00757868" w:rsidRDefault="00757868" w:rsidP="00757868">
      <w:pPr>
        <w:pStyle w:val="Corpodetexto"/>
        <w:spacing w:before="240"/>
        <w:jc w:val="both"/>
        <w:rPr>
          <w:bCs/>
          <w:lang w:val="pt-BR"/>
        </w:rPr>
      </w:pPr>
      <w:r w:rsidRPr="00757868">
        <w:rPr>
          <w:bCs/>
          <w:lang w:val="pt-BR"/>
        </w:rPr>
        <w:t xml:space="preserve">ANAC (2022). Agência Nacional de Aviação Civil. Dados Estatísticos - Aéreas brasileiras acumularam prejuízo líquido de R$ 20 bi em 2021. Disponível em: </w:t>
      </w:r>
      <w:hyperlink r:id="rId5" w:history="1">
        <w:r w:rsidRPr="00757868">
          <w:rPr>
            <w:rStyle w:val="Hyperlink"/>
            <w:bCs/>
            <w:lang w:val="pt-BR"/>
          </w:rPr>
          <w:t>https://www.gov.br/anac/pt-br/noticias/2022/aereas-brasileiras-acumularam-prejuizo-liquido-de-r-20-bi-em-2021</w:t>
        </w:r>
      </w:hyperlink>
      <w:r w:rsidRPr="00757868">
        <w:rPr>
          <w:bCs/>
          <w:lang w:val="pt-BR"/>
        </w:rPr>
        <w:t xml:space="preserve"> </w:t>
      </w:r>
      <w:r w:rsidRPr="00757868">
        <w:rPr>
          <w:bCs/>
          <w:lang w:val="pt-BR"/>
        </w:rPr>
        <w:t xml:space="preserve"> </w:t>
      </w:r>
    </w:p>
    <w:p w14:paraId="73B0E342" w14:textId="74A6741C" w:rsidR="00757868" w:rsidRPr="00757868" w:rsidRDefault="00757868" w:rsidP="00757868">
      <w:pPr>
        <w:pStyle w:val="Corpodetexto"/>
        <w:spacing w:before="240"/>
        <w:jc w:val="both"/>
        <w:rPr>
          <w:bCs/>
          <w:lang w:val="pt-BR"/>
        </w:rPr>
      </w:pPr>
      <w:r w:rsidRPr="00757868">
        <w:rPr>
          <w:bCs/>
          <w:lang w:val="pt-BR"/>
        </w:rPr>
        <w:t xml:space="preserve">ANAC (2023a). Agência Nacional de Aviação Civil. Indicadores do Mercado do Transporte Aéreo – Oferta e Demanda. Disponível em: </w:t>
      </w:r>
      <w:hyperlink r:id="rId6" w:history="1">
        <w:r w:rsidRPr="00757868">
          <w:rPr>
            <w:rStyle w:val="Hyperlink"/>
            <w:bCs/>
            <w:lang w:val="pt-BR"/>
          </w:rPr>
          <w:t>https://www.gov.br/anac/pt-br/assuntos/dados-e-estatisticas/mercado-do-transporte-aereo</w:t>
        </w:r>
      </w:hyperlink>
      <w:r w:rsidRPr="00757868">
        <w:rPr>
          <w:bCs/>
          <w:lang w:val="pt-BR"/>
        </w:rPr>
        <w:t xml:space="preserve"> </w:t>
      </w:r>
    </w:p>
    <w:p w14:paraId="33D32937" w14:textId="2391AFB3" w:rsidR="000C591E" w:rsidRPr="00757868" w:rsidRDefault="00757868" w:rsidP="00757868">
      <w:pPr>
        <w:pStyle w:val="Corpodetexto"/>
        <w:spacing w:before="240"/>
        <w:jc w:val="both"/>
        <w:rPr>
          <w:bCs/>
          <w:lang w:val="pt-BR"/>
        </w:rPr>
      </w:pPr>
      <w:r w:rsidRPr="00757868">
        <w:rPr>
          <w:bCs/>
          <w:lang w:val="pt-BR"/>
        </w:rPr>
        <w:t xml:space="preserve">ANAC (2023b). Agência Nacional de Aviação Civil. Dados de Mercado. Disponível em: </w:t>
      </w:r>
      <w:hyperlink r:id="rId7" w:history="1">
        <w:r w:rsidRPr="00757868">
          <w:rPr>
            <w:rStyle w:val="Hyperlink"/>
            <w:bCs/>
            <w:lang w:val="pt-BR"/>
          </w:rPr>
          <w:t>https://www.gov.br/anac/pt-br/noticias/2023/movimentacao-de-passageiros-em-2022-alcanca-maior-patamar-desde-o-inicio-da-pandemia-consolidando-recuperacao-do-setor</w:t>
        </w:r>
      </w:hyperlink>
    </w:p>
    <w:p w14:paraId="46E10091" w14:textId="37069141" w:rsidR="000C591E" w:rsidRPr="00757868" w:rsidRDefault="00757868" w:rsidP="00757868">
      <w:pPr>
        <w:pStyle w:val="Corpodetexto"/>
        <w:spacing w:before="240"/>
        <w:jc w:val="both"/>
        <w:rPr>
          <w:bCs/>
          <w:lang w:val="pt-BR"/>
        </w:rPr>
      </w:pPr>
      <w:r w:rsidRPr="00B02B8F">
        <w:rPr>
          <w:bCs/>
          <w:lang w:val="pt-BR"/>
        </w:rPr>
        <w:t xml:space="preserve">BACON, R. W. (1991). </w:t>
      </w:r>
      <w:r w:rsidRPr="00757868">
        <w:rPr>
          <w:bCs/>
        </w:rPr>
        <w:t xml:space="preserve">Rockets and feathers: the asymmetric speed of adjustment of UK retail gasoline prices to cost changes. </w:t>
      </w:r>
      <w:r w:rsidRPr="00757868">
        <w:rPr>
          <w:bCs/>
          <w:lang w:val="pt-BR"/>
        </w:rPr>
        <w:t xml:space="preserve">Energy </w:t>
      </w:r>
      <w:proofErr w:type="spellStart"/>
      <w:r w:rsidRPr="00757868">
        <w:rPr>
          <w:bCs/>
          <w:lang w:val="pt-BR"/>
        </w:rPr>
        <w:t>Economics</w:t>
      </w:r>
      <w:proofErr w:type="spellEnd"/>
      <w:r w:rsidRPr="00757868">
        <w:rPr>
          <w:bCs/>
          <w:lang w:val="pt-BR"/>
        </w:rPr>
        <w:t xml:space="preserve">, 13, </w:t>
      </w:r>
      <w:proofErr w:type="spellStart"/>
      <w:r w:rsidRPr="00757868">
        <w:rPr>
          <w:bCs/>
          <w:lang w:val="pt-BR"/>
        </w:rPr>
        <w:t>issue</w:t>
      </w:r>
      <w:proofErr w:type="spellEnd"/>
      <w:r w:rsidRPr="00757868">
        <w:rPr>
          <w:bCs/>
          <w:lang w:val="pt-BR"/>
        </w:rPr>
        <w:t xml:space="preserve"> 3, pp. 211-218.</w:t>
      </w:r>
    </w:p>
    <w:p w14:paraId="465BD658" w14:textId="77777777" w:rsidR="00757868" w:rsidRPr="00757868" w:rsidRDefault="00757868" w:rsidP="00757868">
      <w:pPr>
        <w:spacing w:before="240"/>
        <w:jc w:val="both"/>
        <w:rPr>
          <w:rStyle w:val="Hyperlink"/>
          <w:bCs/>
          <w:sz w:val="20"/>
          <w:szCs w:val="20"/>
          <w:lang w:val="pt-BR"/>
        </w:rPr>
      </w:pPr>
      <w:r w:rsidRPr="00757868">
        <w:rPr>
          <w:bCs/>
          <w:sz w:val="20"/>
          <w:szCs w:val="20"/>
        </w:rPr>
        <w:t xml:space="preserve">EIA (2023). US Energy Information Administration. </w:t>
      </w:r>
      <w:proofErr w:type="spellStart"/>
      <w:r w:rsidRPr="00757868">
        <w:rPr>
          <w:bCs/>
          <w:sz w:val="20"/>
          <w:szCs w:val="20"/>
          <w:lang w:val="pt-BR"/>
        </w:rPr>
        <w:t>Petroleum</w:t>
      </w:r>
      <w:proofErr w:type="spellEnd"/>
      <w:r w:rsidRPr="00757868">
        <w:rPr>
          <w:bCs/>
          <w:sz w:val="20"/>
          <w:szCs w:val="20"/>
          <w:lang w:val="pt-BR"/>
        </w:rPr>
        <w:t xml:space="preserve"> </w:t>
      </w:r>
      <w:proofErr w:type="spellStart"/>
      <w:r w:rsidRPr="00757868">
        <w:rPr>
          <w:bCs/>
          <w:sz w:val="20"/>
          <w:szCs w:val="20"/>
          <w:lang w:val="pt-BR"/>
        </w:rPr>
        <w:t>and</w:t>
      </w:r>
      <w:proofErr w:type="spellEnd"/>
      <w:r w:rsidRPr="00757868">
        <w:rPr>
          <w:bCs/>
          <w:sz w:val="20"/>
          <w:szCs w:val="20"/>
          <w:lang w:val="pt-BR"/>
        </w:rPr>
        <w:t xml:space="preserve"> </w:t>
      </w:r>
      <w:proofErr w:type="spellStart"/>
      <w:r w:rsidRPr="00757868">
        <w:rPr>
          <w:bCs/>
          <w:sz w:val="20"/>
          <w:szCs w:val="20"/>
          <w:lang w:val="pt-BR"/>
        </w:rPr>
        <w:t>other</w:t>
      </w:r>
      <w:proofErr w:type="spellEnd"/>
      <w:r w:rsidRPr="00757868">
        <w:rPr>
          <w:bCs/>
          <w:sz w:val="20"/>
          <w:szCs w:val="20"/>
          <w:lang w:val="pt-BR"/>
        </w:rPr>
        <w:t xml:space="preserve"> </w:t>
      </w:r>
      <w:proofErr w:type="spellStart"/>
      <w:r w:rsidRPr="00757868">
        <w:rPr>
          <w:bCs/>
          <w:sz w:val="20"/>
          <w:szCs w:val="20"/>
          <w:lang w:val="pt-BR"/>
        </w:rPr>
        <w:t>Liquids</w:t>
      </w:r>
      <w:proofErr w:type="spellEnd"/>
      <w:r w:rsidRPr="00757868">
        <w:rPr>
          <w:bCs/>
          <w:sz w:val="20"/>
          <w:szCs w:val="20"/>
          <w:lang w:val="pt-BR"/>
        </w:rPr>
        <w:t xml:space="preserve">. Disponível em: </w:t>
      </w:r>
      <w:hyperlink r:id="rId8" w:history="1">
        <w:r w:rsidRPr="00757868">
          <w:rPr>
            <w:rStyle w:val="Hyperlink"/>
            <w:bCs/>
            <w:sz w:val="20"/>
            <w:szCs w:val="20"/>
            <w:lang w:val="pt-BR"/>
          </w:rPr>
          <w:t>https://www.eia.gov/dnav/pet/PET_PRI_SPT_S1_M.htm</w:t>
        </w:r>
      </w:hyperlink>
      <w:r w:rsidRPr="00757868">
        <w:rPr>
          <w:rStyle w:val="Hyperlink"/>
          <w:bCs/>
          <w:sz w:val="20"/>
          <w:szCs w:val="20"/>
          <w:lang w:val="pt-BR"/>
        </w:rPr>
        <w:t>.</w:t>
      </w:r>
    </w:p>
    <w:p w14:paraId="02654499" w14:textId="728AA5F7" w:rsidR="000C591E" w:rsidRPr="00757868" w:rsidRDefault="00757868" w:rsidP="0084437E">
      <w:pPr>
        <w:spacing w:before="240"/>
        <w:jc w:val="both"/>
        <w:rPr>
          <w:rFonts w:ascii="Arial"/>
          <w:b/>
          <w:lang w:val="pt-BR"/>
        </w:rPr>
      </w:pPr>
      <w:r w:rsidRPr="00757868">
        <w:rPr>
          <w:bCs/>
          <w:sz w:val="20"/>
          <w:szCs w:val="20"/>
        </w:rPr>
        <w:t>KAUFMANN, R. K. (2017). Airfares and oil prices: ‘Feathers and Rockets’ adjustments. Energy Economics, vol. 68 (2017), pp. 515–521.</w:t>
      </w:r>
    </w:p>
    <w:sectPr w:rsidR="000C591E" w:rsidRPr="00757868">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1E"/>
    <w:rsid w:val="000C591E"/>
    <w:rsid w:val="001268B3"/>
    <w:rsid w:val="00284ED7"/>
    <w:rsid w:val="00361DC0"/>
    <w:rsid w:val="00442509"/>
    <w:rsid w:val="005C107C"/>
    <w:rsid w:val="00757868"/>
    <w:rsid w:val="0084437E"/>
    <w:rsid w:val="008C724F"/>
    <w:rsid w:val="008F6EDA"/>
    <w:rsid w:val="00AE649A"/>
    <w:rsid w:val="00B02B8F"/>
    <w:rsid w:val="00C11F45"/>
    <w:rsid w:val="00C12C35"/>
    <w:rsid w:val="00F30C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E3F9"/>
  <w15:docId w15:val="{F0A7940F-DA6E-474B-A66B-EAD16B16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styleId="TabeladeGradeClara">
    <w:name w:val="Grid Table Light"/>
    <w:basedOn w:val="Tabelanormal"/>
    <w:uiPriority w:val="40"/>
    <w:rsid w:val="00361DC0"/>
    <w:pPr>
      <w:widowControl/>
      <w:autoSpaceDE/>
      <w:autoSpaceDN/>
    </w:pPr>
    <w:rPr>
      <w:kern w:val="2"/>
      <w:lang w:val="pt-B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Fontepargpadro"/>
    <w:uiPriority w:val="99"/>
    <w:unhideWhenUsed/>
    <w:rsid w:val="00757868"/>
    <w:rPr>
      <w:color w:val="0000FF" w:themeColor="hyperlink"/>
      <w:u w:val="single"/>
    </w:rPr>
  </w:style>
  <w:style w:type="character" w:styleId="MenoPendente">
    <w:name w:val="Unresolved Mention"/>
    <w:basedOn w:val="Fontepargpadro"/>
    <w:uiPriority w:val="99"/>
    <w:semiHidden/>
    <w:unhideWhenUsed/>
    <w:rsid w:val="00757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ia.gov/dnav/pet/PET_PRI_SPT_S1_M.htm" TargetMode="External"/><Relationship Id="rId3" Type="http://schemas.openxmlformats.org/officeDocument/2006/relationships/settings" Target="settings.xml"/><Relationship Id="rId7" Type="http://schemas.openxmlformats.org/officeDocument/2006/relationships/hyperlink" Target="https://www.gov.br/anac/pt-br/noticias/2023/movimentacao-de-passageiros-em-2022-alcanca-maior-patamar-desde-o-inicio-da-pandemia-consolidando-recuperacao-do-set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br/anac/pt-br/assuntos/dados-e-estatisticas/mercado-do-transporte-aereo" TargetMode="External"/><Relationship Id="rId5" Type="http://schemas.openxmlformats.org/officeDocument/2006/relationships/hyperlink" Target="https://www.gov.br/anac/pt-br/noticias/2022/aereas-brasileiras-acumularam-prejuizo-liquido-de-r-20-bi-em-20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10DF-B473-4A71-BCD4-DED953A9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1611</Words>
  <Characters>8700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Francisco Raeder</cp:lastModifiedBy>
  <cp:revision>7</cp:revision>
  <dcterms:created xsi:type="dcterms:W3CDTF">2024-03-09T13:34:00Z</dcterms:created>
  <dcterms:modified xsi:type="dcterms:W3CDTF">2024-03-09T16:24:00Z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